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0532" w:rsidP="00750532">
      <w:pPr>
        <w:pStyle w:val="Title"/>
      </w:pPr>
      <w:r>
        <w:fldChar w:fldCharType="begin"/>
      </w:r>
      <w:r>
        <w:instrText xml:space="preserve"> TITLE   \* MERGEFORMAT </w:instrText>
      </w:r>
      <w:r>
        <w:fldChar w:fldCharType="separate"/>
      </w:r>
      <w:r>
        <w:t>MARL057 Demonstrate basic knowledge of marine diesel engines and systems</w:t>
      </w:r>
      <w:r>
        <w:fldChar w:fldCharType="end"/>
      </w:r>
    </w:p>
    <w:p w:rsidR="00750532" w:rsidP="00750532">
      <w:pPr>
        <w:pStyle w:val="Version"/>
        <w:sectPr w:rsidSect="006048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048DA" w:rsidP="006048DA">
      <w:pPr>
        <w:pStyle w:val="SuperHeading"/>
      </w:pPr>
      <w:r w:rsidRPr="006048DA">
        <w:t>MARL057 Demonstrate basic knowledge of marine diesel engines and systems</w:t>
      </w:r>
    </w:p>
    <w:p w:rsidR="00000000" w:rsidRPr="006048DA" w:rsidP="006048DA">
      <w:pPr>
        <w:pStyle w:val="Heading1"/>
      </w:pPr>
      <w:bookmarkStart w:id="1" w:name="O_1280437"/>
      <w:bookmarkEnd w:id="1"/>
      <w:r w:rsidRPr="006048DA">
        <w:t>Modification History</w:t>
      </w:r>
    </w:p>
    <w:tbl>
      <w:tblPr>
        <w:tblW w:w="9497" w:type="dxa"/>
        <w:tblLayout w:type="fixed"/>
        <w:tblCellMar>
          <w:left w:w="62" w:type="dxa"/>
          <w:right w:w="62" w:type="dxa"/>
        </w:tblCellMar>
        <w:tblLook w:val="0000"/>
      </w:tblPr>
      <w:tblGrid>
        <w:gridCol w:w="9497"/>
      </w:tblGrid>
      <w:tr w:rsidTr="006048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048DA">
            <w:pPr>
              <w:pStyle w:val="BodyText"/>
              <w:rPr>
                <w:lang w:val="en-NZ"/>
              </w:rPr>
            </w:pPr>
            <w:r w:rsidRPr="006048DA">
              <w:rPr>
                <w:rStyle w:val="SpecialBold"/>
              </w:rPr>
              <w:t>Release 2.</w:t>
            </w:r>
            <w:r w:rsidRPr="006048DA">
              <w:t xml:space="preserve"> This is the second release of this qualification in the MAR Maritime Training Package with minor change to performance evidence.</w:t>
            </w:r>
          </w:p>
        </w:tc>
      </w:tr>
      <w:tr w:rsidTr="006048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48DA" w:rsidP="006048DA">
            <w:pPr>
              <w:pStyle w:val="BodyText"/>
            </w:pPr>
            <w:r w:rsidRPr="006048DA">
              <w:rPr>
                <w:rStyle w:val="SpecialBold"/>
              </w:rPr>
              <w:t>Release 1.</w:t>
            </w:r>
            <w:r w:rsidRPr="006048DA">
              <w:t xml:space="preserve"> This is the first release of this unit of competency in the MAR Maritime Training Package.</w:t>
            </w:r>
          </w:p>
        </w:tc>
      </w:tr>
    </w:tbl>
    <w:p w:rsidR="00000000" w:rsidRPr="006048DA" w:rsidP="006048DA">
      <w:pPr>
        <w:pStyle w:val="NoPaddingFontSize1"/>
      </w:pPr>
    </w:p>
    <w:p w:rsidR="00000000" w:rsidRPr="006048DA" w:rsidP="006048DA">
      <w:pPr>
        <w:pStyle w:val="AllowPageBreak"/>
      </w:pPr>
    </w:p>
    <w:p w:rsidR="00000000" w:rsidRPr="006048DA" w:rsidP="006048DA">
      <w:pPr>
        <w:pStyle w:val="Heading1"/>
      </w:pPr>
      <w:bookmarkStart w:id="2" w:name="O_1280436"/>
      <w:bookmarkEnd w:id="2"/>
      <w:r w:rsidRPr="006048DA">
        <w:t>Application</w:t>
      </w:r>
    </w:p>
    <w:tbl>
      <w:tblPr>
        <w:tblW w:w="9497" w:type="dxa"/>
        <w:tblLayout w:type="fixed"/>
        <w:tblCellMar>
          <w:left w:w="62" w:type="dxa"/>
          <w:right w:w="62" w:type="dxa"/>
        </w:tblCellMar>
        <w:tblLook w:val="0000"/>
      </w:tblPr>
      <w:tblGrid>
        <w:gridCol w:w="9497"/>
      </w:tblGrid>
      <w:tr w:rsidTr="006048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48DA" w:rsidP="006048DA">
            <w:pPr>
              <w:pStyle w:val="BodyText"/>
            </w:pPr>
            <w:r w:rsidRPr="006048DA">
              <w:t>This unit involves the skills and knowledge required to operate and maintain marine diesel engines and systems on a comme</w:t>
            </w:r>
            <w:r w:rsidRPr="006048DA">
              <w:t>rcial vessel.</w:t>
            </w:r>
          </w:p>
          <w:p w:rsidR="00000000" w:rsidRPr="006048DA" w:rsidP="006048DA">
            <w:pPr>
              <w:pStyle w:val="BodyText"/>
            </w:pPr>
            <w:r w:rsidRPr="006048DA">
              <w:t>This unit applies to people working in the maritime industry in the capacity of:</w:t>
            </w:r>
          </w:p>
          <w:p w:rsidR="00000000" w:rsidRPr="006048DA" w:rsidP="006048DA">
            <w:pPr>
              <w:pStyle w:val="ListBullet"/>
            </w:pPr>
            <w:r w:rsidRPr="006048DA">
              <w:t>Electro-Technical Officer (STCW Electro-Technical Officer Unlimited)</w:t>
            </w:r>
          </w:p>
          <w:p w:rsidR="00000000" w:rsidRPr="006048DA" w:rsidP="006048DA">
            <w:pPr>
              <w:pStyle w:val="ListBullet"/>
            </w:pPr>
            <w:r w:rsidRPr="006048DA">
              <w:t>Engineer Class 3 Near Coastal</w:t>
            </w:r>
          </w:p>
          <w:p w:rsidR="00000000" w:rsidRPr="006048DA" w:rsidP="006048DA">
            <w:pPr>
              <w:pStyle w:val="ListBullet"/>
            </w:pPr>
            <w:r w:rsidRPr="006048DA">
              <w:t xml:space="preserve">Engineer Watchkeeper (STCW Engineer Watchkeeper Unlimited). </w:t>
            </w:r>
          </w:p>
          <w:p w:rsidR="00000000" w:rsidRPr="006048DA" w:rsidP="006048DA">
            <w:pPr>
              <w:pStyle w:val="BodyText"/>
            </w:pPr>
          </w:p>
          <w:p w:rsidR="00000000" w:rsidRPr="006048DA" w:rsidP="006048DA">
            <w:pPr>
              <w:pStyle w:val="BodyText"/>
            </w:pPr>
            <w:r w:rsidRPr="006048DA">
              <w:rPr>
                <w:rStyle w:val="SpecialBold"/>
              </w:rPr>
              <w:t>Licensing/Regulatory Information</w:t>
            </w:r>
          </w:p>
          <w:p w:rsidR="00000000" w:rsidRPr="006048DA" w:rsidP="006048DA">
            <w:pPr>
              <w:pStyle w:val="BodyText"/>
            </w:pPr>
            <w:r w:rsidRPr="006048DA">
              <w:t xml:space="preserve">Legislative and regulatory requirements are applicable to this unit.  </w:t>
            </w:r>
          </w:p>
          <w:p w:rsidR="00000000" w:rsidRPr="006048DA" w:rsidP="006048DA">
            <w:pPr>
              <w:pStyle w:val="ListBullet"/>
            </w:pPr>
            <w:r w:rsidRPr="006048DA">
              <w:t>Regulatory requirements include STCW International Maritime Organization (IMO) model course competencies and areas of knowledge, understanding and pro</w:t>
            </w:r>
            <w:r w:rsidRPr="006048DA">
              <w:t>ficiency, together with the estimated total hours required for lectures and practical exercises. Teaching staff should note that timings are suggestions only and should be adapted to suit individual groups of trainees depending on their experience, ability</w:t>
            </w:r>
            <w:r w:rsidRPr="006048DA">
              <w:t>, equipment and staff available for training.</w:t>
            </w:r>
          </w:p>
          <w:p w:rsidR="00000000" w:rsidRPr="006048DA" w:rsidP="006048DA">
            <w:pPr>
              <w:pStyle w:val="BodyText"/>
            </w:pPr>
            <w:r w:rsidRPr="006048DA">
              <w:t>Near Coastal Qualifications:</w:t>
            </w:r>
          </w:p>
          <w:p w:rsidR="00000000" w:rsidRPr="006048DA" w:rsidP="006048DA">
            <w:pPr>
              <w:pStyle w:val="ListBullet"/>
            </w:pPr>
            <w:r w:rsidRPr="006048DA">
              <w:t>This unit is one of the requirements to obtain Australian Maritime Safety Authority (AMSA) certification as an Engineer Class 3 Near Coastal as defined in the Marine Order 505 (Cer</w:t>
            </w:r>
            <w:r w:rsidRPr="006048DA">
              <w:t>tificates of competency - National Law) 2013.</w:t>
            </w:r>
          </w:p>
          <w:p w:rsidR="00000000" w:rsidRPr="006048DA" w:rsidP="006048DA">
            <w:pPr>
              <w:pStyle w:val="BodyText"/>
            </w:pPr>
            <w:r w:rsidRPr="006048DA">
              <w:t>Blue Waters Qualifications:</w:t>
            </w:r>
          </w:p>
          <w:p w:rsidR="00000000" w:rsidRPr="006048DA" w:rsidP="006048DA">
            <w:pPr>
              <w:pStyle w:val="ListBullet"/>
            </w:pPr>
            <w:r w:rsidRPr="006048DA">
              <w:t>This unit is one of the requirements to obtain Australian Maritime Safety Authority (AMSA) certification as an Electro-Technical Officer (STCW Electro-Technical Officer Unlimited) o</w:t>
            </w:r>
            <w:r w:rsidRPr="006048DA">
              <w:t>r Engineer Watchkeeper (STCW Engineer Watchkeeper Unlimited) and to meet regulatory requirements this unit must be delivered consistent with Marine Orders and with the relevant sections of the International Convention on Standards of Training, Certificatio</w:t>
            </w:r>
            <w:r w:rsidRPr="006048DA">
              <w:t>n and Watchkeeping for Seafarers (STCW).</w:t>
            </w:r>
          </w:p>
        </w:tc>
      </w:tr>
    </w:tbl>
    <w:p w:rsidR="00000000" w:rsidRPr="006048DA" w:rsidP="006048DA">
      <w:pPr>
        <w:pStyle w:val="NoPaddingFontSize1"/>
      </w:pPr>
    </w:p>
    <w:p w:rsidR="00000000" w:rsidRPr="006048DA" w:rsidP="006048DA">
      <w:pPr>
        <w:pStyle w:val="AllowPageBreak"/>
      </w:pPr>
    </w:p>
    <w:p w:rsidR="00000000" w:rsidRPr="006048DA" w:rsidP="006048DA">
      <w:pPr>
        <w:pStyle w:val="Heading1"/>
      </w:pPr>
      <w:bookmarkStart w:id="3" w:name="O_1280435"/>
      <w:bookmarkEnd w:id="3"/>
      <w:r w:rsidRPr="006048DA">
        <w:t>Pre-requisite Unit</w:t>
      </w:r>
    </w:p>
    <w:tbl>
      <w:tblPr>
        <w:tblW w:w="9497" w:type="dxa"/>
        <w:tblLayout w:type="fixed"/>
        <w:tblCellMar>
          <w:left w:w="62" w:type="dxa"/>
          <w:right w:w="62" w:type="dxa"/>
        </w:tblCellMar>
        <w:tblLook w:val="0000"/>
      </w:tblPr>
      <w:tblGrid>
        <w:gridCol w:w="9497"/>
      </w:tblGrid>
      <w:tr w:rsidTr="006048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48DA" w:rsidP="006048DA">
            <w:pPr>
              <w:pStyle w:val="BodyText"/>
            </w:pPr>
            <w:r w:rsidRPr="006048DA">
              <w:t>Not applicable.</w:t>
            </w:r>
          </w:p>
        </w:tc>
      </w:tr>
    </w:tbl>
    <w:p w:rsidR="00750532" w:rsidP="006048DA">
      <w:pPr>
        <w:pStyle w:val="NoPaddingFontSize1"/>
      </w:pPr>
    </w:p>
    <w:p w:rsidR="00750532" w:rsidP="006048DA">
      <w:pPr>
        <w:pStyle w:val="NoPaddingFontSize1"/>
      </w:pPr>
    </w:p>
    <w:p w:rsidR="00000000" w:rsidRPr="006048DA" w:rsidP="006048DA">
      <w:pPr>
        <w:pStyle w:val="Heading1"/>
      </w:pPr>
      <w:bookmarkStart w:id="4" w:name="O_1280434"/>
      <w:bookmarkEnd w:id="4"/>
      <w:r w:rsidRPr="006048DA">
        <w:t>Competency Field</w:t>
      </w:r>
    </w:p>
    <w:tbl>
      <w:tblPr>
        <w:tblW w:w="9497" w:type="dxa"/>
        <w:tblLayout w:type="fixed"/>
        <w:tblCellMar>
          <w:left w:w="62" w:type="dxa"/>
          <w:right w:w="62" w:type="dxa"/>
        </w:tblCellMar>
        <w:tblLook w:val="0000"/>
      </w:tblPr>
      <w:tblGrid>
        <w:gridCol w:w="9497"/>
      </w:tblGrid>
      <w:tr w:rsidTr="006048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48DA" w:rsidP="006048DA">
            <w:pPr>
              <w:pStyle w:val="BodyText"/>
            </w:pPr>
            <w:r w:rsidRPr="006048DA">
              <w:t>L - Engineering</w:t>
            </w:r>
          </w:p>
        </w:tc>
      </w:tr>
    </w:tbl>
    <w:p w:rsidR="00750532" w:rsidP="006048DA">
      <w:pPr>
        <w:pStyle w:val="NoPaddingFontSize1"/>
      </w:pPr>
    </w:p>
    <w:p w:rsidR="00750532" w:rsidP="006048DA">
      <w:pPr>
        <w:pStyle w:val="NoPaddingFontSize1"/>
      </w:pPr>
    </w:p>
    <w:p w:rsidR="00000000" w:rsidRPr="006048DA" w:rsidP="006048DA">
      <w:pPr>
        <w:pStyle w:val="Heading1"/>
      </w:pPr>
      <w:bookmarkStart w:id="5" w:name="O_1280433"/>
      <w:bookmarkEnd w:id="5"/>
      <w:r w:rsidRPr="006048DA">
        <w:t>Unit Sector</w:t>
      </w:r>
    </w:p>
    <w:tbl>
      <w:tblPr>
        <w:tblW w:w="9497" w:type="dxa"/>
        <w:tblLayout w:type="fixed"/>
        <w:tblCellMar>
          <w:left w:w="62" w:type="dxa"/>
          <w:right w:w="62" w:type="dxa"/>
        </w:tblCellMar>
        <w:tblLook w:val="0000"/>
      </w:tblPr>
      <w:tblGrid>
        <w:gridCol w:w="9497"/>
      </w:tblGrid>
      <w:tr w:rsidTr="006048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48DA" w:rsidP="006048DA">
            <w:pPr>
              <w:pStyle w:val="BodyText"/>
            </w:pPr>
            <w:r w:rsidRPr="006048DA">
              <w:t>Not applicable.</w:t>
            </w:r>
          </w:p>
        </w:tc>
      </w:tr>
    </w:tbl>
    <w:p w:rsidR="00750532" w:rsidP="006048DA">
      <w:pPr>
        <w:pStyle w:val="NoPaddingFontSize1"/>
      </w:pPr>
    </w:p>
    <w:p w:rsidR="00750532" w:rsidP="006048DA">
      <w:pPr>
        <w:pStyle w:val="NoPaddingFontSize1"/>
      </w:pPr>
    </w:p>
    <w:p w:rsidR="00000000" w:rsidRPr="006048DA" w:rsidP="006048DA">
      <w:pPr>
        <w:pStyle w:val="Heading1"/>
      </w:pPr>
      <w:bookmarkStart w:id="6" w:name="O_1280432"/>
      <w:bookmarkEnd w:id="6"/>
      <w:r w:rsidRPr="006048DA">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6048DA">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6048DA" w:rsidP="006048DA">
            <w:pPr>
              <w:pStyle w:val="BodyText"/>
            </w:pPr>
            <w:r w:rsidRPr="006048DA">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6048DA">
            <w:pPr>
              <w:pStyle w:val="BodyText"/>
              <w:rPr>
                <w:lang w:val="en-NZ"/>
              </w:rPr>
            </w:pPr>
            <w:r w:rsidRPr="006048DA">
              <w:rPr>
                <w:rStyle w:val="SpecialBold"/>
              </w:rPr>
              <w:t>PERFORMANCE CRITERIA</w:t>
            </w:r>
          </w:p>
        </w:tc>
      </w:tr>
      <w:tr w:rsidTr="006048DA">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6048DA">
            <w:pPr>
              <w:pStyle w:val="BodyText"/>
              <w:rPr>
                <w:lang w:val="en-NZ"/>
              </w:rPr>
            </w:pPr>
            <w:r w:rsidRPr="006048DA">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6048DA">
            <w:pPr>
              <w:pStyle w:val="BodyText"/>
              <w:rPr>
                <w:lang w:val="en-NZ"/>
              </w:rPr>
            </w:pPr>
            <w:r w:rsidRPr="006048DA">
              <w:t>Performance criteria describe the performance needed to demonstrate achievement of the element.</w:t>
            </w:r>
          </w:p>
        </w:tc>
      </w:tr>
      <w:tr w:rsidTr="006048D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6048DA" w:rsidP="006048DA">
            <w:pPr>
              <w:pStyle w:val="BodyText"/>
            </w:pPr>
            <w:r w:rsidRPr="006048DA">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6048DA" w:rsidP="006048DA">
            <w:pPr>
              <w:pStyle w:val="BodyText"/>
            </w:pPr>
            <w:r w:rsidRPr="006048DA">
              <w:rPr>
                <w:rStyle w:val="SpecialBold"/>
              </w:rPr>
              <w:t>Outline stages of combustion in two-stroke and four-stroke cycle diesel engines</w:t>
            </w:r>
          </w:p>
        </w:tc>
        <w:tc>
          <w:tcPr>
            <w:tcW w:w="702" w:type="dxa"/>
            <w:tcBorders>
              <w:top w:val="nil"/>
              <w:left w:val="nil"/>
              <w:bottom w:val="nil"/>
              <w:right w:val="nil"/>
            </w:tcBorders>
            <w:tcMar>
              <w:top w:w="0" w:type="dxa"/>
              <w:left w:w="62" w:type="dxa"/>
              <w:bottom w:w="0" w:type="dxa"/>
              <w:right w:w="62" w:type="dxa"/>
            </w:tcMar>
          </w:tcPr>
          <w:p w:rsidR="00000000" w:rsidP="006048DA">
            <w:pPr>
              <w:pStyle w:val="BodyText"/>
              <w:rPr>
                <w:lang w:val="en-NZ"/>
              </w:rPr>
            </w:pPr>
            <w:r w:rsidRPr="006048DA">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6048DA">
            <w:pPr>
              <w:pStyle w:val="BodyText"/>
              <w:rPr>
                <w:lang w:val="en-NZ"/>
              </w:rPr>
            </w:pPr>
            <w:r w:rsidRPr="006048DA">
              <w:t>Two-stroke and four-stroke cycle diesel engines are compared and contrasted</w:t>
            </w:r>
          </w:p>
        </w:tc>
      </w:tr>
      <w:tr w:rsidTr="006048D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048D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48DA">
            <w:pPr>
              <w:pStyle w:val="BodyText"/>
              <w:rPr>
                <w:lang w:val="en-NZ"/>
              </w:rPr>
            </w:pPr>
            <w:r w:rsidRPr="006048DA">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6048DA">
            <w:pPr>
              <w:pStyle w:val="BodyText"/>
              <w:rPr>
                <w:lang w:val="en-NZ"/>
              </w:rPr>
            </w:pPr>
            <w:r w:rsidRPr="006048DA">
              <w:t xml:space="preserve">Methods and diagnostic information used in determining engine combustion characteristics </w:t>
            </w:r>
            <w:r w:rsidRPr="006048DA">
              <w:t>are specified</w:t>
            </w:r>
          </w:p>
        </w:tc>
      </w:tr>
      <w:tr w:rsidTr="006048D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048D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48DA">
            <w:pPr>
              <w:pStyle w:val="BodyText"/>
              <w:rPr>
                <w:lang w:val="en-NZ"/>
              </w:rPr>
            </w:pPr>
            <w:r w:rsidRPr="006048DA">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6048DA">
            <w:pPr>
              <w:pStyle w:val="BodyText"/>
              <w:rPr>
                <w:lang w:val="en-NZ"/>
              </w:rPr>
            </w:pPr>
            <w:r w:rsidRPr="006048DA">
              <w:t>Diagnostic information is used to identify and interpret common combustion faults and to produce typical diagrams for analysing faults</w:t>
            </w:r>
          </w:p>
        </w:tc>
      </w:tr>
      <w:tr w:rsidTr="006048D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6048DA" w:rsidP="006048DA">
            <w:pPr>
              <w:pStyle w:val="BodyText"/>
            </w:pPr>
            <w:r w:rsidRPr="006048DA">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6048DA" w:rsidP="006048DA">
            <w:pPr>
              <w:pStyle w:val="BodyText"/>
            </w:pPr>
            <w:r w:rsidRPr="006048DA">
              <w:rPr>
                <w:rStyle w:val="SpecialBold"/>
              </w:rPr>
              <w:t>Explain means of pressure-charging diesel engines</w:t>
            </w:r>
          </w:p>
        </w:tc>
        <w:tc>
          <w:tcPr>
            <w:tcW w:w="702" w:type="dxa"/>
            <w:tcBorders>
              <w:top w:val="nil"/>
              <w:left w:val="nil"/>
              <w:bottom w:val="nil"/>
              <w:right w:val="nil"/>
            </w:tcBorders>
            <w:tcMar>
              <w:top w:w="0" w:type="dxa"/>
              <w:left w:w="62" w:type="dxa"/>
              <w:bottom w:w="0" w:type="dxa"/>
              <w:right w:w="62" w:type="dxa"/>
            </w:tcMar>
          </w:tcPr>
          <w:p w:rsidR="00000000" w:rsidP="006048DA">
            <w:pPr>
              <w:pStyle w:val="BodyText"/>
              <w:rPr>
                <w:lang w:val="en-NZ"/>
              </w:rPr>
            </w:pPr>
            <w:r w:rsidRPr="006048DA">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6048DA">
            <w:pPr>
              <w:pStyle w:val="BodyText"/>
              <w:rPr>
                <w:lang w:val="en-NZ"/>
              </w:rPr>
            </w:pPr>
            <w:r w:rsidRPr="006048DA">
              <w:t>Pressure-charging principles and their influence on engine design and waste heat recovery are explained</w:t>
            </w:r>
          </w:p>
        </w:tc>
      </w:tr>
      <w:tr w:rsidTr="006048D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048D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48DA">
            <w:pPr>
              <w:pStyle w:val="BodyText"/>
              <w:rPr>
                <w:lang w:val="en-NZ"/>
              </w:rPr>
            </w:pPr>
            <w:r w:rsidRPr="006048DA">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6048DA">
            <w:pPr>
              <w:pStyle w:val="BodyText"/>
              <w:rPr>
                <w:lang w:val="en-NZ"/>
              </w:rPr>
            </w:pPr>
            <w:r w:rsidRPr="006048DA">
              <w:t>Different methods of pressure-charging diesel engines are clarified</w:t>
            </w:r>
          </w:p>
        </w:tc>
      </w:tr>
      <w:tr w:rsidTr="006048D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048D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48DA">
            <w:pPr>
              <w:pStyle w:val="BodyText"/>
              <w:rPr>
                <w:lang w:val="en-NZ"/>
              </w:rPr>
            </w:pPr>
            <w:r w:rsidRPr="006048DA">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6048DA">
            <w:pPr>
              <w:pStyle w:val="BodyText"/>
              <w:rPr>
                <w:lang w:val="en-NZ"/>
              </w:rPr>
            </w:pPr>
            <w:r w:rsidRPr="006048DA">
              <w:t>Emergency isolation procedures used when pressure-charging diesel engi</w:t>
            </w:r>
            <w:r w:rsidRPr="006048DA">
              <w:t>nes are clarified</w:t>
            </w:r>
          </w:p>
        </w:tc>
      </w:tr>
      <w:tr w:rsidTr="006048D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6048DA" w:rsidP="006048DA">
            <w:pPr>
              <w:pStyle w:val="BodyText"/>
            </w:pPr>
            <w:r w:rsidRPr="006048DA">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6048DA" w:rsidP="006048DA">
            <w:pPr>
              <w:pStyle w:val="BodyText"/>
            </w:pPr>
            <w:r w:rsidRPr="006048DA">
              <w:rPr>
                <w:rStyle w:val="SpecialBold"/>
              </w:rPr>
              <w:t>Explain operation of diesel engine governors</w:t>
            </w:r>
          </w:p>
        </w:tc>
        <w:tc>
          <w:tcPr>
            <w:tcW w:w="702" w:type="dxa"/>
            <w:tcBorders>
              <w:top w:val="nil"/>
              <w:left w:val="nil"/>
              <w:bottom w:val="nil"/>
              <w:right w:val="nil"/>
            </w:tcBorders>
            <w:tcMar>
              <w:top w:w="0" w:type="dxa"/>
              <w:left w:w="62" w:type="dxa"/>
              <w:bottom w:w="0" w:type="dxa"/>
              <w:right w:w="62" w:type="dxa"/>
            </w:tcMar>
          </w:tcPr>
          <w:p w:rsidR="00000000" w:rsidP="006048DA">
            <w:pPr>
              <w:pStyle w:val="BodyText"/>
              <w:rPr>
                <w:lang w:val="en-NZ"/>
              </w:rPr>
            </w:pPr>
            <w:r w:rsidRPr="006048DA">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6048DA">
            <w:pPr>
              <w:pStyle w:val="BodyText"/>
              <w:rPr>
                <w:lang w:val="en-NZ"/>
              </w:rPr>
            </w:pPr>
            <w:r w:rsidRPr="006048DA">
              <w:t>Governing principles, common governor types and related controls are outlined</w:t>
            </w:r>
          </w:p>
        </w:tc>
      </w:tr>
      <w:tr w:rsidTr="006048D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048D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48DA">
            <w:pPr>
              <w:pStyle w:val="BodyText"/>
              <w:rPr>
                <w:lang w:val="en-NZ"/>
              </w:rPr>
            </w:pPr>
            <w:r w:rsidRPr="006048DA">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6048DA">
            <w:pPr>
              <w:pStyle w:val="BodyText"/>
              <w:rPr>
                <w:lang w:val="en-NZ"/>
              </w:rPr>
            </w:pPr>
            <w:r w:rsidRPr="006048DA">
              <w:t>Different requirements for governing diesel engines for propulsion and power generation are explained</w:t>
            </w:r>
          </w:p>
        </w:tc>
      </w:tr>
      <w:tr w:rsidTr="006048D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048D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48DA">
            <w:pPr>
              <w:pStyle w:val="BodyText"/>
              <w:rPr>
                <w:lang w:val="en-NZ"/>
              </w:rPr>
            </w:pPr>
            <w:r w:rsidRPr="006048DA">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6048DA">
            <w:pPr>
              <w:pStyle w:val="BodyText"/>
              <w:rPr>
                <w:lang w:val="en-NZ"/>
              </w:rPr>
            </w:pPr>
            <w:r w:rsidRPr="006048DA">
              <w:t>Problems of mismatched engine sizes/prime mover types when sharing common loads are outlined</w:t>
            </w:r>
          </w:p>
        </w:tc>
      </w:tr>
      <w:tr w:rsidTr="006048D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6048DA" w:rsidP="006048DA">
            <w:pPr>
              <w:pStyle w:val="BodyText"/>
            </w:pPr>
            <w:r w:rsidRPr="006048DA">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6048DA" w:rsidP="006048DA">
            <w:pPr>
              <w:pStyle w:val="BodyText"/>
            </w:pPr>
            <w:r w:rsidRPr="006048DA">
              <w:rPr>
                <w:rStyle w:val="SpecialBold"/>
              </w:rPr>
              <w:t>Explain properties of materials used in construction of engine components</w:t>
            </w:r>
          </w:p>
        </w:tc>
        <w:tc>
          <w:tcPr>
            <w:tcW w:w="702" w:type="dxa"/>
            <w:tcBorders>
              <w:top w:val="nil"/>
              <w:left w:val="nil"/>
              <w:bottom w:val="nil"/>
              <w:right w:val="nil"/>
            </w:tcBorders>
            <w:tcMar>
              <w:top w:w="0" w:type="dxa"/>
              <w:left w:w="62" w:type="dxa"/>
              <w:bottom w:w="0" w:type="dxa"/>
              <w:right w:w="62" w:type="dxa"/>
            </w:tcMar>
          </w:tcPr>
          <w:p w:rsidR="00000000" w:rsidP="006048DA">
            <w:pPr>
              <w:pStyle w:val="BodyText"/>
              <w:rPr>
                <w:lang w:val="en-NZ"/>
              </w:rPr>
            </w:pPr>
            <w:r w:rsidRPr="006048DA">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6048DA">
            <w:pPr>
              <w:pStyle w:val="BodyText"/>
              <w:rPr>
                <w:lang w:val="en-NZ"/>
              </w:rPr>
            </w:pPr>
            <w:r w:rsidRPr="006048DA">
              <w:t>Properties of materials used in construction of engine components are spec</w:t>
            </w:r>
            <w:r w:rsidRPr="006048DA">
              <w:t>ified</w:t>
            </w:r>
          </w:p>
        </w:tc>
      </w:tr>
      <w:tr w:rsidTr="006048D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048D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48DA">
            <w:pPr>
              <w:pStyle w:val="BodyText"/>
              <w:rPr>
                <w:lang w:val="en-NZ"/>
              </w:rPr>
            </w:pPr>
            <w:r w:rsidRPr="006048DA">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6048DA">
            <w:pPr>
              <w:pStyle w:val="BodyText"/>
              <w:rPr>
                <w:lang w:val="en-NZ"/>
              </w:rPr>
            </w:pPr>
            <w:r w:rsidRPr="006048DA">
              <w:t>Dynamic stresses and loads, materials and service limitations of engine components are outlined</w:t>
            </w:r>
          </w:p>
        </w:tc>
      </w:tr>
      <w:tr w:rsidTr="006048D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048D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48DA">
            <w:pPr>
              <w:pStyle w:val="BodyText"/>
              <w:rPr>
                <w:lang w:val="en-NZ"/>
              </w:rPr>
            </w:pPr>
            <w:r w:rsidRPr="006048DA">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P="006048DA">
            <w:pPr>
              <w:pStyle w:val="BodyText"/>
              <w:rPr>
                <w:lang w:val="en-NZ"/>
              </w:rPr>
            </w:pPr>
            <w:r w:rsidRPr="006048DA">
              <w:t>Construction and operating cycle forces of diesel engine components are outlined</w:t>
            </w:r>
          </w:p>
        </w:tc>
      </w:tr>
      <w:tr w:rsidTr="006048D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048D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48DA">
            <w:pPr>
              <w:pStyle w:val="BodyText"/>
              <w:rPr>
                <w:lang w:val="en-NZ"/>
              </w:rPr>
            </w:pPr>
            <w:r w:rsidRPr="006048DA">
              <w:rPr>
                <w:rStyle w:val="SpecialBold"/>
              </w:rPr>
              <w:t>4.4</w:t>
            </w:r>
          </w:p>
        </w:tc>
        <w:tc>
          <w:tcPr>
            <w:tcW w:w="5627" w:type="dxa"/>
            <w:tcBorders>
              <w:top w:val="nil"/>
              <w:left w:val="nil"/>
              <w:bottom w:val="nil"/>
              <w:right w:val="nil"/>
            </w:tcBorders>
            <w:tcMar>
              <w:top w:w="0" w:type="dxa"/>
              <w:left w:w="62" w:type="dxa"/>
              <w:bottom w:w="0" w:type="dxa"/>
              <w:right w:w="62" w:type="dxa"/>
            </w:tcMar>
          </w:tcPr>
          <w:p w:rsidR="00000000" w:rsidP="006048DA">
            <w:pPr>
              <w:pStyle w:val="BodyText"/>
              <w:rPr>
                <w:lang w:val="en-NZ"/>
              </w:rPr>
            </w:pPr>
            <w:r w:rsidRPr="006048DA">
              <w:t>Relationship between critical speed, use of detuners/dampers and materials in engine components is clarified</w:t>
            </w:r>
          </w:p>
        </w:tc>
      </w:tr>
      <w:tr w:rsidTr="006048D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6048DA" w:rsidP="006048DA">
            <w:pPr>
              <w:pStyle w:val="BodyText"/>
            </w:pPr>
            <w:r w:rsidRPr="006048DA">
              <w:rPr>
                <w:rStyle w:val="SpecialBold"/>
              </w:rPr>
              <w:t>5</w:t>
            </w:r>
          </w:p>
        </w:tc>
        <w:tc>
          <w:tcPr>
            <w:tcW w:w="2762" w:type="dxa"/>
            <w:tcBorders>
              <w:top w:val="nil"/>
              <w:left w:val="nil"/>
              <w:bottom w:val="nil"/>
              <w:right w:val="nil"/>
            </w:tcBorders>
            <w:tcMar>
              <w:top w:w="0" w:type="dxa"/>
              <w:left w:w="62" w:type="dxa"/>
              <w:bottom w:w="0" w:type="dxa"/>
              <w:right w:w="62" w:type="dxa"/>
            </w:tcMar>
          </w:tcPr>
          <w:p w:rsidR="00000000" w:rsidRPr="006048DA" w:rsidP="006048DA">
            <w:pPr>
              <w:pStyle w:val="BodyText"/>
            </w:pPr>
            <w:r w:rsidRPr="006048DA">
              <w:rPr>
                <w:rStyle w:val="SpecialBold"/>
              </w:rPr>
              <w:t>Explain safe working practices associated with diesel engines during maintenance, repair and operation</w:t>
            </w:r>
          </w:p>
        </w:tc>
        <w:tc>
          <w:tcPr>
            <w:tcW w:w="702" w:type="dxa"/>
            <w:tcBorders>
              <w:top w:val="nil"/>
              <w:left w:val="nil"/>
              <w:bottom w:val="nil"/>
              <w:right w:val="nil"/>
            </w:tcBorders>
            <w:tcMar>
              <w:top w:w="0" w:type="dxa"/>
              <w:left w:w="62" w:type="dxa"/>
              <w:bottom w:w="0" w:type="dxa"/>
              <w:right w:w="62" w:type="dxa"/>
            </w:tcMar>
          </w:tcPr>
          <w:p w:rsidR="00000000" w:rsidP="006048DA">
            <w:pPr>
              <w:pStyle w:val="BodyText"/>
              <w:rPr>
                <w:lang w:val="en-NZ"/>
              </w:rPr>
            </w:pPr>
            <w:r w:rsidRPr="006048DA">
              <w:rPr>
                <w:rStyle w:val="SpecialBold"/>
              </w:rPr>
              <w:t>5.1</w:t>
            </w:r>
          </w:p>
        </w:tc>
        <w:tc>
          <w:tcPr>
            <w:tcW w:w="5627" w:type="dxa"/>
            <w:tcBorders>
              <w:top w:val="nil"/>
              <w:left w:val="nil"/>
              <w:bottom w:val="nil"/>
              <w:right w:val="nil"/>
            </w:tcBorders>
            <w:tcMar>
              <w:top w:w="0" w:type="dxa"/>
              <w:left w:w="62" w:type="dxa"/>
              <w:bottom w:w="0" w:type="dxa"/>
              <w:right w:w="62" w:type="dxa"/>
            </w:tcMar>
          </w:tcPr>
          <w:p w:rsidR="00000000" w:rsidP="006048DA">
            <w:pPr>
              <w:pStyle w:val="BodyText"/>
              <w:rPr>
                <w:lang w:val="en-NZ"/>
              </w:rPr>
            </w:pPr>
            <w:r w:rsidRPr="006048DA">
              <w:t>Safe practices for isolating propulsi</w:t>
            </w:r>
            <w:r w:rsidRPr="006048DA">
              <w:t>on and power generation diesel engines prior to work commencement are confirmed</w:t>
            </w:r>
          </w:p>
        </w:tc>
      </w:tr>
      <w:tr w:rsidTr="006048D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048D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48DA">
            <w:pPr>
              <w:pStyle w:val="BodyText"/>
              <w:rPr>
                <w:lang w:val="en-NZ"/>
              </w:rPr>
            </w:pPr>
            <w:r w:rsidRPr="006048DA">
              <w:rPr>
                <w:rStyle w:val="SpecialBold"/>
              </w:rPr>
              <w:t>5.2</w:t>
            </w:r>
          </w:p>
        </w:tc>
        <w:tc>
          <w:tcPr>
            <w:tcW w:w="5627" w:type="dxa"/>
            <w:tcBorders>
              <w:top w:val="nil"/>
              <w:left w:val="nil"/>
              <w:bottom w:val="nil"/>
              <w:right w:val="nil"/>
            </w:tcBorders>
            <w:tcMar>
              <w:top w:w="0" w:type="dxa"/>
              <w:left w:w="62" w:type="dxa"/>
              <w:bottom w:w="0" w:type="dxa"/>
              <w:right w:w="62" w:type="dxa"/>
            </w:tcMar>
          </w:tcPr>
          <w:p w:rsidR="00000000" w:rsidP="006048DA">
            <w:pPr>
              <w:pStyle w:val="BodyText"/>
              <w:rPr>
                <w:lang w:val="en-NZ"/>
              </w:rPr>
            </w:pPr>
            <w:r w:rsidRPr="006048DA">
              <w:t>Personal protective (PPE) to be used during all aspects of diesel maintenance is identified</w:t>
            </w:r>
          </w:p>
        </w:tc>
      </w:tr>
      <w:tr w:rsidTr="006048D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048D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48DA">
            <w:pPr>
              <w:pStyle w:val="BodyText"/>
              <w:rPr>
                <w:lang w:val="en-NZ"/>
              </w:rPr>
            </w:pPr>
            <w:r w:rsidRPr="006048DA">
              <w:rPr>
                <w:rStyle w:val="SpecialBold"/>
              </w:rPr>
              <w:t>5.3</w:t>
            </w:r>
          </w:p>
        </w:tc>
        <w:tc>
          <w:tcPr>
            <w:tcW w:w="5627" w:type="dxa"/>
            <w:tcBorders>
              <w:top w:val="nil"/>
              <w:left w:val="nil"/>
              <w:bottom w:val="nil"/>
              <w:right w:val="nil"/>
            </w:tcBorders>
            <w:tcMar>
              <w:top w:w="0" w:type="dxa"/>
              <w:left w:w="62" w:type="dxa"/>
              <w:bottom w:w="0" w:type="dxa"/>
              <w:right w:w="62" w:type="dxa"/>
            </w:tcMar>
          </w:tcPr>
          <w:p w:rsidR="00000000" w:rsidP="006048DA">
            <w:pPr>
              <w:pStyle w:val="BodyText"/>
              <w:rPr>
                <w:lang w:val="en-NZ"/>
              </w:rPr>
            </w:pPr>
            <w:r w:rsidRPr="006048DA">
              <w:t>Hazards associated with working on diesel engines and systems, including working in enclosed spaces, are identified</w:t>
            </w:r>
          </w:p>
        </w:tc>
      </w:tr>
      <w:tr w:rsidTr="006048D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048D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48DA">
            <w:pPr>
              <w:pStyle w:val="BodyText"/>
              <w:rPr>
                <w:lang w:val="en-NZ"/>
              </w:rPr>
            </w:pPr>
            <w:r w:rsidRPr="006048DA">
              <w:rPr>
                <w:rStyle w:val="SpecialBold"/>
              </w:rPr>
              <w:t>5.4</w:t>
            </w:r>
          </w:p>
        </w:tc>
        <w:tc>
          <w:tcPr>
            <w:tcW w:w="5627" w:type="dxa"/>
            <w:tcBorders>
              <w:top w:val="nil"/>
              <w:left w:val="nil"/>
              <w:bottom w:val="nil"/>
              <w:right w:val="nil"/>
            </w:tcBorders>
            <w:tcMar>
              <w:top w:w="0" w:type="dxa"/>
              <w:left w:w="62" w:type="dxa"/>
              <w:bottom w:w="0" w:type="dxa"/>
              <w:right w:w="62" w:type="dxa"/>
            </w:tcMar>
          </w:tcPr>
          <w:p w:rsidR="00000000" w:rsidP="006048DA">
            <w:pPr>
              <w:pStyle w:val="BodyText"/>
              <w:rPr>
                <w:lang w:val="en-NZ"/>
              </w:rPr>
            </w:pPr>
            <w:r w:rsidRPr="006048DA">
              <w:t>Correct procedures for using hydraulic tools and high-pressure fuel injection test equipment are clarified</w:t>
            </w:r>
          </w:p>
        </w:tc>
      </w:tr>
      <w:tr w:rsidTr="006048D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048D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48DA">
            <w:pPr>
              <w:pStyle w:val="BodyText"/>
              <w:rPr>
                <w:lang w:val="en-NZ"/>
              </w:rPr>
            </w:pPr>
            <w:r w:rsidRPr="006048DA">
              <w:rPr>
                <w:rStyle w:val="SpecialBold"/>
              </w:rPr>
              <w:t>5.5</w:t>
            </w:r>
          </w:p>
        </w:tc>
        <w:tc>
          <w:tcPr>
            <w:tcW w:w="5627" w:type="dxa"/>
            <w:tcBorders>
              <w:top w:val="nil"/>
              <w:left w:val="nil"/>
              <w:bottom w:val="nil"/>
              <w:right w:val="nil"/>
            </w:tcBorders>
            <w:tcMar>
              <w:top w:w="0" w:type="dxa"/>
              <w:left w:w="62" w:type="dxa"/>
              <w:bottom w:w="0" w:type="dxa"/>
              <w:right w:w="62" w:type="dxa"/>
            </w:tcMar>
          </w:tcPr>
          <w:p w:rsidR="00000000" w:rsidP="006048DA">
            <w:pPr>
              <w:pStyle w:val="BodyText"/>
              <w:rPr>
                <w:lang w:val="en-NZ"/>
              </w:rPr>
            </w:pPr>
            <w:r w:rsidRPr="006048DA">
              <w:t xml:space="preserve">Purpose, operation </w:t>
            </w:r>
            <w:r w:rsidRPr="006048DA">
              <w:t>and maintenance of safety interlocks and protective cut-outs of engine manoeuvring systems is determined</w:t>
            </w:r>
          </w:p>
        </w:tc>
      </w:tr>
      <w:tr w:rsidTr="006048D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6048DA" w:rsidP="006048DA">
            <w:pPr>
              <w:pStyle w:val="BodyText"/>
            </w:pPr>
            <w:r w:rsidRPr="006048DA">
              <w:rPr>
                <w:rStyle w:val="SpecialBold"/>
              </w:rPr>
              <w:t>6</w:t>
            </w:r>
          </w:p>
        </w:tc>
        <w:tc>
          <w:tcPr>
            <w:tcW w:w="2762" w:type="dxa"/>
            <w:tcBorders>
              <w:top w:val="nil"/>
              <w:left w:val="nil"/>
              <w:bottom w:val="nil"/>
              <w:right w:val="nil"/>
            </w:tcBorders>
            <w:tcMar>
              <w:top w:w="0" w:type="dxa"/>
              <w:left w:w="62" w:type="dxa"/>
              <w:bottom w:w="0" w:type="dxa"/>
              <w:right w:w="62" w:type="dxa"/>
            </w:tcMar>
          </w:tcPr>
          <w:p w:rsidR="00000000" w:rsidRPr="006048DA" w:rsidP="006048DA">
            <w:pPr>
              <w:pStyle w:val="BodyText"/>
            </w:pPr>
            <w:r w:rsidRPr="006048DA">
              <w:rPr>
                <w:rStyle w:val="SpecialBold"/>
              </w:rPr>
              <w:t>Explain procedures for preventing and responding to crankcase and air-line explosions, and scavenge and uptake fires</w:t>
            </w:r>
          </w:p>
        </w:tc>
        <w:tc>
          <w:tcPr>
            <w:tcW w:w="702" w:type="dxa"/>
            <w:tcBorders>
              <w:top w:val="nil"/>
              <w:left w:val="nil"/>
              <w:bottom w:val="nil"/>
              <w:right w:val="nil"/>
            </w:tcBorders>
            <w:tcMar>
              <w:top w:w="0" w:type="dxa"/>
              <w:left w:w="62" w:type="dxa"/>
              <w:bottom w:w="0" w:type="dxa"/>
              <w:right w:w="62" w:type="dxa"/>
            </w:tcMar>
          </w:tcPr>
          <w:p w:rsidR="00000000" w:rsidP="006048DA">
            <w:pPr>
              <w:pStyle w:val="BodyText"/>
              <w:rPr>
                <w:lang w:val="en-NZ"/>
              </w:rPr>
            </w:pPr>
            <w:r w:rsidRPr="006048DA">
              <w:rPr>
                <w:rStyle w:val="SpecialBold"/>
              </w:rPr>
              <w:t>6.1</w:t>
            </w:r>
          </w:p>
        </w:tc>
        <w:tc>
          <w:tcPr>
            <w:tcW w:w="5627" w:type="dxa"/>
            <w:tcBorders>
              <w:top w:val="nil"/>
              <w:left w:val="nil"/>
              <w:bottom w:val="nil"/>
              <w:right w:val="nil"/>
            </w:tcBorders>
            <w:tcMar>
              <w:top w:w="0" w:type="dxa"/>
              <w:left w:w="62" w:type="dxa"/>
              <w:bottom w:w="0" w:type="dxa"/>
              <w:right w:w="62" w:type="dxa"/>
            </w:tcMar>
          </w:tcPr>
          <w:p w:rsidR="00000000" w:rsidP="006048DA">
            <w:pPr>
              <w:pStyle w:val="BodyText"/>
              <w:rPr>
                <w:lang w:val="en-NZ"/>
              </w:rPr>
            </w:pPr>
            <w:r w:rsidRPr="006048DA">
              <w:t xml:space="preserve">Causes, symptoms and means </w:t>
            </w:r>
            <w:r w:rsidRPr="006048DA">
              <w:t>of preventing and extinguishing uptake and economiser fires are outlined</w:t>
            </w:r>
          </w:p>
        </w:tc>
      </w:tr>
      <w:tr w:rsidTr="006048D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048D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48DA">
            <w:pPr>
              <w:pStyle w:val="BodyText"/>
              <w:rPr>
                <w:lang w:val="en-NZ"/>
              </w:rPr>
            </w:pPr>
            <w:r w:rsidRPr="006048DA">
              <w:rPr>
                <w:rStyle w:val="SpecialBold"/>
              </w:rPr>
              <w:t>6.2</w:t>
            </w:r>
          </w:p>
        </w:tc>
        <w:tc>
          <w:tcPr>
            <w:tcW w:w="5627" w:type="dxa"/>
            <w:tcBorders>
              <w:top w:val="nil"/>
              <w:left w:val="nil"/>
              <w:bottom w:val="nil"/>
              <w:right w:val="nil"/>
            </w:tcBorders>
            <w:tcMar>
              <w:top w:w="0" w:type="dxa"/>
              <w:left w:w="62" w:type="dxa"/>
              <w:bottom w:w="0" w:type="dxa"/>
              <w:right w:w="62" w:type="dxa"/>
            </w:tcMar>
          </w:tcPr>
          <w:p w:rsidR="00000000" w:rsidP="006048DA">
            <w:pPr>
              <w:pStyle w:val="BodyText"/>
              <w:rPr>
                <w:lang w:val="en-NZ"/>
              </w:rPr>
            </w:pPr>
            <w:r w:rsidRPr="006048DA">
              <w:t>Risks of continued service with an isolated waste heat unit are assessed</w:t>
            </w:r>
          </w:p>
        </w:tc>
      </w:tr>
      <w:tr w:rsidTr="006048D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048D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48DA">
            <w:pPr>
              <w:pStyle w:val="BodyText"/>
              <w:rPr>
                <w:lang w:val="en-NZ"/>
              </w:rPr>
            </w:pPr>
            <w:r w:rsidRPr="006048DA">
              <w:rPr>
                <w:rStyle w:val="SpecialBold"/>
              </w:rPr>
              <w:t>6.3</w:t>
            </w:r>
          </w:p>
        </w:tc>
        <w:tc>
          <w:tcPr>
            <w:tcW w:w="5627" w:type="dxa"/>
            <w:tcBorders>
              <w:top w:val="nil"/>
              <w:left w:val="nil"/>
              <w:bottom w:val="nil"/>
              <w:right w:val="nil"/>
            </w:tcBorders>
            <w:tcMar>
              <w:top w:w="0" w:type="dxa"/>
              <w:left w:w="62" w:type="dxa"/>
              <w:bottom w:w="0" w:type="dxa"/>
              <w:right w:w="62" w:type="dxa"/>
            </w:tcMar>
          </w:tcPr>
          <w:p w:rsidR="00000000" w:rsidP="006048DA">
            <w:pPr>
              <w:pStyle w:val="BodyText"/>
              <w:rPr>
                <w:lang w:val="en-NZ"/>
              </w:rPr>
            </w:pPr>
            <w:r w:rsidRPr="006048DA">
              <w:t>Causes, symptoms, methods of extinguishing and prevention of scavenge fires are evaluated</w:t>
            </w:r>
          </w:p>
        </w:tc>
      </w:tr>
      <w:tr w:rsidTr="006048D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048D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48DA">
            <w:pPr>
              <w:pStyle w:val="BodyText"/>
              <w:rPr>
                <w:lang w:val="en-NZ"/>
              </w:rPr>
            </w:pPr>
            <w:r w:rsidRPr="006048DA">
              <w:rPr>
                <w:rStyle w:val="SpecialBold"/>
              </w:rPr>
              <w:t>6.4</w:t>
            </w:r>
          </w:p>
        </w:tc>
        <w:tc>
          <w:tcPr>
            <w:tcW w:w="5627" w:type="dxa"/>
            <w:tcBorders>
              <w:top w:val="nil"/>
              <w:left w:val="nil"/>
              <w:bottom w:val="nil"/>
              <w:right w:val="nil"/>
            </w:tcBorders>
            <w:tcMar>
              <w:top w:w="0" w:type="dxa"/>
              <w:left w:w="62" w:type="dxa"/>
              <w:bottom w:w="0" w:type="dxa"/>
              <w:right w:w="62" w:type="dxa"/>
            </w:tcMar>
          </w:tcPr>
          <w:p w:rsidR="00000000" w:rsidP="006048DA">
            <w:pPr>
              <w:pStyle w:val="BodyText"/>
              <w:rPr>
                <w:lang w:val="en-NZ"/>
              </w:rPr>
            </w:pPr>
            <w:r w:rsidRPr="006048DA">
              <w:t>Causes and hazards associated with starting air-line explosions are identified</w:t>
            </w:r>
          </w:p>
        </w:tc>
      </w:tr>
      <w:tr w:rsidTr="006048D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048D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48DA">
            <w:pPr>
              <w:pStyle w:val="BodyText"/>
              <w:rPr>
                <w:lang w:val="en-NZ"/>
              </w:rPr>
            </w:pPr>
            <w:r w:rsidRPr="006048DA">
              <w:rPr>
                <w:rStyle w:val="SpecialBold"/>
              </w:rPr>
              <w:t>6.5</w:t>
            </w:r>
          </w:p>
        </w:tc>
        <w:tc>
          <w:tcPr>
            <w:tcW w:w="5627" w:type="dxa"/>
            <w:tcBorders>
              <w:top w:val="nil"/>
              <w:left w:val="nil"/>
              <w:bottom w:val="nil"/>
              <w:right w:val="nil"/>
            </w:tcBorders>
            <w:tcMar>
              <w:top w:w="0" w:type="dxa"/>
              <w:left w:w="62" w:type="dxa"/>
              <w:bottom w:w="0" w:type="dxa"/>
              <w:right w:w="62" w:type="dxa"/>
            </w:tcMar>
          </w:tcPr>
          <w:p w:rsidR="00000000" w:rsidP="006048DA">
            <w:pPr>
              <w:pStyle w:val="BodyText"/>
              <w:rPr>
                <w:lang w:val="en-NZ"/>
              </w:rPr>
            </w:pPr>
            <w:r w:rsidRPr="006048DA">
              <w:t>Protective devices fitted to air starting systems to minimise risk of explosion, and routine inspection and maintenance required are detailed</w:t>
            </w:r>
          </w:p>
        </w:tc>
      </w:tr>
      <w:tr w:rsidTr="006048D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048D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48DA">
            <w:pPr>
              <w:pStyle w:val="BodyText"/>
              <w:rPr>
                <w:lang w:val="en-NZ"/>
              </w:rPr>
            </w:pPr>
            <w:r w:rsidRPr="006048DA">
              <w:rPr>
                <w:rStyle w:val="SpecialBold"/>
              </w:rPr>
              <w:t>6.6</w:t>
            </w:r>
          </w:p>
        </w:tc>
        <w:tc>
          <w:tcPr>
            <w:tcW w:w="5627" w:type="dxa"/>
            <w:tcBorders>
              <w:top w:val="nil"/>
              <w:left w:val="nil"/>
              <w:bottom w:val="nil"/>
              <w:right w:val="nil"/>
            </w:tcBorders>
            <w:tcMar>
              <w:top w:w="0" w:type="dxa"/>
              <w:left w:w="62" w:type="dxa"/>
              <w:bottom w:w="0" w:type="dxa"/>
              <w:right w:w="62" w:type="dxa"/>
            </w:tcMar>
          </w:tcPr>
          <w:p w:rsidR="00000000" w:rsidP="006048DA">
            <w:pPr>
              <w:pStyle w:val="BodyText"/>
              <w:rPr>
                <w:lang w:val="en-NZ"/>
              </w:rPr>
            </w:pPr>
            <w:r w:rsidRPr="006048DA">
              <w:t>Causes and ways of p</w:t>
            </w:r>
            <w:r w:rsidRPr="006048DA">
              <w:t>reventing crankcase explosions in both diesel and dual-fuel engines are outlined</w:t>
            </w:r>
          </w:p>
        </w:tc>
      </w:tr>
      <w:tr w:rsidTr="006048D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048D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48DA">
            <w:pPr>
              <w:pStyle w:val="BodyText"/>
              <w:rPr>
                <w:lang w:val="en-NZ"/>
              </w:rPr>
            </w:pPr>
            <w:r w:rsidRPr="006048DA">
              <w:rPr>
                <w:rStyle w:val="SpecialBold"/>
              </w:rPr>
              <w:t>6.7</w:t>
            </w:r>
          </w:p>
        </w:tc>
        <w:tc>
          <w:tcPr>
            <w:tcW w:w="5627" w:type="dxa"/>
            <w:tcBorders>
              <w:top w:val="nil"/>
              <w:left w:val="nil"/>
              <w:bottom w:val="nil"/>
              <w:right w:val="nil"/>
            </w:tcBorders>
            <w:tcMar>
              <w:top w:w="0" w:type="dxa"/>
              <w:left w:w="62" w:type="dxa"/>
              <w:bottom w:w="0" w:type="dxa"/>
              <w:right w:w="62" w:type="dxa"/>
            </w:tcMar>
          </w:tcPr>
          <w:p w:rsidR="00000000" w:rsidRPr="006048DA" w:rsidP="006048DA">
            <w:pPr>
              <w:pStyle w:val="BodyText"/>
            </w:pPr>
            <w:r w:rsidRPr="006048DA">
              <w:t>Procedure to be taken in the event of an early warning of a hazardous crankcase atmosphere and required procedure to be followed after engine has stopped are clarified</w:t>
            </w:r>
          </w:p>
        </w:tc>
      </w:tr>
    </w:tbl>
    <w:p w:rsidR="00000000" w:rsidRPr="006048DA" w:rsidP="006048DA">
      <w:pPr>
        <w:pStyle w:val="NoPaddingFontSize1"/>
      </w:pPr>
    </w:p>
    <w:p w:rsidR="00000000" w:rsidRPr="006048DA" w:rsidP="006048DA">
      <w:pPr>
        <w:pStyle w:val="AllowPageBreak"/>
      </w:pPr>
    </w:p>
    <w:p w:rsidR="00000000" w:rsidRPr="006048DA" w:rsidP="006048DA">
      <w:pPr>
        <w:pStyle w:val="Heading1"/>
      </w:pPr>
      <w:bookmarkStart w:id="7" w:name="O_1280431"/>
      <w:bookmarkEnd w:id="7"/>
      <w:r w:rsidRPr="006048DA">
        <w:t>Foundation Skills</w:t>
      </w:r>
    </w:p>
    <w:tbl>
      <w:tblPr>
        <w:tblW w:w="9497" w:type="dxa"/>
        <w:tblLayout w:type="fixed"/>
        <w:tblCellMar>
          <w:left w:w="62" w:type="dxa"/>
          <w:right w:w="62" w:type="dxa"/>
        </w:tblCellMar>
        <w:tblLook w:val="0000"/>
      </w:tblPr>
      <w:tblGrid>
        <w:gridCol w:w="9497"/>
      </w:tblGrid>
      <w:tr w:rsidTr="006048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48DA" w:rsidP="006048DA">
            <w:pPr>
              <w:pStyle w:val="BodyText"/>
            </w:pPr>
            <w:r w:rsidRPr="006048DA">
              <w:t>Foundation skills essential to performance are explicit in the performance criteria of this unit of competency.</w:t>
            </w:r>
          </w:p>
        </w:tc>
      </w:tr>
    </w:tbl>
    <w:p w:rsidR="00750532" w:rsidP="006048DA">
      <w:pPr>
        <w:pStyle w:val="NoPaddingFontSize1"/>
      </w:pPr>
    </w:p>
    <w:p w:rsidR="00750532" w:rsidP="006048DA">
      <w:pPr>
        <w:pStyle w:val="NoPaddingFontSize1"/>
      </w:pPr>
    </w:p>
    <w:p w:rsidR="00000000" w:rsidRPr="006048DA" w:rsidP="006048DA">
      <w:pPr>
        <w:pStyle w:val="Heading1"/>
      </w:pPr>
      <w:bookmarkStart w:id="8" w:name="O_1280430"/>
      <w:bookmarkEnd w:id="8"/>
      <w:r w:rsidRPr="006048DA">
        <w:t>Range of Conditions</w:t>
      </w:r>
    </w:p>
    <w:tbl>
      <w:tblPr>
        <w:tblW w:w="9497" w:type="dxa"/>
        <w:tblLayout w:type="fixed"/>
        <w:tblCellMar>
          <w:left w:w="62" w:type="dxa"/>
          <w:right w:w="62" w:type="dxa"/>
        </w:tblCellMar>
        <w:tblLook w:val="0000"/>
      </w:tblPr>
      <w:tblGrid>
        <w:gridCol w:w="9497"/>
      </w:tblGrid>
      <w:tr w:rsidTr="006048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48DA" w:rsidP="006048DA">
            <w:pPr>
              <w:pStyle w:val="BodyText"/>
            </w:pPr>
            <w:r w:rsidRPr="006048DA">
              <w:t>Range is restricted to essential operating conditions and any o</w:t>
            </w:r>
            <w:r w:rsidRPr="006048DA">
              <w:t>ther variables essential to the work environment.</w:t>
            </w:r>
          </w:p>
        </w:tc>
      </w:tr>
    </w:tbl>
    <w:p w:rsidR="00750532" w:rsidP="006048DA">
      <w:pPr>
        <w:pStyle w:val="NoPaddingFontSize1"/>
      </w:pPr>
    </w:p>
    <w:p w:rsidR="00750532" w:rsidP="006048DA">
      <w:pPr>
        <w:pStyle w:val="NoPaddingFontSize1"/>
      </w:pPr>
    </w:p>
    <w:p w:rsidR="00000000" w:rsidRPr="006048DA" w:rsidP="006048DA">
      <w:pPr>
        <w:pStyle w:val="Heading1"/>
      </w:pPr>
      <w:bookmarkStart w:id="9" w:name="O_1280429"/>
      <w:bookmarkEnd w:id="9"/>
      <w:r w:rsidRPr="006048DA">
        <w:t>Unit Mapping Information</w:t>
      </w:r>
    </w:p>
    <w:tbl>
      <w:tblPr>
        <w:tblW w:w="9497" w:type="dxa"/>
        <w:tblLayout w:type="fixed"/>
        <w:tblCellMar>
          <w:left w:w="62" w:type="dxa"/>
          <w:right w:w="62" w:type="dxa"/>
        </w:tblCellMar>
        <w:tblLook w:val="0000"/>
      </w:tblPr>
      <w:tblGrid>
        <w:gridCol w:w="9497"/>
      </w:tblGrid>
      <w:tr w:rsidTr="006048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48DA" w:rsidP="006048DA">
            <w:pPr>
              <w:pStyle w:val="BodyText"/>
            </w:pPr>
            <w:r w:rsidRPr="006048DA">
              <w:t>This unit replaces and is equivalent to MARL006 Demonstrate basic knowledge of marine diesel engines and systems.</w:t>
            </w:r>
          </w:p>
        </w:tc>
      </w:tr>
    </w:tbl>
    <w:p w:rsidR="00750532" w:rsidP="006048DA">
      <w:pPr>
        <w:pStyle w:val="NoPaddingFontSize1"/>
      </w:pPr>
    </w:p>
    <w:p w:rsidR="00750532" w:rsidP="006048DA">
      <w:pPr>
        <w:pStyle w:val="NoPaddingFontSize1"/>
      </w:pPr>
    </w:p>
    <w:p w:rsidR="00000000" w:rsidRPr="006048DA" w:rsidP="006048DA">
      <w:pPr>
        <w:pStyle w:val="Heading1"/>
      </w:pPr>
      <w:bookmarkStart w:id="10" w:name="O_1280438"/>
      <w:bookmarkEnd w:id="10"/>
      <w:r w:rsidRPr="006048DA">
        <w:t>Links</w:t>
      </w:r>
    </w:p>
    <w:p w:rsidR="00000000" w:rsidRPr="006048DA" w:rsidP="00750532">
      <w:pPr>
        <w:pStyle w:val="BodyText"/>
      </w:pPr>
      <w:r w:rsidRPr="006048DA">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4B75A5">
        <w:rPr>
          <w:rStyle w:val="Hyperlink"/>
        </w:rPr>
        <w:t>https://vetnet.gov.au/Pages/TrainingDocs.aspx?q=772efb7b-4cce-47fe-9bbd-ee3b1d1eb4c2</w:t>
      </w:r>
      <w:r>
        <w:fldChar w:fldCharType="end"/>
      </w:r>
    </w:p>
    <w:p w:rsidR="00000000" w:rsidRPr="006048DA" w:rsidP="00750532">
      <w:pPr>
        <w:pStyle w:val="BodyText"/>
        <w:sectPr w:rsidSect="006048DA">
          <w:headerReference w:type="default" r:id="rId10"/>
          <w:footerReference w:type="default" r:id="rId11"/>
          <w:pgSz w:w="11908" w:h="16833"/>
          <w:pgMar w:top="1702" w:right="1418" w:bottom="1702" w:left="1418" w:header="992" w:footer="992" w:gutter="0"/>
          <w:cols w:space="720"/>
          <w:noEndnote/>
          <w:docGrid w:linePitch="299"/>
        </w:sectPr>
      </w:pPr>
    </w:p>
    <w:p w:rsidR="00000000" w:rsidRPr="006048DA" w:rsidP="006048DA">
      <w:pPr>
        <w:pStyle w:val="SuperHeading"/>
      </w:pPr>
      <w:r w:rsidRPr="006048DA">
        <w:t xml:space="preserve">Assessment </w:t>
      </w:r>
      <w:r w:rsidRPr="006048DA">
        <w:t>Requirements for MARL057 Demonstrate basic knowledge of marine diesel engines and systems</w:t>
      </w:r>
    </w:p>
    <w:p w:rsidR="00000000" w:rsidRPr="006048DA" w:rsidP="006048DA">
      <w:pPr>
        <w:pStyle w:val="Heading1"/>
      </w:pPr>
      <w:bookmarkStart w:id="11" w:name="O_1280427"/>
      <w:bookmarkEnd w:id="11"/>
      <w:r w:rsidRPr="006048DA">
        <w:t>Modification History</w:t>
      </w:r>
    </w:p>
    <w:tbl>
      <w:tblPr>
        <w:tblW w:w="9497" w:type="dxa"/>
        <w:tblLayout w:type="fixed"/>
        <w:tblCellMar>
          <w:left w:w="62" w:type="dxa"/>
          <w:right w:w="62" w:type="dxa"/>
        </w:tblCellMar>
        <w:tblLook w:val="0000"/>
      </w:tblPr>
      <w:tblGrid>
        <w:gridCol w:w="9497"/>
      </w:tblGrid>
      <w:tr w:rsidTr="006048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048DA">
            <w:pPr>
              <w:pStyle w:val="BodyText"/>
              <w:rPr>
                <w:lang w:val="en-NZ"/>
              </w:rPr>
            </w:pPr>
            <w:r w:rsidRPr="006048DA">
              <w:rPr>
                <w:rStyle w:val="SpecialBold"/>
              </w:rPr>
              <w:t>Release 2.</w:t>
            </w:r>
            <w:r w:rsidRPr="006048DA">
              <w:t xml:space="preserve"> This is the second release of this qualification in the MAR Maritime Training Package with minor change to performan</w:t>
            </w:r>
            <w:r w:rsidRPr="006048DA">
              <w:t>ce evidence.</w:t>
            </w:r>
          </w:p>
        </w:tc>
      </w:tr>
      <w:tr w:rsidTr="006048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48DA" w:rsidP="006048DA">
            <w:pPr>
              <w:pStyle w:val="BodyText"/>
            </w:pPr>
            <w:r w:rsidRPr="006048DA">
              <w:rPr>
                <w:rStyle w:val="SpecialBold"/>
              </w:rPr>
              <w:t>Release 1.</w:t>
            </w:r>
            <w:r w:rsidRPr="006048DA">
              <w:t xml:space="preserve"> This is the first release of this unit of competency in the MAR Maritime Training Package.</w:t>
            </w:r>
          </w:p>
        </w:tc>
      </w:tr>
    </w:tbl>
    <w:p w:rsidR="00000000" w:rsidRPr="006048DA" w:rsidP="006048DA">
      <w:pPr>
        <w:pStyle w:val="NoPaddingFontSize1"/>
      </w:pPr>
    </w:p>
    <w:p w:rsidR="00000000" w:rsidRPr="006048DA" w:rsidP="006048DA">
      <w:pPr>
        <w:pStyle w:val="AllowPageBreak"/>
      </w:pPr>
    </w:p>
    <w:p w:rsidR="00000000" w:rsidRPr="006048DA" w:rsidP="006048DA">
      <w:pPr>
        <w:pStyle w:val="Heading1"/>
      </w:pPr>
      <w:bookmarkStart w:id="12" w:name="O_1280426"/>
      <w:bookmarkEnd w:id="12"/>
      <w:r w:rsidRPr="006048DA">
        <w:t>Performance Evidence</w:t>
      </w:r>
    </w:p>
    <w:tbl>
      <w:tblPr>
        <w:tblW w:w="9497" w:type="dxa"/>
        <w:tblLayout w:type="fixed"/>
        <w:tblCellMar>
          <w:left w:w="62" w:type="dxa"/>
          <w:right w:w="62" w:type="dxa"/>
        </w:tblCellMar>
        <w:tblLook w:val="0000"/>
      </w:tblPr>
      <w:tblGrid>
        <w:gridCol w:w="9497"/>
      </w:tblGrid>
      <w:tr w:rsidTr="006048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48DA" w:rsidP="006048DA">
            <w:pPr>
              <w:pStyle w:val="BodyText"/>
            </w:pPr>
            <w:r w:rsidRPr="006048DA">
              <w:t>Evidence required to demonstrate competence in this unit must be relevant to and satisfy all of the requirements of the elements and performance criteria on at least one occasion and include:</w:t>
            </w:r>
          </w:p>
          <w:p w:rsidR="00000000" w:rsidRPr="006048DA" w:rsidP="006048DA">
            <w:pPr>
              <w:pStyle w:val="ListBullet"/>
            </w:pPr>
            <w:r w:rsidRPr="006048DA">
              <w:t>accessing diagnostic information related to marine diesel engin</w:t>
            </w:r>
            <w:r w:rsidRPr="006048DA">
              <w:t>es and systems</w:t>
            </w:r>
          </w:p>
          <w:p w:rsidR="00000000" w:rsidRPr="006048DA" w:rsidP="006048DA">
            <w:pPr>
              <w:pStyle w:val="ListBullet"/>
            </w:pPr>
            <w:r w:rsidRPr="006048DA">
              <w:t>assessing own work outcomes and maintaining knowledge of current codes, standards, regulations and industry practices</w:t>
            </w:r>
          </w:p>
          <w:p w:rsidR="00000000" w:rsidRPr="006048DA" w:rsidP="006048DA">
            <w:pPr>
              <w:pStyle w:val="ListBullet"/>
            </w:pPr>
            <w:r w:rsidRPr="006048DA">
              <w:t>explaining basic operation of marine diesel engines and systems</w:t>
            </w:r>
          </w:p>
          <w:p w:rsidR="00000000" w:rsidRPr="006048DA" w:rsidP="006048DA">
            <w:pPr>
              <w:pStyle w:val="ListBullet"/>
            </w:pPr>
            <w:r w:rsidRPr="006048DA">
              <w:t xml:space="preserve">identifying and applying relevant solutions for addressing </w:t>
            </w:r>
            <w:r w:rsidRPr="006048DA">
              <w:t>problems associated with marine diesel engines and systems</w:t>
            </w:r>
          </w:p>
          <w:p w:rsidR="00000000" w:rsidRPr="006048DA" w:rsidP="006048DA">
            <w:pPr>
              <w:pStyle w:val="ListBullet"/>
            </w:pPr>
            <w:r w:rsidRPr="006048DA">
              <w:t>identifying and interpreting diagnostic information, and performing mathematical calculations related to operating, maintaining and repairing marine diesel engines and systems</w:t>
            </w:r>
          </w:p>
          <w:p w:rsidR="00000000" w:rsidRPr="006048DA" w:rsidP="006048DA">
            <w:pPr>
              <w:pStyle w:val="ListBullet"/>
            </w:pPr>
            <w:r w:rsidRPr="006048DA">
              <w:t xml:space="preserve">identifying methods, </w:t>
            </w:r>
            <w:r w:rsidRPr="006048DA">
              <w:t>procedures and materials needed for operating, maintaining and repairing marine diesel engines and systems</w:t>
            </w:r>
          </w:p>
          <w:p w:rsidR="00000000" w:rsidRPr="006048DA" w:rsidP="006048DA">
            <w:pPr>
              <w:pStyle w:val="ListBullet"/>
            </w:pPr>
            <w:r w:rsidRPr="006048DA">
              <w:t>imparting knowledge and ideas through verbal, written and visual means</w:t>
            </w:r>
          </w:p>
          <w:p w:rsidR="00000000" w:rsidRPr="006048DA" w:rsidP="006048DA">
            <w:pPr>
              <w:pStyle w:val="ListBullet"/>
            </w:pPr>
            <w:r w:rsidRPr="006048DA">
              <w:t>providing accurate and reliable information</w:t>
            </w:r>
          </w:p>
          <w:p w:rsidR="00000000" w:rsidRPr="006048DA" w:rsidP="006048DA">
            <w:pPr>
              <w:pStyle w:val="ListBullet"/>
            </w:pPr>
            <w:r w:rsidRPr="006048DA">
              <w:t>providing appropriate level of det</w:t>
            </w:r>
            <w:r w:rsidRPr="006048DA">
              <w:t>ail in responses</w:t>
            </w:r>
          </w:p>
          <w:p w:rsidR="00000000" w:rsidRPr="006048DA" w:rsidP="006048DA">
            <w:pPr>
              <w:pStyle w:val="ListBullet"/>
            </w:pPr>
            <w:r w:rsidRPr="006048DA">
              <w:t>reading and interpreting manuals, technical specifications, safety data sheets (SDS)/material safety data sheets (MSDS) and manufacturer guides related to operating, maintaining and repairing marine diesel engines and systems.</w:t>
            </w:r>
          </w:p>
        </w:tc>
      </w:tr>
    </w:tbl>
    <w:p w:rsidR="00000000" w:rsidRPr="006048DA" w:rsidP="006048DA">
      <w:pPr>
        <w:pStyle w:val="NoPaddingFontSize1"/>
      </w:pPr>
    </w:p>
    <w:p w:rsidR="00000000" w:rsidRPr="006048DA" w:rsidP="006048DA">
      <w:pPr>
        <w:pStyle w:val="AllowPageBreak"/>
      </w:pPr>
    </w:p>
    <w:p w:rsidR="00000000" w:rsidRPr="006048DA" w:rsidP="006048DA">
      <w:pPr>
        <w:pStyle w:val="Heading1"/>
      </w:pPr>
      <w:bookmarkStart w:id="13" w:name="O_1280425"/>
      <w:bookmarkEnd w:id="13"/>
      <w:r w:rsidRPr="006048DA">
        <w:t>Knowledge Evidence</w:t>
      </w:r>
    </w:p>
    <w:tbl>
      <w:tblPr>
        <w:tblW w:w="9497" w:type="dxa"/>
        <w:tblLayout w:type="fixed"/>
        <w:tblCellMar>
          <w:left w:w="62" w:type="dxa"/>
          <w:right w:w="62" w:type="dxa"/>
        </w:tblCellMar>
        <w:tblLook w:val="0000"/>
      </w:tblPr>
      <w:tblGrid>
        <w:gridCol w:w="9497"/>
      </w:tblGrid>
      <w:tr w:rsidTr="006048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48DA" w:rsidP="006048DA">
            <w:pPr>
              <w:pStyle w:val="BodyText"/>
            </w:pPr>
            <w:r w:rsidRPr="006048DA">
              <w:t>Evidence required to demonstrate competence in this unit must be relevant to and satisfy all of the requirements of the elements and performance criteria and include knowledge of:</w:t>
            </w:r>
          </w:p>
          <w:p w:rsidR="00000000" w:rsidRPr="006048DA" w:rsidP="006048DA">
            <w:pPr>
              <w:pStyle w:val="ListBullet"/>
            </w:pPr>
            <w:r w:rsidRPr="006048DA">
              <w:t>basic principles of diesel engine operation, in</w:t>
            </w:r>
            <w:r w:rsidRPr="006048DA">
              <w:t>cluding:</w:t>
            </w:r>
          </w:p>
          <w:p w:rsidR="00000000" w:rsidRPr="006048DA" w:rsidP="006048DA">
            <w:pPr>
              <w:pStyle w:val="ListBullet2"/>
            </w:pPr>
            <w:r w:rsidRPr="006048DA">
              <w:t>basic construction</w:t>
            </w:r>
          </w:p>
          <w:p w:rsidR="00000000" w:rsidRPr="006048DA" w:rsidP="006048DA">
            <w:pPr>
              <w:pStyle w:val="ListBullet2"/>
            </w:pPr>
            <w:r w:rsidRPr="006048DA">
              <w:t>engine principles</w:t>
            </w:r>
          </w:p>
          <w:p w:rsidR="00000000" w:rsidRPr="006048DA" w:rsidP="006048DA">
            <w:pPr>
              <w:pStyle w:val="ListBullet2"/>
            </w:pPr>
            <w:r w:rsidRPr="006048DA">
              <w:t>engine types</w:t>
            </w:r>
          </w:p>
          <w:p w:rsidR="00000000" w:rsidRPr="006048DA" w:rsidP="006048DA">
            <w:pPr>
              <w:pStyle w:val="ListBullet2"/>
            </w:pPr>
            <w:r w:rsidRPr="006048DA">
              <w:t>fuel atomisation and combustion</w:t>
            </w:r>
          </w:p>
          <w:p w:rsidR="00000000" w:rsidRPr="006048DA" w:rsidP="006048DA">
            <w:pPr>
              <w:pStyle w:val="ListBullet2"/>
            </w:pPr>
            <w:r w:rsidRPr="006048DA">
              <w:t>heat-engine cycle</w:t>
            </w:r>
          </w:p>
          <w:p w:rsidR="00000000" w:rsidRPr="006048DA" w:rsidP="006048DA">
            <w:pPr>
              <w:pStyle w:val="ListBullet2"/>
            </w:pPr>
            <w:r w:rsidRPr="006048DA">
              <w:t>ideal gas cycle</w:t>
            </w:r>
          </w:p>
          <w:p w:rsidR="00000000" w:rsidRPr="006048DA" w:rsidP="006048DA">
            <w:pPr>
              <w:pStyle w:val="ListBullet"/>
            </w:pPr>
            <w:r w:rsidRPr="006048DA">
              <w:t>common combustion faults, including:</w:t>
            </w:r>
          </w:p>
          <w:p w:rsidR="00000000" w:rsidRPr="006048DA" w:rsidP="006048DA">
            <w:pPr>
              <w:pStyle w:val="ListBullet2"/>
            </w:pPr>
            <w:r w:rsidRPr="006048DA">
              <w:t>engine cylinder fuel supply</w:t>
            </w:r>
          </w:p>
          <w:p w:rsidR="00000000" w:rsidRPr="006048DA" w:rsidP="006048DA">
            <w:pPr>
              <w:pStyle w:val="ListBullet2"/>
            </w:pPr>
            <w:r w:rsidRPr="006048DA">
              <w:t>lack of total combustion</w:t>
            </w:r>
          </w:p>
          <w:p w:rsidR="00000000" w:rsidRPr="006048DA" w:rsidP="006048DA">
            <w:pPr>
              <w:pStyle w:val="ListBullet"/>
            </w:pPr>
            <w:r w:rsidRPr="006048DA">
              <w:t>components of diesel engines</w:t>
            </w:r>
          </w:p>
          <w:p w:rsidR="00000000" w:rsidRPr="006048DA" w:rsidP="006048DA">
            <w:pPr>
              <w:pStyle w:val="ListBullet"/>
            </w:pPr>
            <w:r w:rsidRPr="006048DA">
              <w:t>crankcase and air-line explosions, scavenge and uptake fires</w:t>
            </w:r>
          </w:p>
          <w:p w:rsidR="00000000" w:rsidRPr="006048DA" w:rsidP="006048DA">
            <w:pPr>
              <w:pStyle w:val="ListBullet"/>
            </w:pPr>
            <w:r w:rsidRPr="006048DA">
              <w:t>diesel engine, including:</w:t>
            </w:r>
          </w:p>
          <w:p w:rsidR="00000000" w:rsidRPr="006048DA" w:rsidP="006048DA">
            <w:pPr>
              <w:pStyle w:val="ListBullet2"/>
            </w:pPr>
            <w:r w:rsidRPr="006048DA">
              <w:t>medium speed and high-speed diesel engine</w:t>
            </w:r>
          </w:p>
          <w:p w:rsidR="00000000" w:rsidRPr="006048DA" w:rsidP="006048DA">
            <w:pPr>
              <w:pStyle w:val="ListBullet2"/>
            </w:pPr>
            <w:r w:rsidRPr="006048DA">
              <w:t>slow-speed diesel engine</w:t>
            </w:r>
          </w:p>
          <w:p w:rsidR="00000000" w:rsidRPr="006048DA" w:rsidP="006048DA">
            <w:pPr>
              <w:pStyle w:val="ListBullet"/>
            </w:pPr>
            <w:r w:rsidRPr="006048DA">
              <w:t>diesel engine:</w:t>
            </w:r>
          </w:p>
          <w:p w:rsidR="00000000" w:rsidRPr="006048DA" w:rsidP="006048DA">
            <w:pPr>
              <w:pStyle w:val="ListBullet2"/>
            </w:pPr>
            <w:r w:rsidRPr="006048DA">
              <w:t>lubrication systems</w:t>
            </w:r>
          </w:p>
          <w:p w:rsidR="00000000" w:rsidRPr="006048DA" w:rsidP="006048DA">
            <w:pPr>
              <w:pStyle w:val="ListBullet2"/>
            </w:pPr>
            <w:r w:rsidRPr="006048DA">
              <w:t>propulsion and power generation</w:t>
            </w:r>
          </w:p>
          <w:p w:rsidR="00000000" w:rsidRPr="006048DA" w:rsidP="006048DA">
            <w:pPr>
              <w:pStyle w:val="ListBullet"/>
            </w:pPr>
            <w:r w:rsidRPr="006048DA">
              <w:t>diagnostic information, including:</w:t>
            </w:r>
          </w:p>
          <w:p w:rsidR="00000000" w:rsidRPr="006048DA" w:rsidP="006048DA">
            <w:pPr>
              <w:pStyle w:val="ListBullet2"/>
            </w:pPr>
            <w:r w:rsidRPr="006048DA">
              <w:t>engine efficiency</w:t>
            </w:r>
          </w:p>
          <w:p w:rsidR="00000000" w:rsidRPr="006048DA" w:rsidP="006048DA">
            <w:pPr>
              <w:pStyle w:val="ListBullet2"/>
            </w:pPr>
            <w:r w:rsidRPr="006048DA">
              <w:t>fuel consumption</w:t>
            </w:r>
          </w:p>
          <w:p w:rsidR="00000000" w:rsidRPr="006048DA" w:rsidP="006048DA">
            <w:pPr>
              <w:pStyle w:val="ListBullet2"/>
            </w:pPr>
            <w:r w:rsidRPr="006048DA">
              <w:t>temperature</w:t>
            </w:r>
          </w:p>
          <w:p w:rsidR="00000000" w:rsidRPr="006048DA" w:rsidP="006048DA">
            <w:pPr>
              <w:pStyle w:val="ListBullet"/>
            </w:pPr>
            <w:r w:rsidRPr="006048DA">
              <w:t>hazards, including:</w:t>
            </w:r>
          </w:p>
          <w:p w:rsidR="00000000" w:rsidRPr="006048DA" w:rsidP="006048DA">
            <w:pPr>
              <w:pStyle w:val="ListBullet2"/>
            </w:pPr>
            <w:r w:rsidRPr="006048DA">
              <w:t>acids</w:t>
            </w:r>
          </w:p>
          <w:p w:rsidR="00000000" w:rsidRPr="006048DA" w:rsidP="006048DA">
            <w:pPr>
              <w:pStyle w:val="ListBullet2"/>
            </w:pPr>
            <w:r w:rsidRPr="006048DA">
              <w:t>chemicals</w:t>
            </w:r>
          </w:p>
          <w:p w:rsidR="00000000" w:rsidRPr="006048DA" w:rsidP="006048DA">
            <w:pPr>
              <w:pStyle w:val="ListBullet2"/>
            </w:pPr>
            <w:r w:rsidRPr="006048DA">
              <w:t>defective or bypassed machinery protective devices</w:t>
            </w:r>
          </w:p>
          <w:p w:rsidR="00000000" w:rsidRPr="006048DA" w:rsidP="006048DA">
            <w:pPr>
              <w:pStyle w:val="ListBullet2"/>
            </w:pPr>
            <w:r w:rsidRPr="006048DA">
              <w:t>defective or inappropriately adjusted exhaust systems</w:t>
            </w:r>
          </w:p>
          <w:p w:rsidR="00000000" w:rsidRPr="006048DA" w:rsidP="006048DA">
            <w:pPr>
              <w:pStyle w:val="ListBullet2"/>
            </w:pPr>
            <w:r w:rsidRPr="006048DA">
              <w:t>enclosed spaces</w:t>
            </w:r>
          </w:p>
          <w:p w:rsidR="00000000" w:rsidRPr="006048DA" w:rsidP="006048DA">
            <w:pPr>
              <w:pStyle w:val="ListBullet2"/>
            </w:pPr>
            <w:r w:rsidRPr="006048DA">
              <w:t>flammable liquids under pressure</w:t>
            </w:r>
          </w:p>
          <w:p w:rsidR="00000000" w:rsidRPr="006048DA" w:rsidP="006048DA">
            <w:pPr>
              <w:pStyle w:val="ListBullet2"/>
            </w:pPr>
            <w:r w:rsidRPr="006048DA">
              <w:t>hydrocarbons</w:t>
            </w:r>
          </w:p>
          <w:p w:rsidR="00000000" w:rsidRPr="006048DA" w:rsidP="006048DA">
            <w:pPr>
              <w:pStyle w:val="ListBullet2"/>
            </w:pPr>
            <w:r w:rsidRPr="006048DA">
              <w:t>leaking oil and fuel</w:t>
            </w:r>
          </w:p>
          <w:p w:rsidR="00000000" w:rsidRPr="006048DA" w:rsidP="006048DA">
            <w:pPr>
              <w:pStyle w:val="ListBullet2"/>
            </w:pPr>
            <w:r w:rsidRPr="006048DA">
              <w:t>lifting heavy components both unaided and with lifting gear</w:t>
            </w:r>
          </w:p>
          <w:p w:rsidR="00000000" w:rsidRPr="006048DA" w:rsidP="006048DA">
            <w:pPr>
              <w:pStyle w:val="ListBullet"/>
            </w:pPr>
            <w:r w:rsidRPr="006048DA">
              <w:t>manoeuvring systems of diesel engines</w:t>
            </w:r>
          </w:p>
          <w:p w:rsidR="00000000" w:rsidRPr="006048DA" w:rsidP="006048DA">
            <w:pPr>
              <w:pStyle w:val="ListBullet"/>
            </w:pPr>
            <w:r w:rsidRPr="006048DA">
              <w:t>methods of pressure-charging diesel engines, including:</w:t>
            </w:r>
          </w:p>
          <w:p w:rsidR="00000000" w:rsidRPr="006048DA" w:rsidP="006048DA">
            <w:pPr>
              <w:pStyle w:val="ListBullet2"/>
            </w:pPr>
            <w:r w:rsidRPr="006048DA">
              <w:t>exhaust gas turbocharging</w:t>
            </w:r>
          </w:p>
          <w:p w:rsidR="00000000" w:rsidRPr="006048DA" w:rsidP="006048DA">
            <w:pPr>
              <w:pStyle w:val="ListBullet2"/>
            </w:pPr>
            <w:r w:rsidRPr="006048DA">
              <w:t>positiv</w:t>
            </w:r>
            <w:r w:rsidRPr="006048DA">
              <w:t>e displacement engine-driven blowers</w:t>
            </w:r>
          </w:p>
          <w:p w:rsidR="00000000" w:rsidRPr="006048DA" w:rsidP="006048DA">
            <w:pPr>
              <w:pStyle w:val="ListBullet2"/>
            </w:pPr>
            <w:r w:rsidRPr="006048DA">
              <w:t>under-piston assistance</w:t>
            </w:r>
          </w:p>
          <w:p w:rsidR="00000000" w:rsidRPr="006048DA" w:rsidP="006048DA">
            <w:pPr>
              <w:pStyle w:val="ListBullet"/>
            </w:pPr>
            <w:r w:rsidRPr="006048DA">
              <w:t>pressure-charging diesel engines, including common service faults, actions to rectify faults, emergency operation and isolation procedures</w:t>
            </w:r>
          </w:p>
          <w:p w:rsidR="00000000" w:rsidRPr="006048DA" w:rsidP="006048DA">
            <w:pPr>
              <w:pStyle w:val="ListBullet"/>
            </w:pPr>
            <w:r w:rsidRPr="006048DA">
              <w:t>properties and characteristics of fires</w:t>
            </w:r>
          </w:p>
          <w:p w:rsidR="00000000" w:rsidRPr="006048DA" w:rsidP="006048DA">
            <w:pPr>
              <w:pStyle w:val="ListBullet"/>
            </w:pPr>
            <w:r w:rsidRPr="006048DA">
              <w:t>safe working practices associated with diesel engines during operation, maintenance and repair</w:t>
            </w:r>
          </w:p>
          <w:p w:rsidR="00000000" w:rsidRPr="006048DA" w:rsidP="006048DA">
            <w:pPr>
              <w:pStyle w:val="ListBullet"/>
            </w:pPr>
            <w:r w:rsidRPr="006048DA">
              <w:t>starting methods of diesel engines</w:t>
            </w:r>
          </w:p>
          <w:p w:rsidR="00000000" w:rsidRPr="006048DA" w:rsidP="006048DA">
            <w:pPr>
              <w:pStyle w:val="ListBullet"/>
            </w:pPr>
            <w:r w:rsidRPr="006048DA">
              <w:t>work health and safety (WHS)/occupational health and safety (OHS) legislation, policies and procedures.</w:t>
            </w:r>
          </w:p>
        </w:tc>
      </w:tr>
    </w:tbl>
    <w:p w:rsidR="00000000" w:rsidRPr="006048DA" w:rsidP="006048DA">
      <w:pPr>
        <w:pStyle w:val="NoPaddingFontSize1"/>
      </w:pPr>
    </w:p>
    <w:p w:rsidR="00000000" w:rsidRPr="006048DA" w:rsidP="006048DA">
      <w:pPr>
        <w:pStyle w:val="AllowPageBreak"/>
      </w:pPr>
    </w:p>
    <w:p w:rsidR="00000000" w:rsidRPr="006048DA" w:rsidP="006048DA">
      <w:pPr>
        <w:pStyle w:val="Heading1"/>
      </w:pPr>
      <w:bookmarkStart w:id="14" w:name="O_1280424"/>
      <w:bookmarkEnd w:id="14"/>
      <w:r w:rsidRPr="006048DA">
        <w:t>A</w:t>
      </w:r>
      <w:r w:rsidRPr="006048DA">
        <w:t>ssessment Conditions</w:t>
      </w:r>
    </w:p>
    <w:tbl>
      <w:tblPr>
        <w:tblW w:w="9497" w:type="dxa"/>
        <w:tblLayout w:type="fixed"/>
        <w:tblCellMar>
          <w:left w:w="62" w:type="dxa"/>
          <w:right w:w="62" w:type="dxa"/>
        </w:tblCellMar>
        <w:tblLook w:val="0000"/>
      </w:tblPr>
      <w:tblGrid>
        <w:gridCol w:w="9497"/>
      </w:tblGrid>
      <w:tr w:rsidTr="006048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48DA" w:rsidP="006048DA">
            <w:pPr>
              <w:pStyle w:val="BodyText"/>
            </w:pPr>
            <w:r w:rsidRPr="006048DA">
              <w:t>Assessors must hold credentials specified within the Standards for Registered Training Organisations current at the time of assessment.</w:t>
            </w:r>
          </w:p>
          <w:p w:rsidR="00000000" w:rsidRPr="006048DA" w:rsidP="006048DA">
            <w:pPr>
              <w:pStyle w:val="BodyText"/>
            </w:pPr>
            <w:r w:rsidRPr="006048DA">
              <w:t>Assessment must satisfy the Principles of Assessment and Rules of Evidence and all regulatory requi</w:t>
            </w:r>
            <w:r w:rsidRPr="006048DA">
              <w:t xml:space="preserve">rements included within the Standards for Registered Training Organisations current at the time of assessment.  </w:t>
            </w:r>
          </w:p>
          <w:p w:rsidR="00000000" w:rsidRPr="006048DA" w:rsidP="006048DA">
            <w:pPr>
              <w:pStyle w:val="BodyText"/>
            </w:pPr>
            <w:r w:rsidRPr="006048DA">
              <w:t>Assessment processes and techniques must be appropriate to the language, literacy and numeracy requirements of the work being performed and the</w:t>
            </w:r>
            <w:r w:rsidRPr="006048DA">
              <w:t xml:space="preserve"> needs of the candidate.</w:t>
            </w:r>
          </w:p>
          <w:p w:rsidR="00000000" w:rsidRPr="006048DA" w:rsidP="006048DA">
            <w:pPr>
              <w:pStyle w:val="BodyText"/>
            </w:pPr>
            <w:r w:rsidRPr="006048DA">
              <w:t xml:space="preserve">Practical assessment must occur in a workplace, or realistic simulated workplace, under the normal range of workplace conditions. </w:t>
            </w:r>
          </w:p>
          <w:p w:rsidR="00000000" w:rsidRPr="006048DA" w:rsidP="006048DA">
            <w:pPr>
              <w:pStyle w:val="BodyText"/>
            </w:pPr>
            <w:r w:rsidRPr="006048DA">
              <w:t>Simulations and scenarios may be used where situations cannot be provided in the workplace or may oc</w:t>
            </w:r>
            <w:r w:rsidRPr="006048DA">
              <w:t>cur only rarely, in particular for situations relating to emergency procedures and adverse weather conditions where assessment would be unsafe, impractical or may lead to environmental damage.</w:t>
            </w:r>
          </w:p>
          <w:p w:rsidR="00000000" w:rsidRPr="006048DA" w:rsidP="006048DA">
            <w:pPr>
              <w:pStyle w:val="BodyText"/>
            </w:pPr>
            <w:r w:rsidRPr="006048DA">
              <w:t>Resources for assessment must include access to:</w:t>
            </w:r>
          </w:p>
          <w:p w:rsidR="00000000" w:rsidRPr="006048DA" w:rsidP="006048DA">
            <w:pPr>
              <w:pStyle w:val="ListBullet"/>
            </w:pPr>
            <w:r w:rsidRPr="006048DA">
              <w:t xml:space="preserve">applicable documentation, such as legislation, regulations, codes of practice, workplace procedures and </w:t>
            </w:r>
            <w:r w:rsidRPr="006048DA">
              <w:t>operational manuals</w:t>
            </w:r>
          </w:p>
          <w:p w:rsidR="00000000" w:rsidRPr="006048DA" w:rsidP="006048DA">
            <w:pPr>
              <w:pStyle w:val="ListBullet"/>
            </w:pPr>
            <w:r w:rsidRPr="006048DA">
              <w:t>tools, equipment, machinery, materials and relevant personal protective equipment (PPE) currently used in industry, including:</w:t>
            </w:r>
          </w:p>
          <w:p w:rsidR="00000000" w:rsidRPr="006048DA" w:rsidP="006048DA">
            <w:pPr>
              <w:pStyle w:val="ListBullet"/>
            </w:pPr>
            <w:r w:rsidRPr="006048DA">
              <w:t>diese</w:t>
            </w:r>
            <w:r w:rsidRPr="006048DA">
              <w:t xml:space="preserve">l engine components: </w:t>
            </w:r>
          </w:p>
          <w:p w:rsidR="00000000" w:rsidRPr="006048DA" w:rsidP="006048DA">
            <w:pPr>
              <w:pStyle w:val="ListBullet3"/>
            </w:pPr>
            <w:r w:rsidRPr="006048DA">
              <w:t>camshafts</w:t>
            </w:r>
          </w:p>
          <w:p w:rsidR="00000000" w:rsidRPr="006048DA" w:rsidP="006048DA">
            <w:pPr>
              <w:pStyle w:val="ListBullet3"/>
            </w:pPr>
            <w:r w:rsidRPr="006048DA">
              <w:t>crankshafts</w:t>
            </w:r>
          </w:p>
          <w:p w:rsidR="00000000" w:rsidRPr="006048DA" w:rsidP="006048DA">
            <w:pPr>
              <w:pStyle w:val="ListBullet3"/>
            </w:pPr>
            <w:r w:rsidRPr="006048DA">
              <w:t>cross-heads</w:t>
            </w:r>
          </w:p>
          <w:p w:rsidR="00000000" w:rsidRPr="006048DA" w:rsidP="006048DA">
            <w:pPr>
              <w:pStyle w:val="ListBullet3"/>
            </w:pPr>
            <w:r w:rsidRPr="006048DA">
              <w:t>cylinder heads</w:t>
            </w:r>
          </w:p>
          <w:p w:rsidR="00000000" w:rsidRPr="006048DA" w:rsidP="006048DA">
            <w:pPr>
              <w:pStyle w:val="ListBullet3"/>
            </w:pPr>
            <w:r w:rsidRPr="006048DA">
              <w:t>exhaust valves</w:t>
            </w:r>
          </w:p>
          <w:p w:rsidR="00000000" w:rsidRPr="006048DA" w:rsidP="006048DA">
            <w:pPr>
              <w:pStyle w:val="ListBullet3"/>
            </w:pPr>
            <w:r w:rsidRPr="006048DA">
              <w:t>frames</w:t>
            </w:r>
          </w:p>
          <w:p w:rsidR="00000000" w:rsidRPr="006048DA" w:rsidP="006048DA">
            <w:pPr>
              <w:pStyle w:val="ListBullet3"/>
            </w:pPr>
            <w:r w:rsidRPr="006048DA">
              <w:t>fuel injectors</w:t>
            </w:r>
          </w:p>
          <w:p w:rsidR="00000000" w:rsidRPr="006048DA" w:rsidP="006048DA">
            <w:pPr>
              <w:pStyle w:val="ListBullet3"/>
            </w:pPr>
            <w:r w:rsidRPr="006048DA">
              <w:t>fuel pumps</w:t>
            </w:r>
          </w:p>
          <w:p w:rsidR="00000000" w:rsidRPr="006048DA" w:rsidP="006048DA">
            <w:pPr>
              <w:pStyle w:val="ListBullet3"/>
            </w:pPr>
            <w:r w:rsidRPr="006048DA">
              <w:t>liners</w:t>
            </w:r>
          </w:p>
          <w:p w:rsidR="00000000" w:rsidRPr="006048DA" w:rsidP="006048DA">
            <w:pPr>
              <w:pStyle w:val="ListBullet3"/>
            </w:pPr>
            <w:r w:rsidRPr="006048DA">
              <w:t>pistons</w:t>
            </w:r>
          </w:p>
          <w:p w:rsidR="00000000" w:rsidRPr="006048DA" w:rsidP="006048DA">
            <w:pPr>
              <w:pStyle w:val="ListBullet3"/>
            </w:pPr>
            <w:r w:rsidRPr="006048DA">
              <w:t>turbochargers</w:t>
            </w:r>
          </w:p>
          <w:p w:rsidR="00000000" w:rsidRPr="006048DA" w:rsidP="006048DA">
            <w:pPr>
              <w:pStyle w:val="ListBullet3"/>
            </w:pPr>
            <w:r w:rsidRPr="006048DA">
              <w:t>valves and rocker gear.</w:t>
            </w:r>
          </w:p>
        </w:tc>
      </w:tr>
    </w:tbl>
    <w:p w:rsidR="00000000" w:rsidRPr="006048DA" w:rsidP="006048DA">
      <w:pPr>
        <w:pStyle w:val="NoPaddingFontSize1"/>
      </w:pPr>
    </w:p>
    <w:p w:rsidR="00000000" w:rsidRPr="006048DA" w:rsidP="006048DA">
      <w:pPr>
        <w:pStyle w:val="AllowPageBreak"/>
      </w:pPr>
    </w:p>
    <w:p w:rsidR="00000000" w:rsidRPr="006048DA" w:rsidP="006048DA">
      <w:pPr>
        <w:pStyle w:val="Heading1"/>
      </w:pPr>
      <w:bookmarkStart w:id="15" w:name="O_1280439"/>
      <w:bookmarkEnd w:id="15"/>
      <w:r w:rsidRPr="006048DA">
        <w:t>Links</w:t>
      </w:r>
    </w:p>
    <w:p w:rsidR="00000000" w:rsidRPr="006048DA" w:rsidP="00750532">
      <w:pPr>
        <w:pStyle w:val="BodyText"/>
      </w:pPr>
      <w:r w:rsidRPr="006048DA">
        <w:t>Companion Volume Implementation Guides a</w:t>
      </w:r>
      <w:r w:rsidRPr="006048DA">
        <w:t xml:space="preserve">re found in VETNet - </w:t>
      </w:r>
      <w:r>
        <w:fldChar w:fldCharType="begin"/>
      </w:r>
      <w:r>
        <w:instrText xml:space="preserve"> HYPERLINK "https://vetnet.gov.au/Pages/TrainingDocs.aspx?q=772efb7b-4cce-47fe-9bbd-ee3b1d1eb4c2" </w:instrText>
      </w:r>
      <w:r>
        <w:fldChar w:fldCharType="separate"/>
      </w:r>
      <w:r w:rsidRPr="004B75A5">
        <w:rPr>
          <w:rStyle w:val="Hyperlink"/>
        </w:rPr>
        <w:t>https://vetnet.gov.au/Pages/TrainingDocs.aspx?q=772efb7b-4cce-47fe-9bbd-ee3b1d1eb4c2</w:t>
      </w:r>
      <w:r>
        <w:fldChar w:fldCharType="end"/>
      </w:r>
    </w:p>
    <w:p w:rsidR="00000000" w:rsidRPr="006048DA" w:rsidP="006048DA"/>
    <w:sectPr w:rsidSect="006048D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8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8DA" w:rsidRPr="00750532" w:rsidP="007505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8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532" w:rsidP="006048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50532" w:rsidP="006048D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50532" w:rsidP="006048D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8DA" w:rsidP="006048DA">
    <w:pPr>
      <w:pStyle w:val="Footer"/>
      <w:framePr w:wrap="around"/>
    </w:pPr>
    <w:r>
      <w:fldChar w:fldCharType="begin"/>
    </w:r>
    <w:r>
      <w:instrText xml:space="preserve"> DOCPROPERTY  Subject  \* MERGEFORMAT </w:instrText>
    </w:r>
    <w:r>
      <w:fldChar w:fldCharType="separate"/>
    </w:r>
    <w:r w:rsidR="00750532">
      <w:t>Approved</w:t>
    </w:r>
    <w:r w:rsidR="00750532">
      <w:fldChar w:fldCharType="end"/>
    </w:r>
    <w:r>
      <w:tab/>
      <w:t xml:space="preserve">Page </w:t>
    </w:r>
    <w:r>
      <w:fldChar w:fldCharType="begin"/>
    </w:r>
    <w:r>
      <w:instrText xml:space="preserve"> PAGE  \* Arabic  \* MERGEFORMAT </w:instrText>
    </w:r>
    <w:r>
      <w:fldChar w:fldCharType="separate"/>
    </w:r>
    <w:r w:rsidR="0075053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50532">
      <w:rPr>
        <w:noProof/>
      </w:rPr>
      <w:t>6</w:t>
    </w:r>
    <w:r>
      <w:rPr>
        <w:noProof/>
      </w:rPr>
      <w:fldChar w:fldCharType="end"/>
    </w:r>
  </w:p>
  <w:p w:rsidR="006048DA" w:rsidP="006048DA">
    <w:pPr>
      <w:pStyle w:val="Footer"/>
      <w:framePr w:wrap="around"/>
    </w:pPr>
    <w:r>
      <w:t xml:space="preserve">© Commonwealth of Australia, </w:t>
    </w:r>
    <w:r>
      <w:fldChar w:fldCharType="begin"/>
    </w:r>
    <w:r>
      <w:instrText xml:space="preserve"> DATE  \@ "yyyy"  \* MERGEFORMAT </w:instrText>
    </w:r>
    <w:r>
      <w:fldChar w:fldCharType="separate"/>
    </w:r>
    <w:r w:rsidR="00750532">
      <w:rPr>
        <w:noProof/>
      </w:rPr>
      <w:t>2025</w:t>
    </w:r>
    <w:r>
      <w:fldChar w:fldCharType="end"/>
    </w:r>
    <w:r>
      <w:tab/>
    </w:r>
    <w:r>
      <w:fldChar w:fldCharType="begin"/>
    </w:r>
    <w:r>
      <w:instrText xml:space="preserve"> DOCPROPERTY  Author  \* MERGEFORMAT </w:instrText>
    </w:r>
    <w:r>
      <w:fldChar w:fldCharType="separate"/>
    </w:r>
    <w:r w:rsidR="00750532">
      <w:t>Industry Skills Australia</w:t>
    </w:r>
    <w:r w:rsidR="00750532">
      <w:fldChar w:fldCharType="end"/>
    </w:r>
  </w:p>
  <w:p w:rsidR="006048DA" w:rsidP="006048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8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5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48DA" w:rsidRPr="00750532" w:rsidP="007505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8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532" w:rsidRPr="002D2AF8" w:rsidP="006048DA">
    <w:pPr>
      <w:pStyle w:val="Header"/>
      <w:framePr w:wrap="around"/>
    </w:pPr>
    <w:r>
      <w:fldChar w:fldCharType="begin"/>
    </w:r>
    <w:r>
      <w:instrText xml:space="preserve"> TITLE   \* MERGEFORMAT </w:instrText>
    </w:r>
    <w:r>
      <w:fldChar w:fldCharType="separate"/>
    </w:r>
    <w:r>
      <w:t>MARL057 Demonstrate basic knowledge of marine diesel engines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50532" w:rsidP="006048D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8DA" w:rsidRPr="002D2AF8" w:rsidP="006048DA">
    <w:pPr>
      <w:pStyle w:val="Header"/>
      <w:framePr w:wrap="around"/>
    </w:pPr>
    <w:r>
      <w:fldChar w:fldCharType="begin"/>
    </w:r>
    <w:r>
      <w:instrText xml:space="preserve"> TITLE   \* MERGEFORMAT </w:instrText>
    </w:r>
    <w:r>
      <w:fldChar w:fldCharType="separate"/>
    </w:r>
    <w:r w:rsidR="00750532">
      <w:t>MARL057 Demonstrate basic knowledge of marine diesel engines and systems</w:t>
    </w:r>
    <w:r w:rsidR="00750532">
      <w:fldChar w:fldCharType="end"/>
    </w:r>
    <w:r>
      <w:tab/>
      <w:t xml:space="preserve">Date this document was generated: </w:t>
    </w:r>
    <w:r>
      <w:fldChar w:fldCharType="begin"/>
    </w:r>
    <w:r>
      <w:instrText xml:space="preserve"> CREATEDATE  \@ "d MMMM yyyy"  \* MERGEFORMAT </w:instrText>
    </w:r>
    <w:r>
      <w:fldChar w:fldCharType="separate"/>
    </w:r>
    <w:r w:rsidR="00750532">
      <w:rPr>
        <w:noProof/>
      </w:rPr>
      <w:t>2 March 2025</w:t>
    </w:r>
    <w:r>
      <w:fldChar w:fldCharType="end"/>
    </w:r>
  </w:p>
  <w:p w:rsidR="006048DA" w:rsidP="006048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E4B0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EC2E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3878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8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48DA"/>
    <w:pPr>
      <w:spacing w:before="360" w:after="60"/>
      <w:outlineLvl w:val="0"/>
    </w:pPr>
    <w:rPr>
      <w:sz w:val="32"/>
    </w:rPr>
  </w:style>
  <w:style w:type="paragraph" w:styleId="Heading2">
    <w:name w:val="heading 2"/>
    <w:basedOn w:val="HeadingBase"/>
    <w:next w:val="BodyText"/>
    <w:link w:val="Heading2Char"/>
    <w:qFormat/>
    <w:rsid w:val="006048DA"/>
    <w:pPr>
      <w:keepLines/>
      <w:spacing w:before="240" w:after="120"/>
      <w:outlineLvl w:val="1"/>
    </w:pPr>
    <w:rPr>
      <w:sz w:val="28"/>
      <w:szCs w:val="40"/>
    </w:rPr>
  </w:style>
  <w:style w:type="paragraph" w:styleId="Heading3">
    <w:name w:val="heading 3"/>
    <w:basedOn w:val="HeadingBase"/>
    <w:next w:val="BodyText"/>
    <w:link w:val="Heading3Char"/>
    <w:qFormat/>
    <w:rsid w:val="006048DA"/>
    <w:pPr>
      <w:spacing w:before="180" w:after="120"/>
      <w:outlineLvl w:val="2"/>
    </w:pPr>
    <w:rPr>
      <w:spacing w:val="-10"/>
      <w:kern w:val="32"/>
    </w:rPr>
  </w:style>
  <w:style w:type="paragraph" w:styleId="Heading4">
    <w:name w:val="heading 4"/>
    <w:basedOn w:val="HeadingBase"/>
    <w:next w:val="BodyText"/>
    <w:link w:val="Heading4Char"/>
    <w:qFormat/>
    <w:rsid w:val="006048DA"/>
    <w:pPr>
      <w:spacing w:before="160" w:after="120"/>
      <w:outlineLvl w:val="3"/>
    </w:pPr>
    <w:rPr>
      <w:sz w:val="22"/>
    </w:rPr>
  </w:style>
  <w:style w:type="paragraph" w:styleId="Heading5">
    <w:name w:val="heading 5"/>
    <w:basedOn w:val="HeadingBase"/>
    <w:next w:val="Normal"/>
    <w:link w:val="Heading5Char"/>
    <w:qFormat/>
    <w:rsid w:val="006048DA"/>
    <w:pPr>
      <w:spacing w:before="80"/>
      <w:outlineLvl w:val="4"/>
    </w:pPr>
    <w:rPr>
      <w:color w:val="918585"/>
      <w:sz w:val="20"/>
    </w:rPr>
  </w:style>
  <w:style w:type="paragraph" w:styleId="Heading6">
    <w:name w:val="heading 6"/>
    <w:basedOn w:val="HeadingBase"/>
    <w:next w:val="Normal"/>
    <w:link w:val="Heading6Char"/>
    <w:qFormat/>
    <w:rsid w:val="006048DA"/>
    <w:pPr>
      <w:spacing w:before="60"/>
      <w:outlineLvl w:val="5"/>
    </w:pPr>
    <w:rPr>
      <w:color w:val="918585"/>
      <w:sz w:val="20"/>
    </w:rPr>
  </w:style>
  <w:style w:type="paragraph" w:styleId="Heading7">
    <w:name w:val="heading 7"/>
    <w:basedOn w:val="Normal"/>
    <w:next w:val="Normal"/>
    <w:link w:val="Heading7Char"/>
    <w:qFormat/>
    <w:rsid w:val="006048DA"/>
    <w:pPr>
      <w:ind w:left="720"/>
      <w:outlineLvl w:val="6"/>
    </w:pPr>
    <w:rPr>
      <w:i/>
    </w:rPr>
  </w:style>
  <w:style w:type="paragraph" w:styleId="Heading8">
    <w:name w:val="heading 8"/>
    <w:basedOn w:val="Normal"/>
    <w:next w:val="Normal"/>
    <w:link w:val="Heading8Char"/>
    <w:qFormat/>
    <w:rsid w:val="006048DA"/>
    <w:pPr>
      <w:ind w:left="720"/>
      <w:outlineLvl w:val="7"/>
    </w:pPr>
    <w:rPr>
      <w:i/>
    </w:rPr>
  </w:style>
  <w:style w:type="paragraph" w:styleId="Heading9">
    <w:name w:val="heading 9"/>
    <w:basedOn w:val="Normal"/>
    <w:next w:val="Normal"/>
    <w:link w:val="Heading9Char"/>
    <w:qFormat/>
    <w:rsid w:val="006048DA"/>
    <w:pPr>
      <w:ind w:left="720"/>
      <w:outlineLvl w:val="8"/>
    </w:pPr>
    <w:rPr>
      <w:i/>
    </w:rPr>
  </w:style>
  <w:style w:type="character" w:default="1" w:styleId="DefaultParagraphFont">
    <w:name w:val="Default Paragraph Font"/>
    <w:uiPriority w:val="1"/>
    <w:unhideWhenUsed/>
    <w:rsid w:val="006048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48DA"/>
  </w:style>
  <w:style w:type="character" w:customStyle="1" w:styleId="Heading1Char">
    <w:name w:val="Heading 1 Char"/>
    <w:basedOn w:val="DefaultParagraphFont"/>
    <w:link w:val="Heading1"/>
    <w:rsid w:val="006048DA"/>
    <w:rPr>
      <w:rFonts w:ascii="Times New Roman" w:eastAsia="Times New Roman" w:hAnsi="Times New Roman" w:cs="Times New Roman"/>
      <w:b/>
      <w:sz w:val="32"/>
      <w:szCs w:val="20"/>
      <w:lang w:eastAsia="en-US"/>
    </w:rPr>
  </w:style>
  <w:style w:type="paragraph" w:styleId="BodyText">
    <w:name w:val="Body Text"/>
    <w:basedOn w:val="Normal"/>
    <w:link w:val="BodyTextChar"/>
    <w:rsid w:val="006048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48DA"/>
    <w:rPr>
      <w:rFonts w:ascii="Times New Roman" w:eastAsia="Times New Roman" w:hAnsi="Times New Roman" w:cs="Times New Roman"/>
      <w:sz w:val="24"/>
      <w:lang w:eastAsia="en-US"/>
    </w:rPr>
  </w:style>
  <w:style w:type="paragraph" w:styleId="ListBullet">
    <w:name w:val="List Bullet"/>
    <w:basedOn w:val="List"/>
    <w:rsid w:val="006048DA"/>
    <w:pPr>
      <w:numPr>
        <w:numId w:val="13"/>
      </w:numPr>
      <w:tabs>
        <w:tab w:val="clear" w:pos="340"/>
      </w:tabs>
      <w:spacing w:before="40" w:after="40"/>
    </w:pPr>
  </w:style>
  <w:style w:type="character" w:customStyle="1" w:styleId="SpecialBold">
    <w:name w:val="Special Bold"/>
    <w:basedOn w:val="DefaultParagraphFont"/>
    <w:rsid w:val="006048DA"/>
    <w:rPr>
      <w:b/>
      <w:spacing w:val="0"/>
    </w:rPr>
  </w:style>
  <w:style w:type="paragraph" w:styleId="ListBullet2">
    <w:name w:val="List Bullet 2"/>
    <w:basedOn w:val="List2"/>
    <w:rsid w:val="006048DA"/>
    <w:pPr>
      <w:numPr>
        <w:numId w:val="14"/>
      </w:numPr>
      <w:tabs>
        <w:tab w:val="clear" w:pos="680"/>
      </w:tabs>
    </w:pPr>
  </w:style>
  <w:style w:type="paragraph" w:customStyle="1" w:styleId="SuperHeading">
    <w:name w:val="SuperHeading"/>
    <w:basedOn w:val="Normal"/>
    <w:rsid w:val="006048DA"/>
    <w:pPr>
      <w:spacing w:before="240" w:after="120"/>
      <w:outlineLvl w:val="0"/>
    </w:pPr>
    <w:rPr>
      <w:rFonts w:ascii="Times New Roman" w:hAnsi="Times New Roman"/>
      <w:b/>
      <w:sz w:val="32"/>
    </w:rPr>
  </w:style>
  <w:style w:type="paragraph" w:customStyle="1" w:styleId="AllowPageBreak">
    <w:name w:val="AllowPageBreak"/>
    <w:rsid w:val="006048D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048DA"/>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048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48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48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48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48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48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48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48DA"/>
    <w:rPr>
      <w:rFonts w:ascii="Courier New" w:eastAsia="Times New Roman" w:hAnsi="Courier New" w:cs="Times New Roman"/>
      <w:i/>
      <w:szCs w:val="20"/>
      <w:lang w:eastAsia="en-US"/>
    </w:rPr>
  </w:style>
  <w:style w:type="paragraph" w:customStyle="1" w:styleId="HeadingBase">
    <w:name w:val="Heading Base"/>
    <w:rsid w:val="006048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48DA"/>
    <w:pPr>
      <w:tabs>
        <w:tab w:val="right" w:leader="dot" w:pos="9072"/>
      </w:tabs>
      <w:ind w:left="567"/>
    </w:pPr>
    <w:rPr>
      <w:szCs w:val="22"/>
    </w:rPr>
  </w:style>
  <w:style w:type="paragraph" w:customStyle="1" w:styleId="TOCBase">
    <w:name w:val="TOC Base"/>
    <w:rsid w:val="006048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48DA"/>
    <w:pPr>
      <w:tabs>
        <w:tab w:val="right" w:leader="dot" w:pos="9072"/>
      </w:tabs>
      <w:spacing w:before="40" w:after="40"/>
      <w:ind w:left="284"/>
    </w:pPr>
    <w:rPr>
      <w:rFonts w:ascii="Times New Roman" w:hAnsi="Times New Roman"/>
    </w:rPr>
  </w:style>
  <w:style w:type="paragraph" w:styleId="TOC1">
    <w:name w:val="toc 1"/>
    <w:basedOn w:val="TOCBase"/>
    <w:next w:val="Normal"/>
    <w:rsid w:val="006048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48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48DA"/>
    <w:rPr>
      <w:rFonts w:ascii="Times New Roman" w:eastAsia="Times New Roman" w:hAnsi="Times New Roman" w:cs="Times New Roman"/>
      <w:sz w:val="16"/>
      <w:lang w:eastAsia="en-US"/>
    </w:rPr>
  </w:style>
  <w:style w:type="paragraph" w:styleId="Title">
    <w:name w:val="Title"/>
    <w:basedOn w:val="HeadingBase"/>
    <w:link w:val="TitleChar"/>
    <w:qFormat/>
    <w:rsid w:val="006048DA"/>
    <w:pPr>
      <w:spacing w:before="5040"/>
      <w:jc w:val="center"/>
    </w:pPr>
    <w:rPr>
      <w:sz w:val="48"/>
      <w:szCs w:val="72"/>
      <w:lang w:val="en-US"/>
    </w:rPr>
  </w:style>
  <w:style w:type="character" w:customStyle="1" w:styleId="TitleChar">
    <w:name w:val="Title Char"/>
    <w:basedOn w:val="DefaultParagraphFont"/>
    <w:link w:val="Title"/>
    <w:rsid w:val="006048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48DA"/>
    <w:pPr>
      <w:tabs>
        <w:tab w:val="left" w:pos="3600"/>
        <w:tab w:val="left" w:pos="3958"/>
      </w:tabs>
    </w:pPr>
  </w:style>
  <w:style w:type="paragraph" w:styleId="List">
    <w:name w:val="List"/>
    <w:basedOn w:val="BodyText"/>
    <w:next w:val="BodyText"/>
    <w:rsid w:val="006048DA"/>
    <w:pPr>
      <w:tabs>
        <w:tab w:val="left" w:pos="340"/>
      </w:tabs>
      <w:spacing w:before="60" w:after="60"/>
      <w:ind w:left="340" w:hanging="340"/>
    </w:pPr>
  </w:style>
  <w:style w:type="paragraph" w:customStyle="1" w:styleId="Note">
    <w:name w:val="Note"/>
    <w:basedOn w:val="BodyText"/>
    <w:rsid w:val="006048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48DA"/>
    <w:pPr>
      <w:framePr w:wrap="auto" w:hAnchor="text" w:y="6049"/>
    </w:pPr>
    <w:rPr>
      <w:color w:val="000000"/>
      <w:sz w:val="40"/>
    </w:rPr>
  </w:style>
  <w:style w:type="paragraph" w:customStyle="1" w:styleId="TOCTitle">
    <w:name w:val="TOCTitle"/>
    <w:basedOn w:val="Heading1"/>
    <w:rsid w:val="006048DA"/>
    <w:pPr>
      <w:spacing w:after="240"/>
      <w:jc w:val="center"/>
      <w:outlineLvl w:val="9"/>
    </w:pPr>
    <w:rPr>
      <w:caps/>
    </w:rPr>
  </w:style>
  <w:style w:type="paragraph" w:customStyle="1" w:styleId="Version">
    <w:name w:val="Version"/>
    <w:rsid w:val="006048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48DA"/>
    <w:pPr>
      <w:keepNext w:val="0"/>
      <w:tabs>
        <w:tab w:val="right" w:pos="4176"/>
      </w:tabs>
      <w:ind w:left="198" w:hanging="198"/>
    </w:pPr>
    <w:rPr>
      <w:rFonts w:ascii="Garamond" w:hAnsi="Garamond"/>
    </w:rPr>
  </w:style>
  <w:style w:type="paragraph" w:styleId="IndexHeading">
    <w:name w:val="index heading"/>
    <w:basedOn w:val="Normal"/>
    <w:next w:val="Index1"/>
    <w:semiHidden/>
    <w:rsid w:val="006048DA"/>
    <w:pPr>
      <w:spacing w:before="120" w:after="120"/>
    </w:pPr>
    <w:rPr>
      <w:rFonts w:ascii="Arial" w:hAnsi="Arial"/>
      <w:b/>
      <w:color w:val="918585"/>
      <w:sz w:val="24"/>
    </w:rPr>
  </w:style>
  <w:style w:type="paragraph" w:styleId="Header">
    <w:name w:val="header"/>
    <w:basedOn w:val="Normal"/>
    <w:link w:val="HeaderChar"/>
    <w:rsid w:val="006048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48DA"/>
    <w:rPr>
      <w:rFonts w:ascii="Times New Roman" w:eastAsia="Times New Roman" w:hAnsi="Times New Roman" w:cs="Times New Roman"/>
      <w:sz w:val="16"/>
      <w:szCs w:val="20"/>
      <w:lang w:val="en-GB" w:eastAsia="en-US"/>
    </w:rPr>
  </w:style>
  <w:style w:type="paragraph" w:customStyle="1" w:styleId="Chapter">
    <w:name w:val="Chapter"/>
    <w:basedOn w:val="Normal"/>
    <w:rsid w:val="006048DA"/>
    <w:pPr>
      <w:spacing w:before="240"/>
    </w:pPr>
    <w:rPr>
      <w:rFonts w:ascii="Times New Roman" w:hAnsi="Times New Roman"/>
      <w:smallCaps/>
      <w:spacing w:val="80"/>
      <w:sz w:val="28"/>
    </w:rPr>
  </w:style>
  <w:style w:type="paragraph" w:customStyle="1" w:styleId="InChapter">
    <w:name w:val="InChapter"/>
    <w:basedOn w:val="Heading3"/>
    <w:rsid w:val="006048DA"/>
    <w:pPr>
      <w:spacing w:after="240"/>
      <w:outlineLvl w:val="9"/>
    </w:pPr>
    <w:rPr>
      <w:noProof/>
    </w:rPr>
  </w:style>
  <w:style w:type="paragraph" w:styleId="Index2">
    <w:name w:val="index 2"/>
    <w:basedOn w:val="Normal"/>
    <w:next w:val="Normal"/>
    <w:semiHidden/>
    <w:rsid w:val="006048DA"/>
    <w:pPr>
      <w:tabs>
        <w:tab w:val="right" w:pos="4176"/>
      </w:tabs>
      <w:ind w:left="568" w:hanging="284"/>
    </w:pPr>
    <w:rPr>
      <w:rFonts w:ascii="Garamond" w:hAnsi="Garamond"/>
    </w:rPr>
  </w:style>
  <w:style w:type="paragraph" w:customStyle="1" w:styleId="Byline">
    <w:name w:val="Byline"/>
    <w:rsid w:val="006048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48DA"/>
    <w:pPr>
      <w:tabs>
        <w:tab w:val="clear" w:pos="3600"/>
        <w:tab w:val="clear" w:pos="3958"/>
      </w:tabs>
      <w:jc w:val="right"/>
    </w:pPr>
  </w:style>
  <w:style w:type="character" w:styleId="Emphasis">
    <w:name w:val="Emphasis"/>
    <w:basedOn w:val="DefaultParagraphFont"/>
    <w:qFormat/>
    <w:rsid w:val="006048DA"/>
    <w:rPr>
      <w:i/>
    </w:rPr>
  </w:style>
  <w:style w:type="paragraph" w:styleId="Caption">
    <w:name w:val="caption"/>
    <w:basedOn w:val="BodyText"/>
    <w:next w:val="Normal"/>
    <w:qFormat/>
    <w:rsid w:val="006048DA"/>
    <w:pPr>
      <w:framePr w:w="2268" w:hSpace="181" w:vSpace="181" w:wrap="around" w:vAnchor="text" w:hAnchor="page" w:x="1135" w:y="285" w:anchorLock="1"/>
    </w:pPr>
    <w:rPr>
      <w:i/>
    </w:rPr>
  </w:style>
  <w:style w:type="paragraph" w:customStyle="1" w:styleId="MiniTOCTitle">
    <w:name w:val="MiniTOCTitle"/>
    <w:basedOn w:val="Heading4"/>
    <w:rsid w:val="006048DA"/>
    <w:pPr>
      <w:spacing w:before="240"/>
      <w:outlineLvl w:val="9"/>
    </w:pPr>
    <w:rPr>
      <w:noProof/>
      <w:sz w:val="24"/>
    </w:rPr>
  </w:style>
  <w:style w:type="paragraph" w:customStyle="1" w:styleId="MiniTOCItem">
    <w:name w:val="MiniTOCItem"/>
    <w:basedOn w:val="ListBullet"/>
    <w:rsid w:val="006048DA"/>
    <w:pPr>
      <w:numPr>
        <w:numId w:val="0"/>
      </w:numPr>
      <w:tabs>
        <w:tab w:val="right" w:leader="dot" w:pos="6521"/>
      </w:tabs>
      <w:spacing w:before="0" w:after="0"/>
    </w:pPr>
  </w:style>
  <w:style w:type="paragraph" w:customStyle="1" w:styleId="TOFTitle">
    <w:name w:val="TOFTitle"/>
    <w:basedOn w:val="TOCTitle"/>
    <w:rsid w:val="006048DA"/>
  </w:style>
  <w:style w:type="paragraph" w:styleId="TableofFigures">
    <w:name w:val="table of figures"/>
    <w:basedOn w:val="Normal"/>
    <w:next w:val="Normal"/>
    <w:semiHidden/>
    <w:rsid w:val="006048DA"/>
    <w:pPr>
      <w:tabs>
        <w:tab w:val="right" w:leader="dot" w:pos="9072"/>
      </w:tabs>
      <w:ind w:left="970" w:hanging="403"/>
    </w:pPr>
    <w:rPr>
      <w:rFonts w:ascii="Times New Roman" w:hAnsi="Times New Roman"/>
      <w:b/>
    </w:rPr>
  </w:style>
  <w:style w:type="paragraph" w:styleId="ListNumber">
    <w:name w:val="List Number"/>
    <w:basedOn w:val="List"/>
    <w:rsid w:val="006048DA"/>
    <w:pPr>
      <w:numPr>
        <w:numId w:val="16"/>
      </w:numPr>
      <w:tabs>
        <w:tab w:val="clear" w:pos="340"/>
      </w:tabs>
    </w:pPr>
  </w:style>
  <w:style w:type="character" w:customStyle="1" w:styleId="WingdingSymbols">
    <w:name w:val="Wingding Symbols"/>
    <w:rsid w:val="006048DA"/>
    <w:rPr>
      <w:rFonts w:ascii="Wingdings" w:hAnsi="Wingdings"/>
    </w:rPr>
  </w:style>
  <w:style w:type="paragraph" w:customStyle="1" w:styleId="TableHeading">
    <w:name w:val="Table Heading"/>
    <w:basedOn w:val="HeadingBase"/>
    <w:rsid w:val="006048DA"/>
    <w:pPr>
      <w:keepLines/>
      <w:pBdr>
        <w:bottom w:val="single" w:sz="6" w:space="1" w:color="918585"/>
      </w:pBdr>
      <w:spacing w:before="240"/>
    </w:pPr>
  </w:style>
  <w:style w:type="character" w:customStyle="1" w:styleId="HotSpot">
    <w:name w:val="HotSpot"/>
    <w:rsid w:val="006048DA"/>
    <w:rPr>
      <w:color w:val="0033CC"/>
      <w:u w:val="none"/>
    </w:rPr>
  </w:style>
  <w:style w:type="paragraph" w:customStyle="1" w:styleId="BodyTextRight">
    <w:name w:val="Body Text Right"/>
    <w:basedOn w:val="BodyText"/>
    <w:rsid w:val="006048DA"/>
    <w:pPr>
      <w:spacing w:before="0" w:after="0"/>
      <w:jc w:val="right"/>
    </w:pPr>
  </w:style>
  <w:style w:type="paragraph" w:styleId="Index3">
    <w:name w:val="index 3"/>
    <w:basedOn w:val="ListNumber2"/>
    <w:next w:val="Normal"/>
    <w:semiHidden/>
    <w:rsid w:val="006048DA"/>
    <w:pPr>
      <w:numPr>
        <w:numId w:val="0"/>
      </w:numPr>
      <w:tabs>
        <w:tab w:val="right" w:leader="dot" w:pos="4176"/>
      </w:tabs>
    </w:pPr>
  </w:style>
  <w:style w:type="paragraph" w:styleId="ListNumber2">
    <w:name w:val="List Number 2"/>
    <w:basedOn w:val="List2"/>
    <w:rsid w:val="006048DA"/>
    <w:pPr>
      <w:numPr>
        <w:numId w:val="11"/>
      </w:numPr>
      <w:tabs>
        <w:tab w:val="clear" w:pos="1060"/>
      </w:tabs>
    </w:pPr>
  </w:style>
  <w:style w:type="paragraph" w:customStyle="1" w:styleId="MarginNote">
    <w:name w:val="Margin Note"/>
    <w:basedOn w:val="BodyText"/>
    <w:rsid w:val="006048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48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48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48DA"/>
    <w:rPr>
      <w:sz w:val="32"/>
    </w:rPr>
  </w:style>
  <w:style w:type="paragraph" w:customStyle="1" w:styleId="HeadingProcedure">
    <w:name w:val="Heading Procedure"/>
    <w:basedOn w:val="HeadingBase"/>
    <w:next w:val="Normal"/>
    <w:rsid w:val="006048DA"/>
    <w:pPr>
      <w:tabs>
        <w:tab w:val="left" w:pos="0"/>
      </w:tabs>
      <w:spacing w:before="120" w:after="60"/>
    </w:pPr>
    <w:rPr>
      <w:i/>
      <w:color w:val="918585"/>
      <w:sz w:val="22"/>
    </w:rPr>
  </w:style>
  <w:style w:type="paragraph" w:customStyle="1" w:styleId="TableBodyText">
    <w:name w:val="Table Body Text"/>
    <w:basedOn w:val="BodyText"/>
    <w:rsid w:val="006048DA"/>
    <w:pPr>
      <w:spacing w:before="60" w:after="60"/>
    </w:pPr>
  </w:style>
  <w:style w:type="paragraph" w:styleId="ListContinue">
    <w:name w:val="List Continue"/>
    <w:basedOn w:val="List"/>
    <w:rsid w:val="006048DA"/>
    <w:pPr>
      <w:ind w:firstLine="0"/>
    </w:pPr>
  </w:style>
  <w:style w:type="paragraph" w:customStyle="1" w:styleId="ListNote">
    <w:name w:val="List Note"/>
    <w:basedOn w:val="List"/>
    <w:rsid w:val="006048DA"/>
    <w:pPr>
      <w:pBdr>
        <w:top w:val="single" w:sz="6" w:space="2" w:color="918585"/>
        <w:bottom w:val="single" w:sz="6" w:space="2" w:color="918585"/>
      </w:pBdr>
      <w:tabs>
        <w:tab w:val="left" w:pos="1021"/>
      </w:tabs>
      <w:ind w:firstLine="0"/>
    </w:pPr>
  </w:style>
  <w:style w:type="paragraph" w:customStyle="1" w:styleId="Warning">
    <w:name w:val="Warning"/>
    <w:basedOn w:val="BodyText"/>
    <w:rsid w:val="006048DA"/>
    <w:pPr>
      <w:shd w:val="clear" w:color="auto" w:fill="D9D9D9"/>
      <w:tabs>
        <w:tab w:val="left" w:pos="992"/>
      </w:tabs>
      <w:ind w:left="119" w:right="119"/>
    </w:pPr>
    <w:rPr>
      <w:sz w:val="20"/>
    </w:rPr>
  </w:style>
  <w:style w:type="paragraph" w:customStyle="1" w:styleId="MarginIcons">
    <w:name w:val="Margin Icons"/>
    <w:basedOn w:val="BodyText"/>
    <w:rsid w:val="006048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48DA"/>
    <w:rPr>
      <w:rFonts w:ascii="Courier New" w:hAnsi="Courier New"/>
    </w:rPr>
  </w:style>
  <w:style w:type="paragraph" w:customStyle="1" w:styleId="NoteBullet">
    <w:name w:val="Note Bullet"/>
    <w:basedOn w:val="Note"/>
    <w:rsid w:val="006048DA"/>
    <w:pPr>
      <w:tabs>
        <w:tab w:val="clear" w:pos="680"/>
      </w:tabs>
      <w:spacing w:before="60" w:after="60"/>
    </w:pPr>
  </w:style>
  <w:style w:type="paragraph" w:customStyle="1" w:styleId="SubHeading2">
    <w:name w:val="SubHeading2"/>
    <w:basedOn w:val="HeadingBase"/>
    <w:rsid w:val="006048DA"/>
    <w:pPr>
      <w:spacing w:before="240" w:after="60"/>
    </w:pPr>
    <w:rPr>
      <w:sz w:val="20"/>
    </w:rPr>
  </w:style>
  <w:style w:type="paragraph" w:customStyle="1" w:styleId="SubHeading1">
    <w:name w:val="SubHeading1"/>
    <w:basedOn w:val="HeadingBase"/>
    <w:rsid w:val="006048DA"/>
    <w:pPr>
      <w:spacing w:before="240" w:after="60"/>
    </w:pPr>
    <w:rPr>
      <w:color w:val="918585"/>
      <w:sz w:val="22"/>
    </w:rPr>
  </w:style>
  <w:style w:type="paragraph" w:customStyle="1" w:styleId="SideHeading">
    <w:name w:val="Side Heading"/>
    <w:basedOn w:val="HeadingBase"/>
    <w:rsid w:val="006048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48DA"/>
    <w:pPr>
      <w:numPr>
        <w:numId w:val="12"/>
      </w:numPr>
    </w:pPr>
  </w:style>
  <w:style w:type="paragraph" w:styleId="PlainText">
    <w:name w:val="Plain Text"/>
    <w:basedOn w:val="Normal"/>
    <w:link w:val="PlainTextChar"/>
    <w:rsid w:val="006048DA"/>
    <w:rPr>
      <w:sz w:val="20"/>
    </w:rPr>
  </w:style>
  <w:style w:type="character" w:customStyle="1" w:styleId="PlainTextChar">
    <w:name w:val="Plain Text Char"/>
    <w:basedOn w:val="DefaultParagraphFont"/>
    <w:link w:val="PlainText"/>
    <w:rsid w:val="006048DA"/>
    <w:rPr>
      <w:rFonts w:ascii="Courier New" w:eastAsia="Times New Roman" w:hAnsi="Courier New" w:cs="Times New Roman"/>
      <w:sz w:val="20"/>
      <w:szCs w:val="20"/>
      <w:lang w:eastAsia="en-US"/>
    </w:rPr>
  </w:style>
  <w:style w:type="character" w:customStyle="1" w:styleId="MenuOption">
    <w:name w:val="Menu Option"/>
    <w:basedOn w:val="DefaultParagraphFont"/>
    <w:rsid w:val="006048DA"/>
    <w:rPr>
      <w:b/>
      <w:smallCaps/>
    </w:rPr>
  </w:style>
  <w:style w:type="paragraph" w:customStyle="1" w:styleId="TableListNumber">
    <w:name w:val="Table List Number"/>
    <w:basedOn w:val="ListNumber"/>
    <w:rsid w:val="006048DA"/>
    <w:pPr>
      <w:numPr>
        <w:numId w:val="0"/>
      </w:numPr>
    </w:pPr>
  </w:style>
  <w:style w:type="paragraph" w:styleId="TOC4">
    <w:name w:val="toc 4"/>
    <w:basedOn w:val="TOCBase"/>
    <w:next w:val="Normal"/>
    <w:semiHidden/>
    <w:rsid w:val="006048DA"/>
    <w:pPr>
      <w:tabs>
        <w:tab w:val="right" w:leader="dot" w:pos="9071"/>
      </w:tabs>
      <w:ind w:left="1701"/>
    </w:pPr>
  </w:style>
  <w:style w:type="paragraph" w:customStyle="1" w:styleId="ListAlpha">
    <w:name w:val="List Alpha"/>
    <w:basedOn w:val="List"/>
    <w:rsid w:val="006048DA"/>
    <w:pPr>
      <w:numPr>
        <w:numId w:val="10"/>
      </w:numPr>
    </w:pPr>
  </w:style>
  <w:style w:type="paragraph" w:customStyle="1" w:styleId="ListAlpha2">
    <w:name w:val="List Alpha 2"/>
    <w:basedOn w:val="List2"/>
    <w:rsid w:val="006048DA"/>
    <w:pPr>
      <w:numPr>
        <w:numId w:val="9"/>
      </w:numPr>
    </w:pPr>
  </w:style>
  <w:style w:type="paragraph" w:styleId="List2">
    <w:name w:val="List 2"/>
    <w:basedOn w:val="BodyText"/>
    <w:rsid w:val="006048DA"/>
    <w:pPr>
      <w:tabs>
        <w:tab w:val="left" w:pos="680"/>
      </w:tabs>
      <w:spacing w:before="60" w:after="60"/>
      <w:ind w:left="680" w:hanging="340"/>
    </w:pPr>
  </w:style>
  <w:style w:type="paragraph" w:styleId="List3">
    <w:name w:val="List 3"/>
    <w:basedOn w:val="BodyText"/>
    <w:rsid w:val="006048DA"/>
    <w:pPr>
      <w:tabs>
        <w:tab w:val="left" w:pos="1021"/>
      </w:tabs>
      <w:spacing w:before="60" w:after="60"/>
      <w:ind w:left="1020" w:hanging="340"/>
    </w:pPr>
  </w:style>
  <w:style w:type="paragraph" w:styleId="List4">
    <w:name w:val="List 4"/>
    <w:basedOn w:val="BodyText"/>
    <w:rsid w:val="006048DA"/>
    <w:pPr>
      <w:tabs>
        <w:tab w:val="left" w:pos="1361"/>
      </w:tabs>
      <w:spacing w:before="60" w:after="60"/>
      <w:ind w:left="1361" w:hanging="340"/>
    </w:pPr>
  </w:style>
  <w:style w:type="paragraph" w:styleId="List5">
    <w:name w:val="List 5"/>
    <w:basedOn w:val="BodyText"/>
    <w:rsid w:val="006048DA"/>
    <w:pPr>
      <w:tabs>
        <w:tab w:val="left" w:pos="1701"/>
      </w:tabs>
      <w:spacing w:before="60" w:after="60"/>
      <w:ind w:left="1701" w:hanging="340"/>
    </w:pPr>
  </w:style>
  <w:style w:type="paragraph" w:styleId="ListBullet4">
    <w:name w:val="List Bullet 4"/>
    <w:basedOn w:val="List4"/>
    <w:rsid w:val="006048DA"/>
    <w:pPr>
      <w:numPr>
        <w:numId w:val="4"/>
      </w:numPr>
      <w:tabs>
        <w:tab w:val="clear" w:pos="1361"/>
      </w:tabs>
    </w:pPr>
  </w:style>
  <w:style w:type="paragraph" w:styleId="ListBullet5">
    <w:name w:val="List Bullet 5"/>
    <w:basedOn w:val="List5"/>
    <w:rsid w:val="006048DA"/>
    <w:pPr>
      <w:numPr>
        <w:numId w:val="5"/>
      </w:numPr>
    </w:pPr>
  </w:style>
  <w:style w:type="paragraph" w:styleId="ListContinue2">
    <w:name w:val="List Continue 2"/>
    <w:basedOn w:val="List2"/>
    <w:rsid w:val="006048DA"/>
    <w:pPr>
      <w:ind w:firstLine="0"/>
    </w:pPr>
  </w:style>
  <w:style w:type="paragraph" w:styleId="ListContinue3">
    <w:name w:val="List Continue 3"/>
    <w:basedOn w:val="List3"/>
    <w:rsid w:val="006048DA"/>
    <w:pPr>
      <w:ind w:left="1021" w:firstLine="0"/>
    </w:pPr>
  </w:style>
  <w:style w:type="paragraph" w:styleId="ListContinue4">
    <w:name w:val="List Continue 4"/>
    <w:basedOn w:val="List4"/>
    <w:rsid w:val="006048DA"/>
    <w:pPr>
      <w:ind w:firstLine="0"/>
    </w:pPr>
  </w:style>
  <w:style w:type="paragraph" w:styleId="ListContinue5">
    <w:name w:val="List Continue 5"/>
    <w:basedOn w:val="List5"/>
    <w:rsid w:val="006048DA"/>
    <w:pPr>
      <w:ind w:firstLine="0"/>
    </w:pPr>
  </w:style>
  <w:style w:type="paragraph" w:styleId="ListNumber3">
    <w:name w:val="List Number 3"/>
    <w:basedOn w:val="List3"/>
    <w:rsid w:val="006048DA"/>
    <w:pPr>
      <w:numPr>
        <w:numId w:val="6"/>
      </w:numPr>
    </w:pPr>
  </w:style>
  <w:style w:type="paragraph" w:styleId="ListNumber4">
    <w:name w:val="List Number 4"/>
    <w:basedOn w:val="List4"/>
    <w:rsid w:val="006048DA"/>
    <w:pPr>
      <w:numPr>
        <w:numId w:val="7"/>
      </w:numPr>
    </w:pPr>
  </w:style>
  <w:style w:type="paragraph" w:styleId="ListNumber5">
    <w:name w:val="List Number 5"/>
    <w:basedOn w:val="List5"/>
    <w:rsid w:val="006048DA"/>
    <w:pPr>
      <w:numPr>
        <w:numId w:val="8"/>
      </w:numPr>
    </w:pPr>
  </w:style>
  <w:style w:type="paragraph" w:styleId="BlockText">
    <w:name w:val="Block Text"/>
    <w:basedOn w:val="Normal"/>
    <w:rsid w:val="006048DA"/>
    <w:pPr>
      <w:spacing w:after="120"/>
      <w:ind w:left="1440" w:right="1440"/>
    </w:pPr>
  </w:style>
  <w:style w:type="character" w:customStyle="1" w:styleId="Subscript">
    <w:name w:val="Subscript"/>
    <w:basedOn w:val="DefaultParagraphFont"/>
    <w:rsid w:val="006048DA"/>
    <w:rPr>
      <w:sz w:val="16"/>
      <w:vertAlign w:val="subscript"/>
    </w:rPr>
  </w:style>
  <w:style w:type="character" w:customStyle="1" w:styleId="Superscript">
    <w:name w:val="Superscript"/>
    <w:basedOn w:val="DefaultParagraphFont"/>
    <w:rsid w:val="006048DA"/>
    <w:rPr>
      <w:sz w:val="16"/>
      <w:vertAlign w:val="superscript"/>
    </w:rPr>
  </w:style>
  <w:style w:type="character" w:customStyle="1" w:styleId="Symbols">
    <w:name w:val="Symbols"/>
    <w:basedOn w:val="DefaultParagraphFont"/>
    <w:rsid w:val="006048DA"/>
    <w:rPr>
      <w:rFonts w:ascii="Symbol" w:hAnsi="Symbol"/>
    </w:rPr>
  </w:style>
  <w:style w:type="character" w:customStyle="1" w:styleId="MenuOptions">
    <w:name w:val="Menu Options"/>
    <w:basedOn w:val="DefaultParagraphFont"/>
    <w:rsid w:val="006048DA"/>
    <w:rPr>
      <w:rFonts w:ascii="Arial Narrow" w:hAnsi="Arial Narrow"/>
      <w:smallCaps/>
    </w:rPr>
  </w:style>
  <w:style w:type="character" w:customStyle="1" w:styleId="Buttons">
    <w:name w:val="Buttons"/>
    <w:basedOn w:val="DefaultParagraphFont"/>
    <w:rsid w:val="006048DA"/>
    <w:rPr>
      <w:b/>
    </w:rPr>
  </w:style>
  <w:style w:type="character" w:customStyle="1" w:styleId="Underlined">
    <w:name w:val="Underlined"/>
    <w:basedOn w:val="DefaultParagraphFont"/>
    <w:rsid w:val="006048DA"/>
    <w:rPr>
      <w:u w:val="single"/>
    </w:rPr>
  </w:style>
  <w:style w:type="paragraph" w:customStyle="1" w:styleId="TableBodyTextRight">
    <w:name w:val="Table Body Text Right"/>
    <w:basedOn w:val="TableBodyText"/>
    <w:rsid w:val="006048DA"/>
    <w:pPr>
      <w:widowControl w:val="0"/>
      <w:autoSpaceDE w:val="0"/>
      <w:autoSpaceDN w:val="0"/>
      <w:adjustRightInd w:val="0"/>
      <w:jc w:val="right"/>
    </w:pPr>
    <w:rPr>
      <w:rFonts w:cs="Arial"/>
      <w:szCs w:val="18"/>
    </w:rPr>
  </w:style>
  <w:style w:type="paragraph" w:customStyle="1" w:styleId="CopyrightText">
    <w:name w:val="Copyright Text"/>
    <w:basedOn w:val="BodyText"/>
    <w:rsid w:val="006048DA"/>
    <w:rPr>
      <w:sz w:val="18"/>
    </w:rPr>
  </w:style>
  <w:style w:type="paragraph" w:customStyle="1" w:styleId="BodySmallRight">
    <w:name w:val="Body Small Right"/>
    <w:basedOn w:val="BodyTextRight"/>
    <w:rsid w:val="006048DA"/>
    <w:rPr>
      <w:sz w:val="18"/>
      <w:szCs w:val="18"/>
    </w:rPr>
  </w:style>
  <w:style w:type="paragraph" w:customStyle="1" w:styleId="MarginEdition">
    <w:name w:val="Margin Edition"/>
    <w:basedOn w:val="MarginNote"/>
    <w:rsid w:val="006048DA"/>
    <w:pPr>
      <w:spacing w:before="0" w:after="0"/>
    </w:pPr>
    <w:rPr>
      <w:rFonts w:ascii="Times New Roman" w:hAnsi="Times New Roman"/>
      <w:color w:val="999999"/>
    </w:rPr>
  </w:style>
  <w:style w:type="paragraph" w:customStyle="1" w:styleId="Spacer">
    <w:name w:val="Spacer"/>
    <w:basedOn w:val="Normal"/>
    <w:rsid w:val="006048DA"/>
    <w:rPr>
      <w:sz w:val="2"/>
      <w:szCs w:val="2"/>
    </w:rPr>
  </w:style>
  <w:style w:type="character" w:customStyle="1" w:styleId="Small">
    <w:name w:val="Small"/>
    <w:basedOn w:val="DefaultParagraphFont"/>
    <w:rsid w:val="006048DA"/>
    <w:rPr>
      <w:sz w:val="16"/>
    </w:rPr>
  </w:style>
  <w:style w:type="paragraph" w:customStyle="1" w:styleId="WideTable">
    <w:name w:val="Wide Table"/>
    <w:basedOn w:val="Normal"/>
    <w:rsid w:val="006048DA"/>
    <w:pPr>
      <w:ind w:left="-1418"/>
    </w:pPr>
    <w:rPr>
      <w:sz w:val="2"/>
      <w:szCs w:val="2"/>
    </w:rPr>
  </w:style>
  <w:style w:type="character" w:styleId="PageNumber">
    <w:name w:val="page number"/>
    <w:basedOn w:val="DefaultParagraphFont"/>
    <w:rsid w:val="006048DA"/>
  </w:style>
  <w:style w:type="paragraph" w:styleId="Quote">
    <w:name w:val="Quote"/>
    <w:basedOn w:val="Heading1"/>
    <w:link w:val="QuoteChar"/>
    <w:qFormat/>
    <w:rsid w:val="006048DA"/>
    <w:rPr>
      <w:b w:val="0"/>
      <w:sz w:val="72"/>
      <w:szCs w:val="72"/>
      <w:lang w:val="en-NZ"/>
    </w:rPr>
  </w:style>
  <w:style w:type="character" w:customStyle="1" w:styleId="QuoteChar">
    <w:name w:val="Quote Char"/>
    <w:basedOn w:val="DefaultParagraphFont"/>
    <w:link w:val="Quote"/>
    <w:rsid w:val="006048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48DA"/>
    <w:pPr>
      <w:pageBreakBefore/>
    </w:pPr>
  </w:style>
  <w:style w:type="paragraph" w:customStyle="1" w:styleId="Border">
    <w:name w:val="Border"/>
    <w:basedOn w:val="Normal"/>
    <w:qFormat/>
    <w:rsid w:val="006048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48DA"/>
    <w:rPr>
      <w:b/>
      <w:bCs/>
      <w:i/>
      <w:iCs/>
      <w:color w:val="auto"/>
    </w:rPr>
  </w:style>
  <w:style w:type="paragraph" w:styleId="IntenseQuote">
    <w:name w:val="Intense Quote"/>
    <w:basedOn w:val="Normal"/>
    <w:next w:val="Normal"/>
    <w:link w:val="IntenseQuoteChar"/>
    <w:uiPriority w:val="30"/>
    <w:qFormat/>
    <w:rsid w:val="006048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48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48DA"/>
    <w:rPr>
      <w:smallCaps/>
      <w:color w:val="auto"/>
      <w:u w:val="single"/>
    </w:rPr>
  </w:style>
  <w:style w:type="character" w:styleId="IntenseReference">
    <w:name w:val="Intense Reference"/>
    <w:basedOn w:val="DefaultParagraphFont"/>
    <w:uiPriority w:val="32"/>
    <w:qFormat/>
    <w:rsid w:val="006048DA"/>
    <w:rPr>
      <w:b/>
      <w:bCs/>
      <w:smallCaps/>
      <w:color w:val="auto"/>
      <w:spacing w:val="5"/>
      <w:u w:val="single"/>
    </w:rPr>
  </w:style>
  <w:style w:type="paragraph" w:customStyle="1" w:styleId="2ColumnHeading">
    <w:name w:val="2Column Heading"/>
    <w:basedOn w:val="BodyText"/>
    <w:qFormat/>
    <w:rsid w:val="006048DA"/>
    <w:pPr>
      <w:spacing w:after="60"/>
      <w:ind w:left="-2268"/>
    </w:pPr>
    <w:rPr>
      <w:b/>
    </w:rPr>
  </w:style>
  <w:style w:type="paragraph" w:customStyle="1" w:styleId="Heading1TOC">
    <w:name w:val="Heading1 TOC"/>
    <w:basedOn w:val="Normal"/>
    <w:qFormat/>
    <w:rsid w:val="006048DA"/>
    <w:pPr>
      <w:spacing w:before="240" w:after="120"/>
    </w:pPr>
    <w:rPr>
      <w:rFonts w:ascii="Times New Roman" w:hAnsi="Times New Roman"/>
      <w:b/>
      <w:sz w:val="32"/>
    </w:rPr>
  </w:style>
  <w:style w:type="paragraph" w:customStyle="1" w:styleId="Heading2TOC">
    <w:name w:val="Heading2 TOC"/>
    <w:basedOn w:val="Normal"/>
    <w:qFormat/>
    <w:rsid w:val="006048DA"/>
    <w:pPr>
      <w:spacing w:before="240" w:after="60"/>
    </w:pPr>
    <w:rPr>
      <w:rFonts w:ascii="Times New Roman" w:hAnsi="Times New Roman"/>
      <w:b/>
      <w:sz w:val="28"/>
    </w:rPr>
  </w:style>
  <w:style w:type="character" w:customStyle="1" w:styleId="Underline">
    <w:name w:val="Underline"/>
    <w:basedOn w:val="DefaultParagraphFont"/>
    <w:qFormat/>
    <w:rsid w:val="006048DA"/>
    <w:rPr>
      <w:u w:val="single"/>
    </w:rPr>
  </w:style>
  <w:style w:type="character" w:customStyle="1" w:styleId="BoldandItalics">
    <w:name w:val="Bold and Italics"/>
    <w:qFormat/>
    <w:rsid w:val="006048DA"/>
    <w:rPr>
      <w:b/>
      <w:i/>
      <w:u w:val="none"/>
    </w:rPr>
  </w:style>
  <w:style w:type="paragraph" w:styleId="BalloonText">
    <w:name w:val="Balloon Text"/>
    <w:basedOn w:val="Normal"/>
    <w:link w:val="BalloonTextChar"/>
    <w:rsid w:val="006048DA"/>
    <w:rPr>
      <w:rFonts w:ascii="Tahoma" w:hAnsi="Tahoma" w:cs="Tahoma"/>
      <w:sz w:val="16"/>
      <w:szCs w:val="16"/>
    </w:rPr>
  </w:style>
  <w:style w:type="character" w:customStyle="1" w:styleId="BalloonTextChar">
    <w:name w:val="Balloon Text Char"/>
    <w:basedOn w:val="DefaultParagraphFont"/>
    <w:link w:val="BalloonText"/>
    <w:rsid w:val="006048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48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48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48DA"/>
    <w:rPr>
      <w:b/>
      <w:color w:val="660033"/>
      <w:spacing w:val="0"/>
    </w:rPr>
  </w:style>
  <w:style w:type="paragraph" w:customStyle="1" w:styleId="Nameditemlist">
    <w:name w:val="Named item list"/>
    <w:basedOn w:val="BodyText"/>
    <w:qFormat/>
    <w:rsid w:val="006048DA"/>
    <w:pPr>
      <w:tabs>
        <w:tab w:val="left" w:pos="2835"/>
      </w:tabs>
      <w:ind w:left="2835" w:hanging="2835"/>
    </w:pPr>
  </w:style>
  <w:style w:type="paragraph" w:customStyle="1" w:styleId="BodyTextnopadding">
    <w:name w:val="Body Text no padding"/>
    <w:basedOn w:val="BodyText"/>
    <w:qFormat/>
    <w:rsid w:val="006048DA"/>
    <w:pPr>
      <w:spacing w:before="0" w:after="0"/>
    </w:pPr>
  </w:style>
  <w:style w:type="paragraph" w:customStyle="1" w:styleId="BodyTextBold">
    <w:name w:val="Body Text Bold"/>
    <w:basedOn w:val="BodyText"/>
    <w:qFormat/>
    <w:rsid w:val="006048DA"/>
    <w:rPr>
      <w:b/>
    </w:rPr>
  </w:style>
  <w:style w:type="character" w:styleId="Hyperlink">
    <w:name w:val="Hyperlink"/>
    <w:basedOn w:val="DefaultParagraphFont"/>
    <w:uiPriority w:val="99"/>
    <w:unhideWhenUsed/>
    <w:rsid w:val="007505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1517</Words>
  <Characters>9864</Characters>
  <Application>Microsoft Office Word</Application>
  <DocSecurity>0</DocSecurity>
  <Lines>365</Lines>
  <Paragraphs>214</Paragraphs>
  <ScaleCrop>false</ScaleCrop>
  <Company>Author-it Software Corporation Ltd.</Company>
  <LinksUpToDate>false</LinksUpToDate>
  <CharactersWithSpaces>11167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MARL057 Demonstrate basic knowledge of marine diesel engines and systems</dc:title>
  <dc:subject>Approved</dc:subject>
  <dc:creator>Industry Skills Australia</dc:creator>
  <cp:keywords>Release: 2</cp:keywords>
  <dc:description>Review Date: 12 April 2008</dc:description>
  <cp:lastModifiedBy>HSD_TPCMSd.prod</cp:lastModifiedBy>
  <cp:revision>3</cp:revision>
  <dcterms:created xsi:type="dcterms:W3CDTF">2025-03-01T14:49:00Z</dcterms:created>
  <dcterms:modified xsi:type="dcterms:W3CDTF">2025-03-01T14:49:00Z</dcterms:modified>
</cp:coreProperties>
</file>