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B57" w:rsidP="00637B57">
      <w:pPr>
        <w:pStyle w:val="Title"/>
      </w:pPr>
      <w:r>
        <w:fldChar w:fldCharType="begin"/>
      </w:r>
      <w:r>
        <w:instrText xml:space="preserve"> TITLE   \* MERGEFORMAT </w:instrText>
      </w:r>
      <w:r>
        <w:fldChar w:fldCharType="separate"/>
      </w:r>
      <w:r>
        <w:t>Assessment Requirements for MARL056 Demonstrate basic knowledge of marine control systems and automation</w:t>
      </w:r>
      <w:r>
        <w:fldChar w:fldCharType="end"/>
      </w:r>
    </w:p>
    <w:p w:rsidR="00637B57" w:rsidP="00637B57">
      <w:pPr>
        <w:pStyle w:val="Version"/>
        <w:sectPr w:rsidSect="00897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1CE" w:rsidP="008971CE">
      <w:pPr>
        <w:pStyle w:val="SuperHeading"/>
      </w:pPr>
      <w:r w:rsidRPr="008971CE">
        <w:t>Assessment Requirements for MARL056 Demonstrate basic knowledge of marine control systems and automation</w:t>
      </w:r>
    </w:p>
    <w:p w:rsidR="00000000" w:rsidRPr="008971CE" w:rsidP="008971CE">
      <w:pPr>
        <w:pStyle w:val="Heading1"/>
      </w:pPr>
      <w:bookmarkStart w:id="1" w:name="O_1088081"/>
      <w:bookmarkEnd w:id="1"/>
      <w:r w:rsidRPr="008971CE">
        <w:t>Modification History</w:t>
      </w:r>
    </w:p>
    <w:tbl>
      <w:tblPr>
        <w:tblW w:w="9497" w:type="dxa"/>
        <w:tblLayout w:type="fixed"/>
        <w:tblCellMar>
          <w:left w:w="62" w:type="dxa"/>
          <w:right w:w="62" w:type="dxa"/>
        </w:tblCellMar>
        <w:tblLook w:val="0000"/>
      </w:tblPr>
      <w:tblGrid>
        <w:gridCol w:w="9497"/>
      </w:tblGrid>
      <w:tr w:rsidTr="00897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1CE" w:rsidP="008971CE">
            <w:pPr>
              <w:pStyle w:val="BodyText"/>
            </w:pPr>
            <w:r w:rsidRPr="008971CE">
              <w:t>Release 1. This is the first release of this unit of competency in the MAR Maritime Training Package.</w:t>
            </w:r>
          </w:p>
        </w:tc>
      </w:tr>
    </w:tbl>
    <w:p w:rsidR="00637B57" w:rsidP="008971CE">
      <w:pPr>
        <w:pStyle w:val="NoPaddingFontSize1"/>
      </w:pPr>
    </w:p>
    <w:p w:rsidR="00637B57" w:rsidP="008971CE">
      <w:pPr>
        <w:pStyle w:val="NoPaddingFontSize1"/>
      </w:pPr>
    </w:p>
    <w:p w:rsidR="00000000" w:rsidRPr="008971CE" w:rsidP="008971CE">
      <w:pPr>
        <w:pStyle w:val="Heading1"/>
      </w:pPr>
      <w:bookmarkStart w:id="2" w:name="O_1088082"/>
      <w:bookmarkEnd w:id="2"/>
      <w:r w:rsidRPr="008971CE">
        <w:t>Performance Evidence</w:t>
      </w:r>
    </w:p>
    <w:tbl>
      <w:tblPr>
        <w:tblW w:w="9497" w:type="dxa"/>
        <w:tblLayout w:type="fixed"/>
        <w:tblCellMar>
          <w:left w:w="62" w:type="dxa"/>
          <w:right w:w="62" w:type="dxa"/>
        </w:tblCellMar>
        <w:tblLook w:val="0000"/>
      </w:tblPr>
      <w:tblGrid>
        <w:gridCol w:w="9497"/>
      </w:tblGrid>
      <w:tr w:rsidTr="00897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1CE" w:rsidP="008971CE">
            <w:pPr>
              <w:pStyle w:val="BodyText"/>
            </w:pPr>
            <w:r w:rsidRPr="008971CE">
              <w:t>Evidence required to demonstrate competence in this unit must be relevant to and satisfy all of the requirements of the elements and performance criteria on at least one occasion and include:</w:t>
            </w:r>
          </w:p>
          <w:p w:rsidR="00000000" w:rsidRPr="008971CE" w:rsidP="008971CE">
            <w:pPr>
              <w:pStyle w:val="ListBullet"/>
            </w:pPr>
            <w:r w:rsidRPr="008971CE">
              <w:t>accessing information an</w:t>
            </w:r>
            <w:r w:rsidRPr="008971CE">
              <w:t>d sketching diagrams to interpret and explain testing requirements related to control systems on commercial vessels</w:t>
            </w:r>
          </w:p>
          <w:p w:rsidR="00000000" w:rsidRPr="008971CE" w:rsidP="008971CE">
            <w:pPr>
              <w:pStyle w:val="ListBullet"/>
            </w:pPr>
            <w:r w:rsidRPr="008971CE">
              <w:t>assessing own work outcomes and maintaining knowledge of current codes, standards, regulations and industry practices</w:t>
            </w:r>
          </w:p>
          <w:p w:rsidR="00000000" w:rsidRPr="008971CE" w:rsidP="008971CE">
            <w:pPr>
              <w:pStyle w:val="ListBullet"/>
            </w:pPr>
            <w:r w:rsidRPr="008971CE">
              <w:t>explaining basic princ</w:t>
            </w:r>
            <w:r w:rsidRPr="008971CE">
              <w:t>iples of marine automation and process control</w:t>
            </w:r>
          </w:p>
          <w:p w:rsidR="00000000" w:rsidRPr="008971CE" w:rsidP="008971CE">
            <w:pPr>
              <w:pStyle w:val="ListBullet"/>
            </w:pPr>
            <w:r w:rsidRPr="008971CE">
              <w:t>identifying and interpreting numerical and graphical information, including schematic diagrams, relevant to control systems on commercial vessels</w:t>
            </w:r>
          </w:p>
          <w:p w:rsidR="00000000" w:rsidRPr="008971CE" w:rsidP="008971CE">
            <w:pPr>
              <w:pStyle w:val="ListBullet"/>
            </w:pPr>
            <w:r w:rsidRPr="008971CE">
              <w:t>identifying and suggesting ways of rectifying faults and malfun</w:t>
            </w:r>
            <w:r w:rsidRPr="008971CE">
              <w:t>ctions in control systems on commercial vessels</w:t>
            </w:r>
          </w:p>
          <w:p w:rsidR="00000000" w:rsidRPr="008971CE" w:rsidP="008971CE">
            <w:pPr>
              <w:pStyle w:val="ListBullet"/>
            </w:pPr>
            <w:r w:rsidRPr="008971CE">
              <w:t>identifying methods, procedures and materials needed to operate and maintain control systems on commercial vessels</w:t>
            </w:r>
          </w:p>
          <w:p w:rsidR="00000000" w:rsidRPr="008971CE" w:rsidP="008971CE">
            <w:pPr>
              <w:pStyle w:val="ListBullet"/>
            </w:pPr>
            <w:r w:rsidRPr="008971CE">
              <w:t>imparting knowledge and ideas through verbal, written and visual means</w:t>
            </w:r>
          </w:p>
          <w:p w:rsidR="00000000" w:rsidRPr="008971CE" w:rsidP="008971CE">
            <w:pPr>
              <w:pStyle w:val="ListBullet"/>
            </w:pPr>
            <w:r w:rsidRPr="008971CE">
              <w:t>providing accurate and reliable information</w:t>
            </w:r>
          </w:p>
          <w:p w:rsidR="00000000" w:rsidRPr="008971CE" w:rsidP="008971CE">
            <w:pPr>
              <w:pStyle w:val="ListBullet"/>
            </w:pPr>
            <w:r w:rsidRPr="008971CE">
              <w:t>providing appropriate level of detail in responses</w:t>
            </w:r>
          </w:p>
          <w:p w:rsidR="00000000" w:rsidRPr="008971CE" w:rsidP="008971CE">
            <w:pPr>
              <w:pStyle w:val="ListBullet"/>
            </w:pPr>
            <w:r w:rsidRPr="008971CE">
              <w:t>reading and interpreting written information related to the operation of control systems on commercial vessels.</w:t>
            </w:r>
          </w:p>
        </w:tc>
      </w:tr>
    </w:tbl>
    <w:p w:rsidR="00000000" w:rsidRPr="008971CE" w:rsidP="008971CE">
      <w:pPr>
        <w:pStyle w:val="NoPaddingFontSize1"/>
      </w:pPr>
    </w:p>
    <w:p w:rsidR="00000000" w:rsidRPr="008971CE" w:rsidP="008971CE">
      <w:pPr>
        <w:pStyle w:val="AllowPageBreak"/>
      </w:pPr>
    </w:p>
    <w:p w:rsidR="00000000" w:rsidRPr="008971CE" w:rsidP="008971CE">
      <w:pPr>
        <w:pStyle w:val="Heading1"/>
      </w:pPr>
      <w:bookmarkStart w:id="3" w:name="O_1088083"/>
      <w:bookmarkEnd w:id="3"/>
      <w:r w:rsidRPr="008971CE">
        <w:t>Knowledge Evidence</w:t>
      </w:r>
    </w:p>
    <w:tbl>
      <w:tblPr>
        <w:tblW w:w="9497" w:type="dxa"/>
        <w:tblLayout w:type="fixed"/>
        <w:tblCellMar>
          <w:left w:w="62" w:type="dxa"/>
          <w:right w:w="62" w:type="dxa"/>
        </w:tblCellMar>
        <w:tblLook w:val="0000"/>
      </w:tblPr>
      <w:tblGrid>
        <w:gridCol w:w="9497"/>
      </w:tblGrid>
      <w:tr w:rsidTr="00897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1CE" w:rsidP="008971CE">
            <w:pPr>
              <w:pStyle w:val="BodyText"/>
            </w:pPr>
            <w:r w:rsidRPr="008971CE">
              <w:t xml:space="preserve">Evidence </w:t>
            </w:r>
            <w:r w:rsidRPr="008971CE">
              <w:t>required to demonstrate competence in this unit must be relevant to and satisfy all of the requirements of the elements and performance criteria and include knowledge of:</w:t>
            </w:r>
          </w:p>
          <w:p w:rsidR="00000000" w:rsidRPr="008971CE" w:rsidP="008971CE">
            <w:pPr>
              <w:pStyle w:val="ListBullet"/>
            </w:pPr>
            <w:r w:rsidRPr="008971CE">
              <w:t>basic control engineering, including:</w:t>
            </w:r>
          </w:p>
          <w:p w:rsidR="00000000" w:rsidRPr="008971CE" w:rsidP="008971CE">
            <w:pPr>
              <w:pStyle w:val="ListBullet2"/>
            </w:pPr>
            <w:r w:rsidRPr="008971CE">
              <w:t>fundamentals of automatic control</w:t>
            </w:r>
          </w:p>
          <w:p w:rsidR="00000000" w:rsidRPr="008971CE" w:rsidP="008971CE">
            <w:pPr>
              <w:pStyle w:val="ListBullet2"/>
            </w:pPr>
            <w:r w:rsidRPr="008971CE">
              <w:t>ON-OFF control</w:t>
            </w:r>
          </w:p>
          <w:p w:rsidR="00000000" w:rsidRPr="008971CE" w:rsidP="008971CE">
            <w:pPr>
              <w:pStyle w:val="ListBullet2"/>
            </w:pPr>
            <w:r w:rsidRPr="008971CE">
              <w:t>proportional-integral-derivative (PID) control</w:t>
            </w:r>
          </w:p>
          <w:p w:rsidR="00000000" w:rsidRPr="008971CE" w:rsidP="008971CE">
            <w:pPr>
              <w:pStyle w:val="ListBullet2"/>
            </w:pPr>
            <w:r w:rsidRPr="008971CE">
              <w:t>sequential control</w:t>
            </w:r>
          </w:p>
          <w:p w:rsidR="00000000" w:rsidRPr="008971CE" w:rsidP="008971CE">
            <w:pPr>
              <w:pStyle w:val="ListBullet2"/>
            </w:pPr>
            <w:r w:rsidRPr="008971CE">
              <w:t>various automatic control</w:t>
            </w:r>
          </w:p>
          <w:p w:rsidR="00000000" w:rsidRPr="008971CE" w:rsidP="008971CE">
            <w:pPr>
              <w:pStyle w:val="ListBullet"/>
            </w:pPr>
            <w:r w:rsidRPr="008971CE">
              <w:t>basic electronics, including:</w:t>
            </w:r>
          </w:p>
          <w:p w:rsidR="00000000" w:rsidRPr="008971CE" w:rsidP="008971CE">
            <w:pPr>
              <w:pStyle w:val="ListBullet2"/>
            </w:pPr>
            <w:r w:rsidRPr="008971CE">
              <w:t>basic electronic circuit elements:</w:t>
            </w:r>
          </w:p>
          <w:p w:rsidR="00000000" w:rsidRPr="008971CE" w:rsidP="008971CE">
            <w:pPr>
              <w:pStyle w:val="ListBullet3"/>
            </w:pPr>
            <w:r w:rsidRPr="008971CE">
              <w:t>diodes</w:t>
            </w:r>
          </w:p>
          <w:p w:rsidR="00000000" w:rsidRPr="008971CE" w:rsidP="008971CE">
            <w:pPr>
              <w:pStyle w:val="ListBullet3"/>
            </w:pPr>
            <w:r w:rsidRPr="008971CE">
              <w:t>integrated circuit (IC) and large-scale integrated circuit (LSIC)</w:t>
            </w:r>
          </w:p>
          <w:p w:rsidR="00000000" w:rsidRPr="008971CE" w:rsidP="008971CE">
            <w:pPr>
              <w:pStyle w:val="ListBullet3"/>
            </w:pPr>
            <w:r w:rsidRPr="008971CE">
              <w:t>semiconductor</w:t>
            </w:r>
          </w:p>
          <w:p w:rsidR="00000000" w:rsidRPr="008971CE" w:rsidP="008971CE">
            <w:pPr>
              <w:pStyle w:val="ListBullet3"/>
            </w:pPr>
            <w:r w:rsidRPr="008971CE">
              <w:t>thyristor</w:t>
            </w:r>
          </w:p>
          <w:p w:rsidR="00000000" w:rsidRPr="008971CE" w:rsidP="008971CE">
            <w:pPr>
              <w:pStyle w:val="ListBullet2"/>
            </w:pPr>
            <w:r w:rsidRPr="008971CE">
              <w:t>electron theory</w:t>
            </w:r>
          </w:p>
          <w:p w:rsidR="00000000" w:rsidRPr="008971CE" w:rsidP="008971CE">
            <w:pPr>
              <w:pStyle w:val="ListBullet2"/>
            </w:pPr>
            <w:r w:rsidRPr="008971CE">
              <w:t>electronic control equipment</w:t>
            </w:r>
          </w:p>
          <w:p w:rsidR="00000000" w:rsidRPr="008971CE" w:rsidP="008971CE">
            <w:pPr>
              <w:pStyle w:val="ListBullet2"/>
            </w:pPr>
            <w:r w:rsidRPr="008971CE">
              <w:t>flowchart for automatic and control systems</w:t>
            </w:r>
          </w:p>
          <w:p w:rsidR="00000000" w:rsidRPr="008971CE" w:rsidP="008971CE">
            <w:pPr>
              <w:pStyle w:val="ListBullet"/>
            </w:pPr>
            <w:r w:rsidRPr="008971CE">
              <w:t>characteristics and functions of temperature, pressure and viscosity of fuel</w:t>
            </w:r>
          </w:p>
          <w:p w:rsidR="00000000" w:rsidRPr="008971CE" w:rsidP="008971CE">
            <w:pPr>
              <w:pStyle w:val="ListBullet"/>
            </w:pPr>
            <w:r w:rsidRPr="008971CE">
              <w:t>components, including:</w:t>
            </w:r>
          </w:p>
          <w:p w:rsidR="00000000" w:rsidRPr="008971CE" w:rsidP="008971CE">
            <w:pPr>
              <w:pStyle w:val="ListBullet2"/>
            </w:pPr>
            <w:r w:rsidRPr="008971CE">
              <w:t>actuators</w:t>
            </w:r>
          </w:p>
          <w:p w:rsidR="00000000" w:rsidRPr="008971CE" w:rsidP="008971CE">
            <w:pPr>
              <w:pStyle w:val="ListBullet2"/>
            </w:pPr>
            <w:r w:rsidRPr="008971CE">
              <w:t>responders</w:t>
            </w:r>
          </w:p>
          <w:p w:rsidR="00000000" w:rsidRPr="008971CE" w:rsidP="008971CE">
            <w:pPr>
              <w:pStyle w:val="ListBullet2"/>
            </w:pPr>
            <w:r w:rsidRPr="008971CE">
              <w:t>sensors</w:t>
            </w:r>
          </w:p>
          <w:p w:rsidR="00000000" w:rsidRPr="008971CE" w:rsidP="008971CE">
            <w:pPr>
              <w:pStyle w:val="ListBullet"/>
            </w:pPr>
            <w:r w:rsidRPr="008971CE">
              <w:t>concept of ‘fail safe’ philosophy</w:t>
            </w:r>
          </w:p>
          <w:p w:rsidR="00000000" w:rsidRPr="008971CE" w:rsidP="008971CE">
            <w:pPr>
              <w:pStyle w:val="ListBullet"/>
            </w:pPr>
            <w:r w:rsidRPr="008971CE">
              <w:t>concepts of unmanned machinery space (UMS), and automated monitoring and control of machinery</w:t>
            </w:r>
          </w:p>
          <w:p w:rsidR="00000000" w:rsidRPr="008971CE" w:rsidP="008971CE">
            <w:pPr>
              <w:pStyle w:val="ListBullet"/>
            </w:pPr>
            <w:r w:rsidRPr="008971CE">
              <w:t>control and monitoring of ship machinery</w:t>
            </w:r>
          </w:p>
          <w:p w:rsidR="00000000" w:rsidRPr="008971CE" w:rsidP="008971CE">
            <w:pPr>
              <w:pStyle w:val="ListBullet"/>
            </w:pPr>
            <w:r w:rsidRPr="008971CE">
              <w:t>control loops</w:t>
            </w:r>
          </w:p>
          <w:p w:rsidR="00000000" w:rsidRPr="008971CE" w:rsidP="008971CE">
            <w:pPr>
              <w:pStyle w:val="ListBullet"/>
            </w:pPr>
            <w:r w:rsidRPr="008971CE">
              <w:t>electronics and power electronics, including:</w:t>
            </w:r>
          </w:p>
          <w:p w:rsidR="00000000" w:rsidRPr="008971CE" w:rsidP="008971CE">
            <w:pPr>
              <w:pStyle w:val="ListBullet2"/>
            </w:pPr>
            <w:r w:rsidRPr="008971CE">
              <w:t>amplifiers</w:t>
            </w:r>
          </w:p>
          <w:p w:rsidR="00000000" w:rsidRPr="008971CE" w:rsidP="008971CE">
            <w:pPr>
              <w:pStyle w:val="ListBullet2"/>
            </w:pPr>
            <w:r w:rsidRPr="008971CE">
              <w:t>analogue and DC</w:t>
            </w:r>
            <w:r w:rsidRPr="008971CE">
              <w:t xml:space="preserve"> power supplies</w:t>
            </w:r>
          </w:p>
          <w:p w:rsidR="00000000" w:rsidRPr="008971CE" w:rsidP="008971CE">
            <w:pPr>
              <w:pStyle w:val="ListBullet2"/>
            </w:pPr>
            <w:r w:rsidRPr="008971CE">
              <w:t>cyclo-converters</w:t>
            </w:r>
          </w:p>
          <w:p w:rsidR="00000000" w:rsidRPr="008971CE" w:rsidP="008971CE">
            <w:pPr>
              <w:pStyle w:val="ListBullet2"/>
            </w:pPr>
            <w:r w:rsidRPr="008971CE">
              <w:t>MSI onverters</w:t>
            </w:r>
          </w:p>
          <w:p w:rsidR="00000000" w:rsidRPr="008971CE" w:rsidP="008971CE">
            <w:pPr>
              <w:pStyle w:val="ListBullet2"/>
            </w:pPr>
            <w:r w:rsidRPr="008971CE">
              <w:t>power electronic converters</w:t>
            </w:r>
          </w:p>
          <w:p w:rsidR="00000000" w:rsidRPr="008971CE" w:rsidP="008971CE">
            <w:pPr>
              <w:pStyle w:val="ListBullet2"/>
            </w:pPr>
            <w:r w:rsidRPr="008971CE">
              <w:t>rectifiers</w:t>
            </w:r>
          </w:p>
          <w:p w:rsidR="00000000" w:rsidRPr="008971CE" w:rsidP="008971CE">
            <w:pPr>
              <w:pStyle w:val="ListBullet2"/>
            </w:pPr>
            <w:r w:rsidRPr="008971CE">
              <w:t>stabilisers</w:t>
            </w:r>
          </w:p>
          <w:p w:rsidR="00000000" w:rsidRPr="008971CE" w:rsidP="008971CE">
            <w:pPr>
              <w:pStyle w:val="ListBullet2"/>
            </w:pPr>
            <w:r w:rsidRPr="008971CE">
              <w:t>transistors</w:t>
            </w:r>
          </w:p>
          <w:p w:rsidR="00000000" w:rsidRPr="008971CE" w:rsidP="008971CE">
            <w:pPr>
              <w:pStyle w:val="ListBullet"/>
            </w:pPr>
            <w:r w:rsidRPr="008971CE">
              <w:t>fundamentals of automatic control</w:t>
            </w:r>
          </w:p>
          <w:p w:rsidR="00000000" w:rsidRPr="008971CE" w:rsidP="008971CE">
            <w:pPr>
              <w:pStyle w:val="ListBullet"/>
            </w:pPr>
            <w:r w:rsidRPr="008971CE">
              <w:t>instrument process and control terms</w:t>
            </w:r>
          </w:p>
          <w:p w:rsidR="00000000" w:rsidRPr="008971CE" w:rsidP="008971CE">
            <w:pPr>
              <w:pStyle w:val="ListBullet"/>
            </w:pPr>
            <w:r w:rsidRPr="008971CE">
              <w:t>measurement of process value, including:</w:t>
            </w:r>
          </w:p>
          <w:p w:rsidR="00000000" w:rsidRPr="008971CE" w:rsidP="008971CE">
            <w:pPr>
              <w:pStyle w:val="ListBullet2"/>
            </w:pPr>
            <w:r w:rsidRPr="008971CE">
              <w:t>flow</w:t>
            </w:r>
          </w:p>
          <w:p w:rsidR="00000000" w:rsidRPr="008971CE" w:rsidP="008971CE">
            <w:pPr>
              <w:pStyle w:val="ListBullet2"/>
            </w:pPr>
            <w:r w:rsidRPr="008971CE">
              <w:t>general measurement of processes</w:t>
            </w:r>
          </w:p>
          <w:p w:rsidR="00000000" w:rsidRPr="008971CE" w:rsidP="008971CE">
            <w:pPr>
              <w:pStyle w:val="ListBullet2"/>
            </w:pPr>
            <w:r w:rsidRPr="008971CE">
              <w:t>level, including direct methods and inferential methods</w:t>
            </w:r>
          </w:p>
          <w:p w:rsidR="00000000" w:rsidRPr="008971CE" w:rsidP="008971CE">
            <w:pPr>
              <w:pStyle w:val="ListBullet2"/>
            </w:pPr>
            <w:r w:rsidRPr="008971CE">
              <w:t>pressure</w:t>
            </w:r>
          </w:p>
          <w:p w:rsidR="00000000" w:rsidRPr="008971CE" w:rsidP="008971CE">
            <w:pPr>
              <w:pStyle w:val="ListBullet2"/>
            </w:pPr>
            <w:r w:rsidRPr="008971CE">
              <w:t>temperature, including mechanical and electrical</w:t>
            </w:r>
          </w:p>
          <w:p w:rsidR="00000000" w:rsidRPr="008971CE" w:rsidP="008971CE">
            <w:pPr>
              <w:pStyle w:val="ListBullet"/>
            </w:pPr>
            <w:r w:rsidRPr="008971CE">
              <w:t>mechanical and electrical sensors</w:t>
            </w:r>
          </w:p>
          <w:p w:rsidR="00000000" w:rsidRPr="008971CE" w:rsidP="008971CE">
            <w:pPr>
              <w:pStyle w:val="ListBullet"/>
            </w:pPr>
            <w:r w:rsidRPr="008971CE">
              <w:t>mediums, including:</w:t>
            </w:r>
          </w:p>
          <w:p w:rsidR="00000000" w:rsidRPr="008971CE" w:rsidP="008971CE">
            <w:pPr>
              <w:pStyle w:val="ListBullet2"/>
            </w:pPr>
            <w:r w:rsidRPr="008971CE">
              <w:t>compressed air</w:t>
            </w:r>
          </w:p>
          <w:p w:rsidR="00000000" w:rsidRPr="008971CE" w:rsidP="008971CE">
            <w:pPr>
              <w:pStyle w:val="ListBullet2"/>
            </w:pPr>
            <w:r w:rsidRPr="008971CE">
              <w:t>electric currents</w:t>
            </w:r>
          </w:p>
          <w:p w:rsidR="00000000" w:rsidRPr="008971CE" w:rsidP="008971CE">
            <w:pPr>
              <w:pStyle w:val="ListBullet2"/>
            </w:pPr>
            <w:r w:rsidRPr="008971CE">
              <w:t>electric voltages</w:t>
            </w:r>
          </w:p>
          <w:p w:rsidR="00000000" w:rsidRPr="008971CE" w:rsidP="008971CE">
            <w:pPr>
              <w:pStyle w:val="ListBullet2"/>
            </w:pPr>
            <w:r w:rsidRPr="008971CE">
              <w:t>hydraulic fluids</w:t>
            </w:r>
          </w:p>
          <w:p w:rsidR="00000000" w:rsidRPr="008971CE" w:rsidP="008971CE">
            <w:pPr>
              <w:pStyle w:val="ListBullet"/>
            </w:pPr>
            <w:r w:rsidRPr="008971CE">
              <w:t>ON-OFF control</w:t>
            </w:r>
          </w:p>
          <w:p w:rsidR="00000000" w:rsidRPr="008971CE" w:rsidP="008971CE">
            <w:pPr>
              <w:pStyle w:val="ListBullet"/>
            </w:pPr>
            <w:r w:rsidRPr="008971CE">
              <w:t>pneumatic and electrical instrumentation transmitters</w:t>
            </w:r>
          </w:p>
          <w:p w:rsidR="00000000" w:rsidRPr="008971CE" w:rsidP="008971CE">
            <w:pPr>
              <w:pStyle w:val="ListBullet"/>
            </w:pPr>
            <w:r w:rsidRPr="008971CE">
              <w:t>preparation, operation, fault detection and necessary measures to prevent damage for machinery items and control systems</w:t>
            </w:r>
          </w:p>
          <w:p w:rsidR="00000000" w:rsidRPr="008971CE" w:rsidP="008971CE">
            <w:pPr>
              <w:pStyle w:val="ListBullet"/>
            </w:pPr>
            <w:r w:rsidRPr="008971CE">
              <w:t>principles of:</w:t>
            </w:r>
          </w:p>
          <w:p w:rsidR="00000000" w:rsidRPr="008971CE" w:rsidP="008971CE">
            <w:pPr>
              <w:pStyle w:val="ListBullet2"/>
            </w:pPr>
            <w:r w:rsidRPr="008971CE">
              <w:t>basic electronic circuits</w:t>
            </w:r>
          </w:p>
          <w:p w:rsidR="00000000" w:rsidRPr="008971CE" w:rsidP="008971CE">
            <w:pPr>
              <w:pStyle w:val="ListBullet2"/>
            </w:pPr>
            <w:r w:rsidRPr="008971CE">
              <w:t xml:space="preserve">basic </w:t>
            </w:r>
            <w:r w:rsidRPr="008971CE">
              <w:t>pneumatic systems and action of pneumatic instruments</w:t>
            </w:r>
          </w:p>
          <w:p w:rsidR="00000000" w:rsidRPr="008971CE" w:rsidP="008971CE">
            <w:pPr>
              <w:pStyle w:val="ListBullet2"/>
            </w:pPr>
            <w:r w:rsidRPr="008971CE">
              <w:t>process control</w:t>
            </w:r>
          </w:p>
          <w:p w:rsidR="00000000" w:rsidRPr="008971CE" w:rsidP="008971CE">
            <w:pPr>
              <w:pStyle w:val="ListBullet"/>
            </w:pPr>
            <w:r w:rsidRPr="008971CE">
              <w:t>relevant industry standards for drawing symbols/layouts for schematic diagrams</w:t>
            </w:r>
          </w:p>
          <w:p w:rsidR="00000000" w:rsidRPr="008971CE" w:rsidP="008971CE">
            <w:pPr>
              <w:pStyle w:val="ListBullet"/>
            </w:pPr>
            <w:r w:rsidRPr="008971CE">
              <w:t>safety and emergency procedures for operation of propulsion plant machinery, including control systems</w:t>
            </w:r>
          </w:p>
          <w:p w:rsidR="00000000" w:rsidRPr="008971CE" w:rsidP="008971CE">
            <w:pPr>
              <w:pStyle w:val="ListBullet"/>
            </w:pPr>
            <w:r w:rsidRPr="008971CE">
              <w:t>saf</w:t>
            </w:r>
            <w:r w:rsidRPr="008971CE">
              <w:t>ety devices, alarms and monitoring systems</w:t>
            </w:r>
          </w:p>
          <w:p w:rsidR="00000000" w:rsidRPr="008971CE" w:rsidP="008971CE">
            <w:pPr>
              <w:pStyle w:val="ListBullet"/>
            </w:pPr>
            <w:r w:rsidRPr="008971CE">
              <w:t>sensing and transmitting elements</w:t>
            </w:r>
          </w:p>
          <w:p w:rsidR="00000000" w:rsidRPr="008971CE" w:rsidP="008971CE">
            <w:pPr>
              <w:pStyle w:val="ListBullet"/>
            </w:pPr>
            <w:r w:rsidRPr="008971CE">
              <w:t>sequential control</w:t>
            </w:r>
          </w:p>
          <w:p w:rsidR="00000000" w:rsidRPr="008971CE" w:rsidP="008971CE">
            <w:pPr>
              <w:pStyle w:val="ListBullet"/>
            </w:pPr>
            <w:r w:rsidRPr="008971CE">
              <w:t>tests and procedures required to meet UMS requirements</w:t>
            </w:r>
          </w:p>
          <w:p w:rsidR="00000000" w:rsidRPr="008971CE" w:rsidP="008971CE">
            <w:pPr>
              <w:pStyle w:val="ListBullet"/>
            </w:pPr>
            <w:r w:rsidRPr="008971CE">
              <w:t>total bridge control</w:t>
            </w:r>
          </w:p>
          <w:p w:rsidR="00000000" w:rsidRPr="008971CE" w:rsidP="008971CE">
            <w:pPr>
              <w:pStyle w:val="ListBullet"/>
            </w:pPr>
            <w:r w:rsidRPr="008971CE">
              <w:t>transmission of signals, including:</w:t>
            </w:r>
          </w:p>
          <w:p w:rsidR="00000000" w:rsidRPr="008971CE" w:rsidP="008971CE">
            <w:pPr>
              <w:pStyle w:val="ListBullet2"/>
            </w:pPr>
            <w:r w:rsidRPr="008971CE">
              <w:t>controlling elements, including pneumatic</w:t>
            </w:r>
          </w:p>
          <w:p w:rsidR="00000000" w:rsidRPr="008971CE" w:rsidP="008971CE">
            <w:pPr>
              <w:pStyle w:val="ListBullet2"/>
            </w:pPr>
            <w:r w:rsidRPr="008971CE">
              <w:t>transmitters</w:t>
            </w:r>
          </w:p>
          <w:p w:rsidR="00000000" w:rsidRPr="008971CE" w:rsidP="008971CE">
            <w:pPr>
              <w:pStyle w:val="ListBullet"/>
            </w:pPr>
            <w:r w:rsidRPr="008971CE">
              <w:t>various automatic controls</w:t>
            </w:r>
          </w:p>
          <w:p w:rsidR="00000000" w:rsidRPr="008971CE" w:rsidP="008971CE">
            <w:pPr>
              <w:pStyle w:val="ListBullet"/>
            </w:pPr>
            <w:r w:rsidRPr="008971CE">
              <w:t>work health and safety (WHS)/occupational health and safety (OHS) legislation, policies and procedures.</w:t>
            </w:r>
          </w:p>
        </w:tc>
      </w:tr>
    </w:tbl>
    <w:p w:rsidR="00000000" w:rsidRPr="008971CE" w:rsidP="008971CE">
      <w:pPr>
        <w:pStyle w:val="NoPaddingFontSize1"/>
      </w:pPr>
    </w:p>
    <w:p w:rsidR="00000000" w:rsidRPr="008971CE" w:rsidP="008971CE">
      <w:pPr>
        <w:pStyle w:val="AllowPageBreak"/>
      </w:pPr>
    </w:p>
    <w:p w:rsidR="00000000" w:rsidRPr="008971CE" w:rsidP="008971CE">
      <w:pPr>
        <w:pStyle w:val="Heading1"/>
      </w:pPr>
      <w:bookmarkStart w:id="4" w:name="O_1088084"/>
      <w:bookmarkEnd w:id="4"/>
      <w:r w:rsidRPr="008971CE">
        <w:t>Assessment Conditions</w:t>
      </w:r>
    </w:p>
    <w:tbl>
      <w:tblPr>
        <w:tblW w:w="9497" w:type="dxa"/>
        <w:tblLayout w:type="fixed"/>
        <w:tblCellMar>
          <w:left w:w="62" w:type="dxa"/>
          <w:right w:w="62" w:type="dxa"/>
        </w:tblCellMar>
        <w:tblLook w:val="0000"/>
      </w:tblPr>
      <w:tblGrid>
        <w:gridCol w:w="9497"/>
      </w:tblGrid>
      <w:tr w:rsidTr="00897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1CE" w:rsidP="008971CE">
            <w:pPr>
              <w:pStyle w:val="BodyText"/>
            </w:pPr>
            <w:r w:rsidRPr="008971CE">
              <w:t>Assessors must hold credentials specified within the Standards for Registered Training Organisations current at the time of assessment.</w:t>
            </w:r>
          </w:p>
          <w:p w:rsidR="00000000" w:rsidRPr="008971CE" w:rsidP="008971CE">
            <w:pPr>
              <w:pStyle w:val="BodyText"/>
            </w:pPr>
            <w:r w:rsidRPr="008971CE">
              <w:t>Assessment must satisfy the Principles of Assessment and Rules of Evidence and all regulatory requirements included with</w:t>
            </w:r>
            <w:r w:rsidRPr="008971CE">
              <w:t xml:space="preserve">in the Standards for Registered Training Organisations current at the time of assessment.  </w:t>
            </w:r>
          </w:p>
          <w:p w:rsidR="00000000" w:rsidRPr="008971CE" w:rsidP="008971CE">
            <w:pPr>
              <w:pStyle w:val="BodyText"/>
            </w:pPr>
            <w:r w:rsidRPr="008971CE">
              <w:t>Assessment processes and techniques must be appropriate to the language, literacy and numeracy requirements of the work being performed and the needs of the candida</w:t>
            </w:r>
            <w:r w:rsidRPr="008971CE">
              <w:t>te.</w:t>
            </w:r>
          </w:p>
          <w:p w:rsidR="00000000" w:rsidRPr="008971CE" w:rsidP="008971CE">
            <w:pPr>
              <w:pStyle w:val="BodyText"/>
            </w:pPr>
            <w:r w:rsidRPr="008971CE">
              <w:t xml:space="preserve">Practical assessment must occur in a workplace, or realistic simulated workplace, under the normal range of workplace conditions. </w:t>
            </w:r>
          </w:p>
          <w:p w:rsidR="00000000" w:rsidRPr="008971CE" w:rsidP="008971CE">
            <w:pPr>
              <w:pStyle w:val="BodyText"/>
            </w:pPr>
            <w:r w:rsidRPr="008971CE">
              <w:t>Simulations and scenarios may be used where situations cannot be provided in the workplace or may occur only rarely, in p</w:t>
            </w:r>
            <w:r w:rsidRPr="008971CE">
              <w:t>articular for situations relating to emergency procedures and adverse weather conditions where assessment would be unsafe, impractical or may lead to environmental damage.</w:t>
            </w:r>
          </w:p>
          <w:p w:rsidR="00000000" w:rsidRPr="008971CE" w:rsidP="008971CE">
            <w:pPr>
              <w:pStyle w:val="BodyText"/>
            </w:pPr>
            <w:r w:rsidRPr="008971CE">
              <w:t>Resources for assessment must include access to:</w:t>
            </w:r>
          </w:p>
          <w:p w:rsidR="00000000" w:rsidRPr="008971CE" w:rsidP="008971CE">
            <w:pPr>
              <w:pStyle w:val="ListBullet"/>
            </w:pPr>
            <w:r w:rsidRPr="008971CE">
              <w:t xml:space="preserve">applicable documentation, such as </w:t>
            </w:r>
            <w:r w:rsidRPr="008971CE">
              <w:t>legislation, regulations, codes of practice, workplace procedures and operational manuals</w:t>
            </w:r>
          </w:p>
          <w:p w:rsidR="00000000" w:rsidRPr="008971CE" w:rsidP="008971CE">
            <w:pPr>
              <w:pStyle w:val="ListBullet"/>
            </w:pPr>
            <w:r w:rsidRPr="008971CE">
              <w:t>tools, equipment, machinery, materials and relevant personal protective equipment (PPE) currently used in industry.</w:t>
            </w:r>
          </w:p>
        </w:tc>
      </w:tr>
    </w:tbl>
    <w:p w:rsidR="00000000" w:rsidRPr="008971CE" w:rsidP="008971CE">
      <w:pPr>
        <w:pStyle w:val="NoPaddingFontSize1"/>
      </w:pPr>
    </w:p>
    <w:p w:rsidR="00000000" w:rsidRPr="008971CE" w:rsidP="008971CE">
      <w:pPr>
        <w:pStyle w:val="AllowPageBreak"/>
      </w:pPr>
    </w:p>
    <w:p w:rsidR="00000000" w:rsidRPr="008971CE" w:rsidP="008971CE">
      <w:pPr>
        <w:pStyle w:val="Heading1"/>
      </w:pPr>
      <w:bookmarkStart w:id="5" w:name="O_1088087"/>
      <w:bookmarkEnd w:id="5"/>
      <w:r w:rsidRPr="008971CE">
        <w:t>Links</w:t>
      </w:r>
    </w:p>
    <w:p w:rsidR="00000000" w:rsidRPr="008971CE" w:rsidP="00637B57">
      <w:pPr>
        <w:pStyle w:val="BodyText"/>
      </w:pPr>
      <w:r w:rsidRPr="008971C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417BC">
        <w:rPr>
          <w:rStyle w:val="Hyperlink"/>
        </w:rPr>
        <w:t>https://vetnet.gov.au/Pages/TrainingDocs.aspx?q=772efb7b-4cce-47fe-9bbd-ee3b1d1eb4c2</w:t>
      </w:r>
      <w:r>
        <w:fldChar w:fldCharType="end"/>
      </w:r>
    </w:p>
    <w:p w:rsidR="00000000" w:rsidRPr="008971CE" w:rsidP="008971CE"/>
    <w:sectPr w:rsidSect="00897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1CE" w:rsidRPr="00637B57" w:rsidP="00637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57" w:rsidP="00897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B57" w:rsidP="008971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37B57" w:rsidP="00897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1CE" w:rsidRPr="00637B57" w:rsidP="00637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57" w:rsidRPr="002D2AF8" w:rsidP="008971CE">
    <w:pPr>
      <w:pStyle w:val="Header"/>
      <w:framePr w:wrap="around"/>
    </w:pPr>
    <w:r>
      <w:fldChar w:fldCharType="begin"/>
    </w:r>
    <w:r>
      <w:instrText xml:space="preserve"> TITLE   \* MERGEFORMAT </w:instrText>
    </w:r>
    <w:r>
      <w:fldChar w:fldCharType="separate"/>
    </w:r>
    <w:r>
      <w:t>Assessment Requirements for MARL056 Demonstrate basic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37B57" w:rsidP="00897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2C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01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A6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1CE"/>
    <w:pPr>
      <w:spacing w:before="360" w:after="60"/>
      <w:outlineLvl w:val="0"/>
    </w:pPr>
    <w:rPr>
      <w:sz w:val="32"/>
    </w:rPr>
  </w:style>
  <w:style w:type="paragraph" w:styleId="Heading2">
    <w:name w:val="heading 2"/>
    <w:basedOn w:val="HeadingBase"/>
    <w:next w:val="BodyText"/>
    <w:link w:val="Heading2Char"/>
    <w:qFormat/>
    <w:rsid w:val="008971CE"/>
    <w:pPr>
      <w:keepLines/>
      <w:spacing w:before="240" w:after="120"/>
      <w:outlineLvl w:val="1"/>
    </w:pPr>
    <w:rPr>
      <w:sz w:val="28"/>
      <w:szCs w:val="40"/>
    </w:rPr>
  </w:style>
  <w:style w:type="paragraph" w:styleId="Heading3">
    <w:name w:val="heading 3"/>
    <w:basedOn w:val="HeadingBase"/>
    <w:next w:val="BodyText"/>
    <w:link w:val="Heading3Char"/>
    <w:qFormat/>
    <w:rsid w:val="008971CE"/>
    <w:pPr>
      <w:spacing w:before="180" w:after="120"/>
      <w:outlineLvl w:val="2"/>
    </w:pPr>
    <w:rPr>
      <w:spacing w:val="-10"/>
      <w:kern w:val="32"/>
    </w:rPr>
  </w:style>
  <w:style w:type="paragraph" w:styleId="Heading4">
    <w:name w:val="heading 4"/>
    <w:basedOn w:val="HeadingBase"/>
    <w:next w:val="BodyText"/>
    <w:link w:val="Heading4Char"/>
    <w:qFormat/>
    <w:rsid w:val="008971CE"/>
    <w:pPr>
      <w:spacing w:before="160" w:after="120"/>
      <w:outlineLvl w:val="3"/>
    </w:pPr>
    <w:rPr>
      <w:sz w:val="22"/>
    </w:rPr>
  </w:style>
  <w:style w:type="paragraph" w:styleId="Heading5">
    <w:name w:val="heading 5"/>
    <w:basedOn w:val="HeadingBase"/>
    <w:next w:val="Normal"/>
    <w:link w:val="Heading5Char"/>
    <w:qFormat/>
    <w:rsid w:val="008971CE"/>
    <w:pPr>
      <w:spacing w:before="80"/>
      <w:outlineLvl w:val="4"/>
    </w:pPr>
    <w:rPr>
      <w:color w:val="918585"/>
      <w:sz w:val="20"/>
    </w:rPr>
  </w:style>
  <w:style w:type="paragraph" w:styleId="Heading6">
    <w:name w:val="heading 6"/>
    <w:basedOn w:val="HeadingBase"/>
    <w:next w:val="Normal"/>
    <w:link w:val="Heading6Char"/>
    <w:qFormat/>
    <w:rsid w:val="008971CE"/>
    <w:pPr>
      <w:spacing w:before="60"/>
      <w:outlineLvl w:val="5"/>
    </w:pPr>
    <w:rPr>
      <w:color w:val="918585"/>
      <w:sz w:val="20"/>
    </w:rPr>
  </w:style>
  <w:style w:type="paragraph" w:styleId="Heading7">
    <w:name w:val="heading 7"/>
    <w:basedOn w:val="Normal"/>
    <w:next w:val="Normal"/>
    <w:link w:val="Heading7Char"/>
    <w:qFormat/>
    <w:rsid w:val="008971CE"/>
    <w:pPr>
      <w:ind w:left="720"/>
      <w:outlineLvl w:val="6"/>
    </w:pPr>
    <w:rPr>
      <w:i/>
    </w:rPr>
  </w:style>
  <w:style w:type="paragraph" w:styleId="Heading8">
    <w:name w:val="heading 8"/>
    <w:basedOn w:val="Normal"/>
    <w:next w:val="Normal"/>
    <w:link w:val="Heading8Char"/>
    <w:qFormat/>
    <w:rsid w:val="008971CE"/>
    <w:pPr>
      <w:ind w:left="720"/>
      <w:outlineLvl w:val="7"/>
    </w:pPr>
    <w:rPr>
      <w:i/>
    </w:rPr>
  </w:style>
  <w:style w:type="paragraph" w:styleId="Heading9">
    <w:name w:val="heading 9"/>
    <w:basedOn w:val="Normal"/>
    <w:next w:val="Normal"/>
    <w:link w:val="Heading9Char"/>
    <w:qFormat/>
    <w:rsid w:val="008971CE"/>
    <w:pPr>
      <w:ind w:left="720"/>
      <w:outlineLvl w:val="8"/>
    </w:pPr>
    <w:rPr>
      <w:i/>
    </w:rPr>
  </w:style>
  <w:style w:type="character" w:default="1" w:styleId="DefaultParagraphFont">
    <w:name w:val="Default Paragraph Font"/>
    <w:uiPriority w:val="1"/>
    <w:unhideWhenUsed/>
    <w:rsid w:val="00897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1CE"/>
  </w:style>
  <w:style w:type="character" w:customStyle="1" w:styleId="Heading1Char">
    <w:name w:val="Heading 1 Char"/>
    <w:basedOn w:val="DefaultParagraphFont"/>
    <w:link w:val="Heading1"/>
    <w:rsid w:val="008971CE"/>
    <w:rPr>
      <w:rFonts w:ascii="Times New Roman" w:eastAsia="Times New Roman" w:hAnsi="Times New Roman" w:cs="Times New Roman"/>
      <w:b/>
      <w:sz w:val="32"/>
      <w:szCs w:val="20"/>
      <w:lang w:eastAsia="en-US"/>
    </w:rPr>
  </w:style>
  <w:style w:type="paragraph" w:styleId="BodyText">
    <w:name w:val="Body Text"/>
    <w:basedOn w:val="Normal"/>
    <w:link w:val="BodyTextChar"/>
    <w:rsid w:val="00897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1CE"/>
    <w:rPr>
      <w:rFonts w:ascii="Times New Roman" w:eastAsia="Times New Roman" w:hAnsi="Times New Roman" w:cs="Times New Roman"/>
      <w:sz w:val="24"/>
      <w:lang w:eastAsia="en-US"/>
    </w:rPr>
  </w:style>
  <w:style w:type="paragraph" w:styleId="ListBullet">
    <w:name w:val="List Bullet"/>
    <w:basedOn w:val="List"/>
    <w:rsid w:val="008971CE"/>
    <w:pPr>
      <w:numPr>
        <w:numId w:val="13"/>
      </w:numPr>
      <w:tabs>
        <w:tab w:val="clear" w:pos="340"/>
      </w:tabs>
      <w:spacing w:before="40" w:after="40"/>
    </w:pPr>
  </w:style>
  <w:style w:type="paragraph" w:styleId="ListBullet2">
    <w:name w:val="List Bullet 2"/>
    <w:basedOn w:val="List2"/>
    <w:rsid w:val="008971CE"/>
    <w:pPr>
      <w:numPr>
        <w:numId w:val="14"/>
      </w:numPr>
      <w:tabs>
        <w:tab w:val="clear" w:pos="680"/>
      </w:tabs>
    </w:pPr>
  </w:style>
  <w:style w:type="paragraph" w:customStyle="1" w:styleId="SuperHeading">
    <w:name w:val="SuperHeading"/>
    <w:basedOn w:val="Normal"/>
    <w:rsid w:val="008971CE"/>
    <w:pPr>
      <w:spacing w:before="240" w:after="120"/>
      <w:outlineLvl w:val="0"/>
    </w:pPr>
    <w:rPr>
      <w:rFonts w:ascii="Times New Roman" w:hAnsi="Times New Roman"/>
      <w:b/>
      <w:sz w:val="32"/>
    </w:rPr>
  </w:style>
  <w:style w:type="paragraph" w:customStyle="1" w:styleId="AllowPageBreak">
    <w:name w:val="AllowPageBreak"/>
    <w:rsid w:val="008971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71C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7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1CE"/>
    <w:rPr>
      <w:rFonts w:ascii="Courier New" w:eastAsia="Times New Roman" w:hAnsi="Courier New" w:cs="Times New Roman"/>
      <w:i/>
      <w:szCs w:val="20"/>
      <w:lang w:eastAsia="en-US"/>
    </w:rPr>
  </w:style>
  <w:style w:type="paragraph" w:customStyle="1" w:styleId="HeadingBase">
    <w:name w:val="Heading Base"/>
    <w:rsid w:val="00897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1CE"/>
    <w:pPr>
      <w:tabs>
        <w:tab w:val="right" w:leader="dot" w:pos="9072"/>
      </w:tabs>
      <w:ind w:left="567"/>
    </w:pPr>
    <w:rPr>
      <w:szCs w:val="22"/>
    </w:rPr>
  </w:style>
  <w:style w:type="paragraph" w:customStyle="1" w:styleId="TOCBase">
    <w:name w:val="TOC Base"/>
    <w:rsid w:val="00897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1CE"/>
    <w:pPr>
      <w:tabs>
        <w:tab w:val="right" w:leader="dot" w:pos="9072"/>
      </w:tabs>
      <w:spacing w:before="40" w:after="40"/>
      <w:ind w:left="284"/>
    </w:pPr>
    <w:rPr>
      <w:rFonts w:ascii="Times New Roman" w:hAnsi="Times New Roman"/>
    </w:rPr>
  </w:style>
  <w:style w:type="paragraph" w:styleId="TOC1">
    <w:name w:val="toc 1"/>
    <w:basedOn w:val="TOCBase"/>
    <w:next w:val="Normal"/>
    <w:rsid w:val="00897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1CE"/>
    <w:rPr>
      <w:rFonts w:ascii="Times New Roman" w:eastAsia="Times New Roman" w:hAnsi="Times New Roman" w:cs="Times New Roman"/>
      <w:sz w:val="16"/>
      <w:lang w:eastAsia="en-US"/>
    </w:rPr>
  </w:style>
  <w:style w:type="paragraph" w:styleId="Title">
    <w:name w:val="Title"/>
    <w:basedOn w:val="HeadingBase"/>
    <w:link w:val="TitleChar"/>
    <w:qFormat/>
    <w:rsid w:val="008971CE"/>
    <w:pPr>
      <w:spacing w:before="5040"/>
      <w:jc w:val="center"/>
    </w:pPr>
    <w:rPr>
      <w:sz w:val="48"/>
      <w:szCs w:val="72"/>
      <w:lang w:val="en-US"/>
    </w:rPr>
  </w:style>
  <w:style w:type="character" w:customStyle="1" w:styleId="TitleChar">
    <w:name w:val="Title Char"/>
    <w:basedOn w:val="DefaultParagraphFont"/>
    <w:link w:val="Title"/>
    <w:rsid w:val="00897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1CE"/>
    <w:pPr>
      <w:tabs>
        <w:tab w:val="left" w:pos="3600"/>
        <w:tab w:val="left" w:pos="3958"/>
      </w:tabs>
    </w:pPr>
  </w:style>
  <w:style w:type="paragraph" w:styleId="List">
    <w:name w:val="List"/>
    <w:basedOn w:val="BodyText"/>
    <w:next w:val="BodyText"/>
    <w:rsid w:val="008971CE"/>
    <w:pPr>
      <w:tabs>
        <w:tab w:val="left" w:pos="340"/>
      </w:tabs>
      <w:spacing w:before="60" w:after="60"/>
      <w:ind w:left="340" w:hanging="340"/>
    </w:pPr>
  </w:style>
  <w:style w:type="paragraph" w:customStyle="1" w:styleId="Note">
    <w:name w:val="Note"/>
    <w:basedOn w:val="BodyText"/>
    <w:rsid w:val="008971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1CE"/>
    <w:rPr>
      <w:b/>
      <w:spacing w:val="0"/>
    </w:rPr>
  </w:style>
  <w:style w:type="paragraph" w:customStyle="1" w:styleId="SuperTitle">
    <w:name w:val="SuperTitle"/>
    <w:basedOn w:val="Title"/>
    <w:rsid w:val="008971CE"/>
    <w:pPr>
      <w:framePr w:wrap="auto" w:hAnchor="text" w:y="6049"/>
    </w:pPr>
    <w:rPr>
      <w:color w:val="000000"/>
      <w:sz w:val="40"/>
    </w:rPr>
  </w:style>
  <w:style w:type="paragraph" w:customStyle="1" w:styleId="TOCTitle">
    <w:name w:val="TOCTitle"/>
    <w:basedOn w:val="Heading1"/>
    <w:rsid w:val="008971CE"/>
    <w:pPr>
      <w:spacing w:after="240"/>
      <w:jc w:val="center"/>
      <w:outlineLvl w:val="9"/>
    </w:pPr>
    <w:rPr>
      <w:caps/>
    </w:rPr>
  </w:style>
  <w:style w:type="paragraph" w:customStyle="1" w:styleId="Version">
    <w:name w:val="Version"/>
    <w:rsid w:val="00897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1CE"/>
    <w:pPr>
      <w:keepNext w:val="0"/>
      <w:tabs>
        <w:tab w:val="right" w:pos="4176"/>
      </w:tabs>
      <w:ind w:left="198" w:hanging="198"/>
    </w:pPr>
    <w:rPr>
      <w:rFonts w:ascii="Garamond" w:hAnsi="Garamond"/>
    </w:rPr>
  </w:style>
  <w:style w:type="paragraph" w:styleId="IndexHeading">
    <w:name w:val="index heading"/>
    <w:basedOn w:val="Normal"/>
    <w:next w:val="Index1"/>
    <w:semiHidden/>
    <w:rsid w:val="008971CE"/>
    <w:pPr>
      <w:spacing w:before="120" w:after="120"/>
    </w:pPr>
    <w:rPr>
      <w:rFonts w:ascii="Arial" w:hAnsi="Arial"/>
      <w:b/>
      <w:color w:val="918585"/>
      <w:sz w:val="24"/>
    </w:rPr>
  </w:style>
  <w:style w:type="paragraph" w:styleId="Header">
    <w:name w:val="header"/>
    <w:basedOn w:val="Normal"/>
    <w:link w:val="HeaderChar"/>
    <w:rsid w:val="00897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1CE"/>
    <w:rPr>
      <w:rFonts w:ascii="Times New Roman" w:eastAsia="Times New Roman" w:hAnsi="Times New Roman" w:cs="Times New Roman"/>
      <w:sz w:val="16"/>
      <w:szCs w:val="20"/>
      <w:lang w:val="en-GB" w:eastAsia="en-US"/>
    </w:rPr>
  </w:style>
  <w:style w:type="paragraph" w:customStyle="1" w:styleId="Chapter">
    <w:name w:val="Chapter"/>
    <w:basedOn w:val="Normal"/>
    <w:rsid w:val="008971CE"/>
    <w:pPr>
      <w:spacing w:before="240"/>
    </w:pPr>
    <w:rPr>
      <w:rFonts w:ascii="Times New Roman" w:hAnsi="Times New Roman"/>
      <w:smallCaps/>
      <w:spacing w:val="80"/>
      <w:sz w:val="28"/>
    </w:rPr>
  </w:style>
  <w:style w:type="paragraph" w:customStyle="1" w:styleId="InChapter">
    <w:name w:val="InChapter"/>
    <w:basedOn w:val="Heading3"/>
    <w:rsid w:val="008971CE"/>
    <w:pPr>
      <w:spacing w:after="240"/>
      <w:outlineLvl w:val="9"/>
    </w:pPr>
    <w:rPr>
      <w:noProof/>
    </w:rPr>
  </w:style>
  <w:style w:type="paragraph" w:styleId="Index2">
    <w:name w:val="index 2"/>
    <w:basedOn w:val="Normal"/>
    <w:next w:val="Normal"/>
    <w:semiHidden/>
    <w:rsid w:val="008971CE"/>
    <w:pPr>
      <w:tabs>
        <w:tab w:val="right" w:pos="4176"/>
      </w:tabs>
      <w:ind w:left="568" w:hanging="284"/>
    </w:pPr>
    <w:rPr>
      <w:rFonts w:ascii="Garamond" w:hAnsi="Garamond"/>
    </w:rPr>
  </w:style>
  <w:style w:type="paragraph" w:customStyle="1" w:styleId="Byline">
    <w:name w:val="Byline"/>
    <w:rsid w:val="00897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1CE"/>
    <w:pPr>
      <w:tabs>
        <w:tab w:val="clear" w:pos="3600"/>
        <w:tab w:val="clear" w:pos="3958"/>
      </w:tabs>
      <w:jc w:val="right"/>
    </w:pPr>
  </w:style>
  <w:style w:type="character" w:styleId="Emphasis">
    <w:name w:val="Emphasis"/>
    <w:basedOn w:val="DefaultParagraphFont"/>
    <w:qFormat/>
    <w:rsid w:val="008971CE"/>
    <w:rPr>
      <w:i/>
    </w:rPr>
  </w:style>
  <w:style w:type="paragraph" w:styleId="Caption">
    <w:name w:val="caption"/>
    <w:basedOn w:val="BodyText"/>
    <w:next w:val="Normal"/>
    <w:qFormat/>
    <w:rsid w:val="008971CE"/>
    <w:pPr>
      <w:framePr w:w="2268" w:hSpace="181" w:vSpace="181" w:wrap="around" w:vAnchor="text" w:hAnchor="page" w:x="1135" w:y="285" w:anchorLock="1"/>
    </w:pPr>
    <w:rPr>
      <w:i/>
    </w:rPr>
  </w:style>
  <w:style w:type="paragraph" w:customStyle="1" w:styleId="MiniTOCTitle">
    <w:name w:val="MiniTOCTitle"/>
    <w:basedOn w:val="Heading4"/>
    <w:rsid w:val="008971CE"/>
    <w:pPr>
      <w:spacing w:before="240"/>
      <w:outlineLvl w:val="9"/>
    </w:pPr>
    <w:rPr>
      <w:noProof/>
      <w:sz w:val="24"/>
    </w:rPr>
  </w:style>
  <w:style w:type="paragraph" w:customStyle="1" w:styleId="MiniTOCItem">
    <w:name w:val="MiniTOCItem"/>
    <w:basedOn w:val="ListBullet"/>
    <w:rsid w:val="008971CE"/>
    <w:pPr>
      <w:numPr>
        <w:numId w:val="0"/>
      </w:numPr>
      <w:tabs>
        <w:tab w:val="right" w:leader="dot" w:pos="6521"/>
      </w:tabs>
      <w:spacing w:before="0" w:after="0"/>
    </w:pPr>
  </w:style>
  <w:style w:type="paragraph" w:customStyle="1" w:styleId="TOFTitle">
    <w:name w:val="TOFTitle"/>
    <w:basedOn w:val="TOCTitle"/>
    <w:rsid w:val="008971CE"/>
  </w:style>
  <w:style w:type="paragraph" w:styleId="TableofFigures">
    <w:name w:val="table of figures"/>
    <w:basedOn w:val="Normal"/>
    <w:next w:val="Normal"/>
    <w:semiHidden/>
    <w:rsid w:val="008971CE"/>
    <w:pPr>
      <w:tabs>
        <w:tab w:val="right" w:leader="dot" w:pos="9072"/>
      </w:tabs>
      <w:ind w:left="970" w:hanging="403"/>
    </w:pPr>
    <w:rPr>
      <w:rFonts w:ascii="Times New Roman" w:hAnsi="Times New Roman"/>
      <w:b/>
    </w:rPr>
  </w:style>
  <w:style w:type="paragraph" w:styleId="ListNumber">
    <w:name w:val="List Number"/>
    <w:basedOn w:val="List"/>
    <w:rsid w:val="008971CE"/>
    <w:pPr>
      <w:numPr>
        <w:numId w:val="16"/>
      </w:numPr>
      <w:tabs>
        <w:tab w:val="clear" w:pos="340"/>
      </w:tabs>
    </w:pPr>
  </w:style>
  <w:style w:type="character" w:customStyle="1" w:styleId="WingdingSymbols">
    <w:name w:val="Wingding Symbols"/>
    <w:rsid w:val="008971CE"/>
    <w:rPr>
      <w:rFonts w:ascii="Wingdings" w:hAnsi="Wingdings"/>
    </w:rPr>
  </w:style>
  <w:style w:type="paragraph" w:customStyle="1" w:styleId="TableHeading">
    <w:name w:val="Table Heading"/>
    <w:basedOn w:val="HeadingBase"/>
    <w:rsid w:val="008971CE"/>
    <w:pPr>
      <w:keepLines/>
      <w:pBdr>
        <w:bottom w:val="single" w:sz="6" w:space="1" w:color="918585"/>
      </w:pBdr>
      <w:spacing w:before="240"/>
    </w:pPr>
  </w:style>
  <w:style w:type="character" w:customStyle="1" w:styleId="HotSpot">
    <w:name w:val="HotSpot"/>
    <w:rsid w:val="008971CE"/>
    <w:rPr>
      <w:color w:val="0033CC"/>
      <w:u w:val="none"/>
    </w:rPr>
  </w:style>
  <w:style w:type="paragraph" w:customStyle="1" w:styleId="BodyTextRight">
    <w:name w:val="Body Text Right"/>
    <w:basedOn w:val="BodyText"/>
    <w:rsid w:val="008971CE"/>
    <w:pPr>
      <w:spacing w:before="0" w:after="0"/>
      <w:jc w:val="right"/>
    </w:pPr>
  </w:style>
  <w:style w:type="paragraph" w:styleId="Index3">
    <w:name w:val="index 3"/>
    <w:basedOn w:val="ListNumber2"/>
    <w:next w:val="Normal"/>
    <w:semiHidden/>
    <w:rsid w:val="008971CE"/>
    <w:pPr>
      <w:numPr>
        <w:numId w:val="0"/>
      </w:numPr>
      <w:tabs>
        <w:tab w:val="right" w:leader="dot" w:pos="4176"/>
      </w:tabs>
    </w:pPr>
  </w:style>
  <w:style w:type="paragraph" w:styleId="ListNumber2">
    <w:name w:val="List Number 2"/>
    <w:basedOn w:val="List2"/>
    <w:rsid w:val="008971CE"/>
    <w:pPr>
      <w:numPr>
        <w:numId w:val="11"/>
      </w:numPr>
      <w:tabs>
        <w:tab w:val="clear" w:pos="1060"/>
      </w:tabs>
    </w:pPr>
  </w:style>
  <w:style w:type="paragraph" w:customStyle="1" w:styleId="MarginNote">
    <w:name w:val="Margin Note"/>
    <w:basedOn w:val="BodyText"/>
    <w:rsid w:val="00897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1CE"/>
    <w:rPr>
      <w:sz w:val="32"/>
    </w:rPr>
  </w:style>
  <w:style w:type="paragraph" w:customStyle="1" w:styleId="HeadingProcedure">
    <w:name w:val="Heading Procedure"/>
    <w:basedOn w:val="HeadingBase"/>
    <w:next w:val="Normal"/>
    <w:rsid w:val="008971CE"/>
    <w:pPr>
      <w:tabs>
        <w:tab w:val="left" w:pos="0"/>
      </w:tabs>
      <w:spacing w:before="120" w:after="60"/>
    </w:pPr>
    <w:rPr>
      <w:i/>
      <w:color w:val="918585"/>
      <w:sz w:val="22"/>
    </w:rPr>
  </w:style>
  <w:style w:type="paragraph" w:customStyle="1" w:styleId="TableBodyText">
    <w:name w:val="Table Body Text"/>
    <w:basedOn w:val="BodyText"/>
    <w:rsid w:val="008971CE"/>
    <w:pPr>
      <w:spacing w:before="60" w:after="60"/>
    </w:pPr>
  </w:style>
  <w:style w:type="paragraph" w:styleId="ListContinue">
    <w:name w:val="List Continue"/>
    <w:basedOn w:val="List"/>
    <w:rsid w:val="008971CE"/>
    <w:pPr>
      <w:ind w:firstLine="0"/>
    </w:pPr>
  </w:style>
  <w:style w:type="paragraph" w:customStyle="1" w:styleId="ListNote">
    <w:name w:val="List Note"/>
    <w:basedOn w:val="List"/>
    <w:rsid w:val="008971CE"/>
    <w:pPr>
      <w:pBdr>
        <w:top w:val="single" w:sz="6" w:space="2" w:color="918585"/>
        <w:bottom w:val="single" w:sz="6" w:space="2" w:color="918585"/>
      </w:pBdr>
      <w:tabs>
        <w:tab w:val="left" w:pos="1021"/>
      </w:tabs>
      <w:ind w:firstLine="0"/>
    </w:pPr>
  </w:style>
  <w:style w:type="paragraph" w:customStyle="1" w:styleId="Warning">
    <w:name w:val="Warning"/>
    <w:basedOn w:val="BodyText"/>
    <w:rsid w:val="008971CE"/>
    <w:pPr>
      <w:shd w:val="clear" w:color="auto" w:fill="D9D9D9"/>
      <w:tabs>
        <w:tab w:val="left" w:pos="992"/>
      </w:tabs>
      <w:ind w:left="119" w:right="119"/>
    </w:pPr>
    <w:rPr>
      <w:sz w:val="20"/>
    </w:rPr>
  </w:style>
  <w:style w:type="paragraph" w:customStyle="1" w:styleId="MarginIcons">
    <w:name w:val="Margin Icons"/>
    <w:basedOn w:val="BodyText"/>
    <w:rsid w:val="00897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1CE"/>
    <w:rPr>
      <w:rFonts w:ascii="Courier New" w:hAnsi="Courier New"/>
    </w:rPr>
  </w:style>
  <w:style w:type="paragraph" w:customStyle="1" w:styleId="NoteBullet">
    <w:name w:val="Note Bullet"/>
    <w:basedOn w:val="Note"/>
    <w:rsid w:val="008971CE"/>
    <w:pPr>
      <w:tabs>
        <w:tab w:val="clear" w:pos="680"/>
      </w:tabs>
      <w:spacing w:before="60" w:after="60"/>
    </w:pPr>
  </w:style>
  <w:style w:type="paragraph" w:customStyle="1" w:styleId="SubHeading2">
    <w:name w:val="SubHeading2"/>
    <w:basedOn w:val="HeadingBase"/>
    <w:rsid w:val="008971CE"/>
    <w:pPr>
      <w:spacing w:before="240" w:after="60"/>
    </w:pPr>
    <w:rPr>
      <w:sz w:val="20"/>
    </w:rPr>
  </w:style>
  <w:style w:type="paragraph" w:customStyle="1" w:styleId="SubHeading1">
    <w:name w:val="SubHeading1"/>
    <w:basedOn w:val="HeadingBase"/>
    <w:rsid w:val="008971CE"/>
    <w:pPr>
      <w:spacing w:before="240" w:after="60"/>
    </w:pPr>
    <w:rPr>
      <w:color w:val="918585"/>
      <w:sz w:val="22"/>
    </w:rPr>
  </w:style>
  <w:style w:type="paragraph" w:customStyle="1" w:styleId="SideHeading">
    <w:name w:val="Side Heading"/>
    <w:basedOn w:val="HeadingBase"/>
    <w:rsid w:val="00897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1CE"/>
    <w:pPr>
      <w:numPr>
        <w:numId w:val="12"/>
      </w:numPr>
    </w:pPr>
  </w:style>
  <w:style w:type="paragraph" w:styleId="PlainText">
    <w:name w:val="Plain Text"/>
    <w:basedOn w:val="Normal"/>
    <w:link w:val="PlainTextChar"/>
    <w:rsid w:val="008971CE"/>
    <w:rPr>
      <w:sz w:val="20"/>
    </w:rPr>
  </w:style>
  <w:style w:type="character" w:customStyle="1" w:styleId="PlainTextChar">
    <w:name w:val="Plain Text Char"/>
    <w:basedOn w:val="DefaultParagraphFont"/>
    <w:link w:val="PlainText"/>
    <w:rsid w:val="008971CE"/>
    <w:rPr>
      <w:rFonts w:ascii="Courier New" w:eastAsia="Times New Roman" w:hAnsi="Courier New" w:cs="Times New Roman"/>
      <w:sz w:val="20"/>
      <w:szCs w:val="20"/>
      <w:lang w:eastAsia="en-US"/>
    </w:rPr>
  </w:style>
  <w:style w:type="character" w:customStyle="1" w:styleId="MenuOption">
    <w:name w:val="Menu Option"/>
    <w:basedOn w:val="DefaultParagraphFont"/>
    <w:rsid w:val="008971CE"/>
    <w:rPr>
      <w:b/>
      <w:smallCaps/>
    </w:rPr>
  </w:style>
  <w:style w:type="paragraph" w:customStyle="1" w:styleId="TableListNumber">
    <w:name w:val="Table List Number"/>
    <w:basedOn w:val="ListNumber"/>
    <w:rsid w:val="008971CE"/>
    <w:pPr>
      <w:numPr>
        <w:numId w:val="0"/>
      </w:numPr>
    </w:pPr>
  </w:style>
  <w:style w:type="paragraph" w:styleId="TOC4">
    <w:name w:val="toc 4"/>
    <w:basedOn w:val="TOCBase"/>
    <w:next w:val="Normal"/>
    <w:semiHidden/>
    <w:rsid w:val="008971CE"/>
    <w:pPr>
      <w:tabs>
        <w:tab w:val="right" w:leader="dot" w:pos="9071"/>
      </w:tabs>
      <w:ind w:left="1701"/>
    </w:pPr>
  </w:style>
  <w:style w:type="paragraph" w:customStyle="1" w:styleId="ListAlpha">
    <w:name w:val="List Alpha"/>
    <w:basedOn w:val="List"/>
    <w:rsid w:val="008971CE"/>
    <w:pPr>
      <w:numPr>
        <w:numId w:val="10"/>
      </w:numPr>
    </w:pPr>
  </w:style>
  <w:style w:type="paragraph" w:customStyle="1" w:styleId="ListAlpha2">
    <w:name w:val="List Alpha 2"/>
    <w:basedOn w:val="List2"/>
    <w:rsid w:val="008971CE"/>
    <w:pPr>
      <w:numPr>
        <w:numId w:val="9"/>
      </w:numPr>
    </w:pPr>
  </w:style>
  <w:style w:type="paragraph" w:styleId="List2">
    <w:name w:val="List 2"/>
    <w:basedOn w:val="BodyText"/>
    <w:rsid w:val="008971CE"/>
    <w:pPr>
      <w:tabs>
        <w:tab w:val="left" w:pos="680"/>
      </w:tabs>
      <w:spacing w:before="60" w:after="60"/>
      <w:ind w:left="680" w:hanging="340"/>
    </w:pPr>
  </w:style>
  <w:style w:type="paragraph" w:styleId="List3">
    <w:name w:val="List 3"/>
    <w:basedOn w:val="BodyText"/>
    <w:rsid w:val="008971CE"/>
    <w:pPr>
      <w:tabs>
        <w:tab w:val="left" w:pos="1021"/>
      </w:tabs>
      <w:spacing w:before="60" w:after="60"/>
      <w:ind w:left="1020" w:hanging="340"/>
    </w:pPr>
  </w:style>
  <w:style w:type="paragraph" w:styleId="List4">
    <w:name w:val="List 4"/>
    <w:basedOn w:val="BodyText"/>
    <w:rsid w:val="008971CE"/>
    <w:pPr>
      <w:tabs>
        <w:tab w:val="left" w:pos="1361"/>
      </w:tabs>
      <w:spacing w:before="60" w:after="60"/>
      <w:ind w:left="1361" w:hanging="340"/>
    </w:pPr>
  </w:style>
  <w:style w:type="paragraph" w:styleId="List5">
    <w:name w:val="List 5"/>
    <w:basedOn w:val="BodyText"/>
    <w:rsid w:val="008971CE"/>
    <w:pPr>
      <w:tabs>
        <w:tab w:val="left" w:pos="1701"/>
      </w:tabs>
      <w:spacing w:before="60" w:after="60"/>
      <w:ind w:left="1701" w:hanging="340"/>
    </w:pPr>
  </w:style>
  <w:style w:type="paragraph" w:styleId="ListBullet4">
    <w:name w:val="List Bullet 4"/>
    <w:basedOn w:val="List4"/>
    <w:rsid w:val="008971CE"/>
    <w:pPr>
      <w:numPr>
        <w:numId w:val="4"/>
      </w:numPr>
      <w:tabs>
        <w:tab w:val="clear" w:pos="1361"/>
      </w:tabs>
    </w:pPr>
  </w:style>
  <w:style w:type="paragraph" w:styleId="ListBullet5">
    <w:name w:val="List Bullet 5"/>
    <w:basedOn w:val="List5"/>
    <w:rsid w:val="008971CE"/>
    <w:pPr>
      <w:numPr>
        <w:numId w:val="5"/>
      </w:numPr>
    </w:pPr>
  </w:style>
  <w:style w:type="paragraph" w:styleId="ListContinue2">
    <w:name w:val="List Continue 2"/>
    <w:basedOn w:val="List2"/>
    <w:rsid w:val="008971CE"/>
    <w:pPr>
      <w:ind w:firstLine="0"/>
    </w:pPr>
  </w:style>
  <w:style w:type="paragraph" w:styleId="ListContinue3">
    <w:name w:val="List Continue 3"/>
    <w:basedOn w:val="List3"/>
    <w:rsid w:val="008971CE"/>
    <w:pPr>
      <w:ind w:left="1021" w:firstLine="0"/>
    </w:pPr>
  </w:style>
  <w:style w:type="paragraph" w:styleId="ListContinue4">
    <w:name w:val="List Continue 4"/>
    <w:basedOn w:val="List4"/>
    <w:rsid w:val="008971CE"/>
    <w:pPr>
      <w:ind w:firstLine="0"/>
    </w:pPr>
  </w:style>
  <w:style w:type="paragraph" w:styleId="ListContinue5">
    <w:name w:val="List Continue 5"/>
    <w:basedOn w:val="List5"/>
    <w:rsid w:val="008971CE"/>
    <w:pPr>
      <w:ind w:firstLine="0"/>
    </w:pPr>
  </w:style>
  <w:style w:type="paragraph" w:styleId="ListNumber3">
    <w:name w:val="List Number 3"/>
    <w:basedOn w:val="List3"/>
    <w:rsid w:val="008971CE"/>
    <w:pPr>
      <w:numPr>
        <w:numId w:val="6"/>
      </w:numPr>
    </w:pPr>
  </w:style>
  <w:style w:type="paragraph" w:styleId="ListNumber4">
    <w:name w:val="List Number 4"/>
    <w:basedOn w:val="List4"/>
    <w:rsid w:val="008971CE"/>
    <w:pPr>
      <w:numPr>
        <w:numId w:val="7"/>
      </w:numPr>
    </w:pPr>
  </w:style>
  <w:style w:type="paragraph" w:styleId="ListNumber5">
    <w:name w:val="List Number 5"/>
    <w:basedOn w:val="List5"/>
    <w:rsid w:val="008971CE"/>
    <w:pPr>
      <w:numPr>
        <w:numId w:val="8"/>
      </w:numPr>
    </w:pPr>
  </w:style>
  <w:style w:type="paragraph" w:styleId="BlockText">
    <w:name w:val="Block Text"/>
    <w:basedOn w:val="Normal"/>
    <w:rsid w:val="008971CE"/>
    <w:pPr>
      <w:spacing w:after="120"/>
      <w:ind w:left="1440" w:right="1440"/>
    </w:pPr>
  </w:style>
  <w:style w:type="character" w:customStyle="1" w:styleId="Subscript">
    <w:name w:val="Subscript"/>
    <w:basedOn w:val="DefaultParagraphFont"/>
    <w:rsid w:val="008971CE"/>
    <w:rPr>
      <w:sz w:val="16"/>
      <w:vertAlign w:val="subscript"/>
    </w:rPr>
  </w:style>
  <w:style w:type="character" w:customStyle="1" w:styleId="Superscript">
    <w:name w:val="Superscript"/>
    <w:basedOn w:val="DefaultParagraphFont"/>
    <w:rsid w:val="008971CE"/>
    <w:rPr>
      <w:sz w:val="16"/>
      <w:vertAlign w:val="superscript"/>
    </w:rPr>
  </w:style>
  <w:style w:type="character" w:customStyle="1" w:styleId="Symbols">
    <w:name w:val="Symbols"/>
    <w:basedOn w:val="DefaultParagraphFont"/>
    <w:rsid w:val="008971CE"/>
    <w:rPr>
      <w:rFonts w:ascii="Symbol" w:hAnsi="Symbol"/>
    </w:rPr>
  </w:style>
  <w:style w:type="character" w:customStyle="1" w:styleId="MenuOptions">
    <w:name w:val="Menu Options"/>
    <w:basedOn w:val="DefaultParagraphFont"/>
    <w:rsid w:val="008971CE"/>
    <w:rPr>
      <w:rFonts w:ascii="Arial Narrow" w:hAnsi="Arial Narrow"/>
      <w:smallCaps/>
    </w:rPr>
  </w:style>
  <w:style w:type="character" w:customStyle="1" w:styleId="Buttons">
    <w:name w:val="Buttons"/>
    <w:basedOn w:val="DefaultParagraphFont"/>
    <w:rsid w:val="008971CE"/>
    <w:rPr>
      <w:b/>
    </w:rPr>
  </w:style>
  <w:style w:type="character" w:customStyle="1" w:styleId="Underlined">
    <w:name w:val="Underlined"/>
    <w:basedOn w:val="DefaultParagraphFont"/>
    <w:rsid w:val="008971CE"/>
    <w:rPr>
      <w:u w:val="single"/>
    </w:rPr>
  </w:style>
  <w:style w:type="paragraph" w:customStyle="1" w:styleId="TableBodyTextRight">
    <w:name w:val="Table Body Text Right"/>
    <w:basedOn w:val="TableBodyText"/>
    <w:rsid w:val="008971CE"/>
    <w:pPr>
      <w:widowControl w:val="0"/>
      <w:autoSpaceDE w:val="0"/>
      <w:autoSpaceDN w:val="0"/>
      <w:adjustRightInd w:val="0"/>
      <w:jc w:val="right"/>
    </w:pPr>
    <w:rPr>
      <w:rFonts w:cs="Arial"/>
      <w:szCs w:val="18"/>
    </w:rPr>
  </w:style>
  <w:style w:type="paragraph" w:customStyle="1" w:styleId="CopyrightText">
    <w:name w:val="Copyright Text"/>
    <w:basedOn w:val="BodyText"/>
    <w:rsid w:val="008971CE"/>
    <w:rPr>
      <w:sz w:val="18"/>
    </w:rPr>
  </w:style>
  <w:style w:type="paragraph" w:customStyle="1" w:styleId="BodySmallRight">
    <w:name w:val="Body Small Right"/>
    <w:basedOn w:val="BodyTextRight"/>
    <w:rsid w:val="008971CE"/>
    <w:rPr>
      <w:sz w:val="18"/>
      <w:szCs w:val="18"/>
    </w:rPr>
  </w:style>
  <w:style w:type="paragraph" w:customStyle="1" w:styleId="MarginEdition">
    <w:name w:val="Margin Edition"/>
    <w:basedOn w:val="MarginNote"/>
    <w:rsid w:val="008971CE"/>
    <w:pPr>
      <w:spacing w:before="0" w:after="0"/>
    </w:pPr>
    <w:rPr>
      <w:rFonts w:ascii="Times New Roman" w:hAnsi="Times New Roman"/>
      <w:color w:val="999999"/>
    </w:rPr>
  </w:style>
  <w:style w:type="paragraph" w:customStyle="1" w:styleId="Spacer">
    <w:name w:val="Spacer"/>
    <w:basedOn w:val="Normal"/>
    <w:rsid w:val="008971CE"/>
    <w:rPr>
      <w:sz w:val="2"/>
      <w:szCs w:val="2"/>
    </w:rPr>
  </w:style>
  <w:style w:type="character" w:customStyle="1" w:styleId="Small">
    <w:name w:val="Small"/>
    <w:basedOn w:val="DefaultParagraphFont"/>
    <w:rsid w:val="008971CE"/>
    <w:rPr>
      <w:sz w:val="16"/>
    </w:rPr>
  </w:style>
  <w:style w:type="paragraph" w:customStyle="1" w:styleId="WideTable">
    <w:name w:val="Wide Table"/>
    <w:basedOn w:val="Normal"/>
    <w:rsid w:val="008971CE"/>
    <w:pPr>
      <w:ind w:left="-1418"/>
    </w:pPr>
    <w:rPr>
      <w:sz w:val="2"/>
      <w:szCs w:val="2"/>
    </w:rPr>
  </w:style>
  <w:style w:type="character" w:styleId="PageNumber">
    <w:name w:val="page number"/>
    <w:basedOn w:val="DefaultParagraphFont"/>
    <w:rsid w:val="008971CE"/>
  </w:style>
  <w:style w:type="paragraph" w:styleId="Quote">
    <w:name w:val="Quote"/>
    <w:basedOn w:val="Heading1"/>
    <w:link w:val="QuoteChar"/>
    <w:qFormat/>
    <w:rsid w:val="008971CE"/>
    <w:rPr>
      <w:b w:val="0"/>
      <w:sz w:val="72"/>
      <w:szCs w:val="72"/>
      <w:lang w:val="en-NZ"/>
    </w:rPr>
  </w:style>
  <w:style w:type="character" w:customStyle="1" w:styleId="QuoteChar">
    <w:name w:val="Quote Char"/>
    <w:basedOn w:val="DefaultParagraphFont"/>
    <w:link w:val="Quote"/>
    <w:rsid w:val="00897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1CE"/>
    <w:pPr>
      <w:pageBreakBefore/>
    </w:pPr>
  </w:style>
  <w:style w:type="paragraph" w:customStyle="1" w:styleId="Border">
    <w:name w:val="Border"/>
    <w:basedOn w:val="Normal"/>
    <w:qFormat/>
    <w:rsid w:val="00897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1CE"/>
    <w:rPr>
      <w:b/>
      <w:bCs/>
      <w:i/>
      <w:iCs/>
      <w:color w:val="auto"/>
    </w:rPr>
  </w:style>
  <w:style w:type="paragraph" w:styleId="IntenseQuote">
    <w:name w:val="Intense Quote"/>
    <w:basedOn w:val="Normal"/>
    <w:next w:val="Normal"/>
    <w:link w:val="IntenseQuoteChar"/>
    <w:uiPriority w:val="30"/>
    <w:qFormat/>
    <w:rsid w:val="00897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1CE"/>
    <w:rPr>
      <w:smallCaps/>
      <w:color w:val="auto"/>
      <w:u w:val="single"/>
    </w:rPr>
  </w:style>
  <w:style w:type="character" w:styleId="IntenseReference">
    <w:name w:val="Intense Reference"/>
    <w:basedOn w:val="DefaultParagraphFont"/>
    <w:uiPriority w:val="32"/>
    <w:qFormat/>
    <w:rsid w:val="008971CE"/>
    <w:rPr>
      <w:b/>
      <w:bCs/>
      <w:smallCaps/>
      <w:color w:val="auto"/>
      <w:spacing w:val="5"/>
      <w:u w:val="single"/>
    </w:rPr>
  </w:style>
  <w:style w:type="paragraph" w:customStyle="1" w:styleId="2ColumnHeading">
    <w:name w:val="2Column Heading"/>
    <w:basedOn w:val="BodyText"/>
    <w:qFormat/>
    <w:rsid w:val="008971CE"/>
    <w:pPr>
      <w:spacing w:after="60"/>
      <w:ind w:left="-2268"/>
    </w:pPr>
    <w:rPr>
      <w:b/>
    </w:rPr>
  </w:style>
  <w:style w:type="paragraph" w:customStyle="1" w:styleId="Heading1TOC">
    <w:name w:val="Heading1 TOC"/>
    <w:basedOn w:val="Normal"/>
    <w:qFormat/>
    <w:rsid w:val="008971CE"/>
    <w:pPr>
      <w:spacing w:before="240" w:after="120"/>
    </w:pPr>
    <w:rPr>
      <w:rFonts w:ascii="Times New Roman" w:hAnsi="Times New Roman"/>
      <w:b/>
      <w:sz w:val="32"/>
    </w:rPr>
  </w:style>
  <w:style w:type="paragraph" w:customStyle="1" w:styleId="Heading2TOC">
    <w:name w:val="Heading2 TOC"/>
    <w:basedOn w:val="Normal"/>
    <w:qFormat/>
    <w:rsid w:val="008971CE"/>
    <w:pPr>
      <w:spacing w:before="240" w:after="60"/>
    </w:pPr>
    <w:rPr>
      <w:rFonts w:ascii="Times New Roman" w:hAnsi="Times New Roman"/>
      <w:b/>
      <w:sz w:val="28"/>
    </w:rPr>
  </w:style>
  <w:style w:type="character" w:customStyle="1" w:styleId="Underline">
    <w:name w:val="Underline"/>
    <w:basedOn w:val="DefaultParagraphFont"/>
    <w:qFormat/>
    <w:rsid w:val="008971CE"/>
    <w:rPr>
      <w:u w:val="single"/>
    </w:rPr>
  </w:style>
  <w:style w:type="character" w:customStyle="1" w:styleId="BoldandItalics">
    <w:name w:val="Bold and Italics"/>
    <w:qFormat/>
    <w:rsid w:val="008971CE"/>
    <w:rPr>
      <w:b/>
      <w:i/>
      <w:u w:val="none"/>
    </w:rPr>
  </w:style>
  <w:style w:type="paragraph" w:styleId="BalloonText">
    <w:name w:val="Balloon Text"/>
    <w:basedOn w:val="Normal"/>
    <w:link w:val="BalloonTextChar"/>
    <w:rsid w:val="008971CE"/>
    <w:rPr>
      <w:rFonts w:ascii="Tahoma" w:hAnsi="Tahoma" w:cs="Tahoma"/>
      <w:sz w:val="16"/>
      <w:szCs w:val="16"/>
    </w:rPr>
  </w:style>
  <w:style w:type="character" w:customStyle="1" w:styleId="BalloonTextChar">
    <w:name w:val="Balloon Text Char"/>
    <w:basedOn w:val="DefaultParagraphFont"/>
    <w:link w:val="BalloonText"/>
    <w:rsid w:val="00897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1CE"/>
    <w:rPr>
      <w:b/>
      <w:color w:val="660033"/>
      <w:spacing w:val="0"/>
    </w:rPr>
  </w:style>
  <w:style w:type="paragraph" w:customStyle="1" w:styleId="Nameditemlist">
    <w:name w:val="Named item list"/>
    <w:basedOn w:val="BodyText"/>
    <w:qFormat/>
    <w:rsid w:val="008971CE"/>
    <w:pPr>
      <w:tabs>
        <w:tab w:val="left" w:pos="2835"/>
      </w:tabs>
      <w:ind w:left="2835" w:hanging="2835"/>
    </w:pPr>
  </w:style>
  <w:style w:type="paragraph" w:customStyle="1" w:styleId="BodyTextnopadding">
    <w:name w:val="Body Text no padding"/>
    <w:basedOn w:val="BodyText"/>
    <w:qFormat/>
    <w:rsid w:val="008971CE"/>
    <w:pPr>
      <w:spacing w:before="0" w:after="0"/>
    </w:pPr>
  </w:style>
  <w:style w:type="paragraph" w:customStyle="1" w:styleId="BodyTextBold">
    <w:name w:val="Body Text Bold"/>
    <w:basedOn w:val="BodyText"/>
    <w:qFormat/>
    <w:rsid w:val="008971CE"/>
    <w:rPr>
      <w:b/>
    </w:rPr>
  </w:style>
  <w:style w:type="character" w:styleId="Hyperlink">
    <w:name w:val="Hyperlink"/>
    <w:basedOn w:val="DefaultParagraphFont"/>
    <w:uiPriority w:val="99"/>
    <w:unhideWhenUsed/>
    <w:rsid w:val="00637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4823</Characters>
  <Application>Microsoft Office Word</Application>
  <DocSecurity>0</DocSecurity>
  <Lines>137</Lines>
  <Paragraphs>110</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MARL056 Demonstrate basic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