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2988" w:rsidP="00DA2988">
      <w:pPr>
        <w:pStyle w:val="Title"/>
      </w:pPr>
      <w:r>
        <w:fldChar w:fldCharType="begin"/>
      </w:r>
      <w:r>
        <w:instrText xml:space="preserve"> TITLE   \* MERGEFORMAT </w:instrText>
      </w:r>
      <w:r>
        <w:fldChar w:fldCharType="separate"/>
      </w:r>
      <w:r>
        <w:t>Assessment Requirements for MARL055 Demonstrate basic knowledge of marine auxiliary machinery and equipment</w:t>
      </w:r>
      <w:r>
        <w:fldChar w:fldCharType="end"/>
      </w:r>
    </w:p>
    <w:p w:rsidR="00DA2988" w:rsidP="00DA2988">
      <w:pPr>
        <w:pStyle w:val="Version"/>
        <w:sectPr w:rsidSect="001855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5525" w:rsidP="00185525">
      <w:pPr>
        <w:pStyle w:val="SuperHeading"/>
      </w:pPr>
      <w:r w:rsidRPr="00185525">
        <w:t>Assessment Requirements for MARL055 Demonstrate basic knowledge of marine auxiliary machinery and equipment</w:t>
      </w:r>
    </w:p>
    <w:p w:rsidR="00000000" w:rsidRPr="00185525" w:rsidP="00185525">
      <w:pPr>
        <w:pStyle w:val="Heading1"/>
      </w:pPr>
      <w:bookmarkStart w:id="1" w:name="O_1088005"/>
      <w:bookmarkEnd w:id="1"/>
      <w:r w:rsidRPr="00185525">
        <w:t>Modification History</w:t>
      </w:r>
    </w:p>
    <w:tbl>
      <w:tblPr>
        <w:tblW w:w="9497" w:type="dxa"/>
        <w:tblLayout w:type="fixed"/>
        <w:tblCellMar>
          <w:left w:w="62" w:type="dxa"/>
          <w:right w:w="62" w:type="dxa"/>
        </w:tblCellMar>
        <w:tblLook w:val="0000"/>
      </w:tblPr>
      <w:tblGrid>
        <w:gridCol w:w="9497"/>
      </w:tblGrid>
      <w:tr w:rsidTr="001855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5525" w:rsidP="00185525">
            <w:pPr>
              <w:pStyle w:val="BodyText"/>
            </w:pPr>
            <w:r w:rsidRPr="00185525">
              <w:t>Release 1. This is the first release of this unit of competency in the MAR Maritime Training Package.</w:t>
            </w:r>
          </w:p>
        </w:tc>
      </w:tr>
    </w:tbl>
    <w:p w:rsidR="00DA2988" w:rsidP="00185525">
      <w:pPr>
        <w:pStyle w:val="NoPaddingFontSize1"/>
      </w:pPr>
    </w:p>
    <w:p w:rsidR="00DA2988" w:rsidP="00185525">
      <w:pPr>
        <w:pStyle w:val="NoPaddingFontSize1"/>
      </w:pPr>
    </w:p>
    <w:p w:rsidR="00000000" w:rsidRPr="00185525" w:rsidP="00185525">
      <w:pPr>
        <w:pStyle w:val="Heading1"/>
      </w:pPr>
      <w:bookmarkStart w:id="2" w:name="O_1088006"/>
      <w:bookmarkEnd w:id="2"/>
      <w:r w:rsidRPr="00185525">
        <w:t>Performance Evidence</w:t>
      </w:r>
    </w:p>
    <w:tbl>
      <w:tblPr>
        <w:tblW w:w="9497" w:type="dxa"/>
        <w:tblLayout w:type="fixed"/>
        <w:tblCellMar>
          <w:left w:w="62" w:type="dxa"/>
          <w:right w:w="62" w:type="dxa"/>
        </w:tblCellMar>
        <w:tblLook w:val="0000"/>
      </w:tblPr>
      <w:tblGrid>
        <w:gridCol w:w="9497"/>
      </w:tblGrid>
      <w:tr w:rsidTr="001855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5525" w:rsidP="00185525">
            <w:pPr>
              <w:pStyle w:val="BodyText"/>
            </w:pPr>
            <w:r w:rsidRPr="00185525">
              <w:t>Evidence required to demonstrate competence in this unit must be relevant to and satisfy all of the requirements of the elements and performance criteria on at least one occasion and include:</w:t>
            </w:r>
          </w:p>
          <w:p w:rsidR="00000000" w:rsidRPr="00185525" w:rsidP="00185525">
            <w:pPr>
              <w:pStyle w:val="ListBullet"/>
            </w:pPr>
            <w:r w:rsidRPr="00185525">
              <w:t>accessing information an</w:t>
            </w:r>
            <w:r w:rsidRPr="00185525">
              <w:t>d sketching diagrams to interpret and explain testing requirements related to the operation of marine auxiliary machines</w:t>
            </w:r>
          </w:p>
          <w:p w:rsidR="00000000" w:rsidRPr="00185525" w:rsidP="00185525">
            <w:pPr>
              <w:pStyle w:val="ListBullet"/>
            </w:pPr>
            <w:r w:rsidRPr="00185525">
              <w:t>assessing own work outcomes and maintaining knowledge of current codes, standards, regulations and industry practices</w:t>
            </w:r>
          </w:p>
          <w:p w:rsidR="00000000" w:rsidRPr="00185525" w:rsidP="00185525">
            <w:pPr>
              <w:pStyle w:val="ListBullet"/>
            </w:pPr>
            <w:r w:rsidRPr="00185525">
              <w:t>calculating to sh</w:t>
            </w:r>
            <w:r w:rsidRPr="00185525">
              <w:t xml:space="preserve">ow air can be treated as an ideal gas </w:t>
            </w:r>
          </w:p>
          <w:p w:rsidR="00000000" w:rsidRPr="00185525" w:rsidP="00185525">
            <w:pPr>
              <w:pStyle w:val="ListBullet"/>
            </w:pPr>
            <w:r w:rsidRPr="00185525">
              <w:t>identifying and interpreting numerical and graphical information related to starting up and shutting down marine auxiliary machines on commercial vessels</w:t>
            </w:r>
          </w:p>
          <w:p w:rsidR="00000000" w:rsidRPr="00185525" w:rsidP="00185525">
            <w:pPr>
              <w:pStyle w:val="ListBullet"/>
            </w:pPr>
            <w:r w:rsidRPr="00185525">
              <w:t>identifying and suggesting ways of rectifying faults and malfun</w:t>
            </w:r>
            <w:r w:rsidRPr="00185525">
              <w:t>ctions in marine auxiliary machines on commercial vessels</w:t>
            </w:r>
          </w:p>
          <w:p w:rsidR="00000000" w:rsidRPr="00185525" w:rsidP="00185525">
            <w:pPr>
              <w:pStyle w:val="ListBullet"/>
            </w:pPr>
            <w:r w:rsidRPr="00185525">
              <w:t>identifying methods, procedures and materials needed for operating, maintaining and repairing marine auxiliary machines on commercial vessels</w:t>
            </w:r>
          </w:p>
          <w:p w:rsidR="00000000" w:rsidRPr="00185525" w:rsidP="00185525">
            <w:pPr>
              <w:pStyle w:val="ListBullet"/>
            </w:pPr>
            <w:r w:rsidRPr="00185525">
              <w:t>imparting knowledge and ideas through verbal, written and visual means</w:t>
            </w:r>
          </w:p>
          <w:p w:rsidR="00000000" w:rsidRPr="00185525" w:rsidP="00185525">
            <w:pPr>
              <w:pStyle w:val="ListBullet"/>
            </w:pPr>
            <w:r w:rsidRPr="00185525">
              <w:t>providing accurate and reliable information</w:t>
            </w:r>
          </w:p>
          <w:p w:rsidR="00000000" w:rsidRPr="00185525" w:rsidP="00185525">
            <w:pPr>
              <w:pStyle w:val="ListBullet"/>
            </w:pPr>
            <w:r w:rsidRPr="00185525">
              <w:t>providing appropriate level of detail in responses</w:t>
            </w:r>
          </w:p>
          <w:p w:rsidR="00000000" w:rsidRPr="00185525" w:rsidP="00185525">
            <w:pPr>
              <w:pStyle w:val="ListBullet"/>
            </w:pPr>
            <w:r w:rsidRPr="00185525">
              <w:t>reading and interpreting written information related to the operation, performance and mai</w:t>
            </w:r>
            <w:r w:rsidRPr="00185525">
              <w:t>ntenance of marine auxiliary machines, including machinery specifications, machinery design drawings, machine drawings, operational manuals, specifications and electrical and control circuit diagrams.</w:t>
            </w:r>
          </w:p>
        </w:tc>
      </w:tr>
    </w:tbl>
    <w:p w:rsidR="00000000" w:rsidRPr="00185525" w:rsidP="00185525">
      <w:pPr>
        <w:pStyle w:val="NoPaddingFontSize1"/>
      </w:pPr>
    </w:p>
    <w:p w:rsidR="00000000" w:rsidRPr="00185525" w:rsidP="00185525">
      <w:pPr>
        <w:pStyle w:val="AllowPageBreak"/>
      </w:pPr>
    </w:p>
    <w:p w:rsidR="00000000" w:rsidRPr="00185525" w:rsidP="00185525">
      <w:pPr>
        <w:pStyle w:val="Heading1"/>
      </w:pPr>
      <w:bookmarkStart w:id="3" w:name="O_1088007"/>
      <w:bookmarkEnd w:id="3"/>
      <w:r w:rsidRPr="00185525">
        <w:t>Knowledge Evidence</w:t>
      </w:r>
    </w:p>
    <w:tbl>
      <w:tblPr>
        <w:tblW w:w="9497" w:type="dxa"/>
        <w:tblLayout w:type="fixed"/>
        <w:tblCellMar>
          <w:left w:w="62" w:type="dxa"/>
          <w:right w:w="62" w:type="dxa"/>
        </w:tblCellMar>
        <w:tblLook w:val="0000"/>
      </w:tblPr>
      <w:tblGrid>
        <w:gridCol w:w="9497"/>
      </w:tblGrid>
      <w:tr w:rsidTr="001855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5525" w:rsidP="00185525">
            <w:pPr>
              <w:pStyle w:val="BodyText"/>
            </w:pPr>
            <w:r w:rsidRPr="00185525">
              <w:t>Evidence requir</w:t>
            </w:r>
            <w:r w:rsidRPr="00185525">
              <w:t>ed to demonstrate competence in this unit must be relevant to and satisfy all of the requirements of the elements and performance criteria and include knowledge of:</w:t>
            </w:r>
          </w:p>
          <w:p w:rsidR="00000000" w:rsidRPr="00185525" w:rsidP="00185525">
            <w:pPr>
              <w:pStyle w:val="ListBullet"/>
            </w:pPr>
            <w:r w:rsidRPr="00185525">
              <w:t>accessories, including:</w:t>
            </w:r>
          </w:p>
          <w:p w:rsidR="00000000" w:rsidRPr="00185525" w:rsidP="00185525">
            <w:pPr>
              <w:pStyle w:val="ListBullet2"/>
            </w:pPr>
            <w:r w:rsidRPr="00185525">
              <w:t>accessory gear</w:t>
            </w:r>
          </w:p>
          <w:p w:rsidR="00000000" w:rsidRPr="00185525" w:rsidP="00185525">
            <w:pPr>
              <w:pStyle w:val="ListBullet2"/>
            </w:pPr>
            <w:r w:rsidRPr="00185525">
              <w:t>lube oil coolers</w:t>
            </w:r>
          </w:p>
          <w:p w:rsidR="00000000" w:rsidRPr="00185525" w:rsidP="00185525">
            <w:pPr>
              <w:pStyle w:val="ListBullet2"/>
            </w:pPr>
            <w:r w:rsidRPr="00185525">
              <w:t>lube oil drive</w:t>
            </w:r>
          </w:p>
          <w:p w:rsidR="00000000" w:rsidRPr="00185525" w:rsidP="00185525">
            <w:pPr>
              <w:pStyle w:val="ListBullet2"/>
            </w:pPr>
            <w:r w:rsidRPr="00185525">
              <w:t>lube oil filter</w:t>
            </w:r>
          </w:p>
          <w:p w:rsidR="00000000" w:rsidRPr="00185525" w:rsidP="00185525">
            <w:pPr>
              <w:pStyle w:val="ListBullet2"/>
            </w:pPr>
            <w:r w:rsidRPr="00185525">
              <w:t>starting device</w:t>
            </w:r>
          </w:p>
          <w:p w:rsidR="00000000" w:rsidRPr="00185525" w:rsidP="00185525">
            <w:pPr>
              <w:pStyle w:val="ListBullet"/>
            </w:pPr>
            <w:r w:rsidRPr="00185525">
              <w:t>basic principles of marine auxiliary machines, including:</w:t>
            </w:r>
          </w:p>
          <w:p w:rsidR="00000000" w:rsidRPr="00185525" w:rsidP="00185525">
            <w:pPr>
              <w:pStyle w:val="ListBullet2"/>
            </w:pPr>
            <w:r w:rsidRPr="00185525">
              <w:t>applying main power of engines for propulsion and manoeuvring</w:t>
            </w:r>
          </w:p>
          <w:p w:rsidR="00000000" w:rsidRPr="00185525" w:rsidP="00185525">
            <w:pPr>
              <w:pStyle w:val="ListBullet2"/>
            </w:pPr>
            <w:r w:rsidRPr="00185525">
              <w:t>keeping ship dry and trimmed</w:t>
            </w:r>
          </w:p>
          <w:p w:rsidR="00000000" w:rsidRPr="00185525" w:rsidP="00185525">
            <w:pPr>
              <w:pStyle w:val="ListBullet2"/>
            </w:pPr>
            <w:r w:rsidRPr="00185525">
              <w:t>mooring ship and handling cargo</w:t>
            </w:r>
          </w:p>
          <w:p w:rsidR="00000000" w:rsidRPr="00185525" w:rsidP="00185525">
            <w:pPr>
              <w:pStyle w:val="ListBullet2"/>
            </w:pPr>
            <w:r w:rsidRPr="00185525">
              <w:t>providing for safety</w:t>
            </w:r>
          </w:p>
          <w:p w:rsidR="00000000" w:rsidRPr="00185525" w:rsidP="00185525">
            <w:pPr>
              <w:pStyle w:val="ListBullet2"/>
            </w:pPr>
            <w:r w:rsidRPr="00185525">
              <w:t>supplying domestic needs, such as fr</w:t>
            </w:r>
            <w:r w:rsidRPr="00185525">
              <w:t>eshwater</w:t>
            </w:r>
          </w:p>
          <w:p w:rsidR="00000000" w:rsidRPr="00185525" w:rsidP="00185525">
            <w:pPr>
              <w:pStyle w:val="ListBullet2"/>
            </w:pPr>
            <w:r w:rsidRPr="00185525">
              <w:t>supplying needs of main engines and boilers</w:t>
            </w:r>
          </w:p>
          <w:p w:rsidR="00000000" w:rsidRPr="00185525" w:rsidP="00185525">
            <w:pPr>
              <w:pStyle w:val="ListBullet2"/>
            </w:pPr>
            <w:r w:rsidRPr="00185525">
              <w:t>supplying ship with electric power and lighting</w:t>
            </w:r>
          </w:p>
          <w:p w:rsidR="00000000" w:rsidRPr="00185525" w:rsidP="00185525">
            <w:pPr>
              <w:pStyle w:val="ListBullet"/>
            </w:pPr>
            <w:r w:rsidRPr="00185525">
              <w:t>compressors, including:</w:t>
            </w:r>
          </w:p>
          <w:p w:rsidR="00000000" w:rsidRPr="00185525" w:rsidP="00185525">
            <w:pPr>
              <w:pStyle w:val="ListBullet2"/>
            </w:pPr>
            <w:r w:rsidRPr="00185525">
              <w:t>breathing apparatus compressor</w:t>
            </w:r>
          </w:p>
          <w:p w:rsidR="00000000" w:rsidRPr="00185525" w:rsidP="00185525">
            <w:pPr>
              <w:pStyle w:val="ListBullet2"/>
            </w:pPr>
            <w:r w:rsidRPr="00185525">
              <w:t>lubricated reciprocating air compressors</w:t>
            </w:r>
          </w:p>
          <w:p w:rsidR="00000000" w:rsidRPr="00185525" w:rsidP="00185525">
            <w:pPr>
              <w:pStyle w:val="ListBullet2"/>
            </w:pPr>
            <w:r w:rsidRPr="00185525">
              <w:t>non-lubricated reciprocating air compressors</w:t>
            </w:r>
          </w:p>
          <w:p w:rsidR="00000000" w:rsidRPr="00185525" w:rsidP="00185525">
            <w:pPr>
              <w:pStyle w:val="ListBullet2"/>
            </w:pPr>
            <w:r w:rsidRPr="00185525">
              <w:t>oil-free air compressors</w:t>
            </w:r>
          </w:p>
          <w:p w:rsidR="00000000" w:rsidRPr="00185525" w:rsidP="00185525">
            <w:pPr>
              <w:pStyle w:val="ListBullet2"/>
            </w:pPr>
            <w:r w:rsidRPr="00185525">
              <w:t>rotary screw compressors</w:t>
            </w:r>
          </w:p>
          <w:p w:rsidR="00000000" w:rsidRPr="00185525" w:rsidP="00185525">
            <w:pPr>
              <w:pStyle w:val="ListBullet"/>
            </w:pPr>
            <w:r w:rsidRPr="00185525">
              <w:t>deck machinery, including:</w:t>
            </w:r>
          </w:p>
          <w:p w:rsidR="00000000" w:rsidRPr="00185525" w:rsidP="00185525">
            <w:pPr>
              <w:pStyle w:val="ListBullet2"/>
            </w:pPr>
            <w:r w:rsidRPr="00185525">
              <w:t>accommodation ladders</w:t>
            </w:r>
          </w:p>
          <w:p w:rsidR="00000000" w:rsidRPr="00185525" w:rsidP="00185525">
            <w:pPr>
              <w:pStyle w:val="ListBullet2"/>
            </w:pPr>
            <w:r w:rsidRPr="00185525">
              <w:t>anchor winch</w:t>
            </w:r>
          </w:p>
          <w:p w:rsidR="00000000" w:rsidRPr="00185525" w:rsidP="00185525">
            <w:pPr>
              <w:pStyle w:val="ListBullet2"/>
            </w:pPr>
            <w:r w:rsidRPr="00185525">
              <w:t>cranes</w:t>
            </w:r>
          </w:p>
          <w:p w:rsidR="00000000" w:rsidRPr="00185525" w:rsidP="00185525">
            <w:pPr>
              <w:pStyle w:val="ListBullet2"/>
            </w:pPr>
            <w:r w:rsidRPr="00185525">
              <w:t>davits</w:t>
            </w:r>
          </w:p>
          <w:p w:rsidR="00000000" w:rsidRPr="00185525" w:rsidP="00185525">
            <w:pPr>
              <w:pStyle w:val="ListBullet2"/>
            </w:pPr>
            <w:r w:rsidRPr="00185525">
              <w:t>mooring winch</w:t>
            </w:r>
          </w:p>
          <w:p w:rsidR="00000000" w:rsidRPr="00185525" w:rsidP="00185525">
            <w:pPr>
              <w:pStyle w:val="ListBullet"/>
            </w:pPr>
            <w:r w:rsidRPr="00185525">
              <w:t>features of bilge, cargo and ballast pumping systems, including:</w:t>
            </w:r>
          </w:p>
          <w:p w:rsidR="00000000" w:rsidRPr="00185525" w:rsidP="00185525">
            <w:pPr>
              <w:pStyle w:val="ListBullet2"/>
            </w:pPr>
            <w:r w:rsidRPr="00185525">
              <w:t>safety fittings</w:t>
            </w:r>
          </w:p>
          <w:p w:rsidR="00000000" w:rsidRPr="00185525" w:rsidP="00185525">
            <w:pPr>
              <w:pStyle w:val="ListBullet2"/>
            </w:pPr>
            <w:r w:rsidRPr="00185525">
              <w:t>sensing devices</w:t>
            </w:r>
          </w:p>
          <w:p w:rsidR="00000000" w:rsidRPr="00185525" w:rsidP="00185525">
            <w:pPr>
              <w:pStyle w:val="ListBullet2"/>
            </w:pPr>
            <w:r w:rsidRPr="00185525">
              <w:t>types of valves</w:t>
            </w:r>
          </w:p>
          <w:p w:rsidR="00000000" w:rsidRPr="00185525" w:rsidP="00185525">
            <w:pPr>
              <w:pStyle w:val="ListBullet"/>
            </w:pPr>
            <w:r w:rsidRPr="00185525">
              <w:t>fuels and basic principles of fuel systems</w:t>
            </w:r>
          </w:p>
          <w:p w:rsidR="00000000" w:rsidRPr="00185525" w:rsidP="00185525">
            <w:pPr>
              <w:pStyle w:val="ListBullet"/>
            </w:pPr>
            <w:r w:rsidRPr="00185525">
              <w:t>nature and causes of typical start-up and shutdown malfunctions of main and auxiliary machinery and associated systems, and available methods for their detection and rectification</w:t>
            </w:r>
          </w:p>
          <w:p w:rsidR="00000000" w:rsidRPr="00185525" w:rsidP="00185525">
            <w:pPr>
              <w:pStyle w:val="ListBullet"/>
            </w:pPr>
            <w:r w:rsidRPr="00185525">
              <w:t>operational characteristics and performance specifications for different types of auxiliary machinery and associated systems usually found on a commercial vessel, including:</w:t>
            </w:r>
          </w:p>
          <w:p w:rsidR="00000000" w:rsidRPr="00185525" w:rsidP="00185525">
            <w:pPr>
              <w:pStyle w:val="ListBullet2"/>
            </w:pPr>
            <w:r w:rsidRPr="00185525">
              <w:t>air compressors</w:t>
            </w:r>
          </w:p>
          <w:p w:rsidR="00000000" w:rsidRPr="00185525" w:rsidP="00185525">
            <w:pPr>
              <w:pStyle w:val="ListBullet2"/>
            </w:pPr>
            <w:r w:rsidRPr="00185525">
              <w:t>evaporators</w:t>
            </w:r>
          </w:p>
          <w:p w:rsidR="00000000" w:rsidRPr="00185525" w:rsidP="00185525">
            <w:pPr>
              <w:pStyle w:val="ListBullet2"/>
            </w:pPr>
            <w:r w:rsidRPr="00185525">
              <w:t>heat exchangers</w:t>
            </w:r>
          </w:p>
          <w:p w:rsidR="00000000" w:rsidRPr="00185525" w:rsidP="00185525">
            <w:pPr>
              <w:pStyle w:val="ListBullet2"/>
            </w:pPr>
            <w:r w:rsidRPr="00185525">
              <w:t>pumps</w:t>
            </w:r>
          </w:p>
          <w:p w:rsidR="00000000" w:rsidRPr="00185525" w:rsidP="00185525">
            <w:pPr>
              <w:pStyle w:val="ListBullet2"/>
            </w:pPr>
            <w:r w:rsidRPr="00185525">
              <w:t>steering gears</w:t>
            </w:r>
          </w:p>
          <w:p w:rsidR="00000000" w:rsidRPr="00185525" w:rsidP="00185525">
            <w:pPr>
              <w:pStyle w:val="ListBullet"/>
            </w:pPr>
            <w:r w:rsidRPr="00185525">
              <w:t xml:space="preserve">principles and </w:t>
            </w:r>
            <w:r w:rsidRPr="00185525">
              <w:t>procedures of machinery lubrication</w:t>
            </w:r>
          </w:p>
          <w:p w:rsidR="00000000" w:rsidRPr="00185525" w:rsidP="00185525">
            <w:pPr>
              <w:pStyle w:val="ListBullet"/>
            </w:pPr>
            <w:r w:rsidRPr="00185525">
              <w:t>procedures for carrying out start-up and shutdown of main and auxiliary machinery and associated systems to ensure compliance with company and survey requirements and regulations</w:t>
            </w:r>
          </w:p>
          <w:p w:rsidR="00000000" w:rsidRPr="00185525" w:rsidP="00185525">
            <w:pPr>
              <w:pStyle w:val="ListBullet"/>
            </w:pPr>
            <w:r w:rsidRPr="00185525">
              <w:t>purpose and content of safety data sheets</w:t>
            </w:r>
            <w:r w:rsidRPr="00185525">
              <w:t xml:space="preserve"> (SDS)/material safety data sheets (MSDS)</w:t>
            </w:r>
          </w:p>
          <w:p w:rsidR="00000000" w:rsidRPr="00185525" w:rsidP="00185525">
            <w:pPr>
              <w:pStyle w:val="ListBullet"/>
            </w:pPr>
            <w:r w:rsidRPr="00185525">
              <w:t>safety, environmental and hazard control precautions and procedures relevant to start-up and shutdown of marine auxiliary machinery and associated systems</w:t>
            </w:r>
          </w:p>
          <w:p w:rsidR="00000000" w:rsidRPr="00185525" w:rsidP="00185525">
            <w:pPr>
              <w:pStyle w:val="ListBullet"/>
            </w:pPr>
            <w:r w:rsidRPr="00185525">
              <w:t>steering gear, including:</w:t>
            </w:r>
          </w:p>
          <w:p w:rsidR="00000000" w:rsidRPr="00185525" w:rsidP="00185525">
            <w:pPr>
              <w:pStyle w:val="ListBullet2"/>
            </w:pPr>
            <w:r w:rsidRPr="00185525">
              <w:t>hunting gear</w:t>
            </w:r>
          </w:p>
          <w:p w:rsidR="00000000" w:rsidRPr="00185525" w:rsidP="00185525">
            <w:pPr>
              <w:pStyle w:val="ListBullet2"/>
            </w:pPr>
            <w:r w:rsidRPr="00185525">
              <w:t>telemotor</w:t>
            </w:r>
          </w:p>
          <w:p w:rsidR="00000000" w:rsidRPr="00185525" w:rsidP="00185525">
            <w:pPr>
              <w:pStyle w:val="ListBullet"/>
            </w:pPr>
            <w:r w:rsidRPr="00185525">
              <w:t>types of chemicals, including:</w:t>
            </w:r>
          </w:p>
          <w:p w:rsidR="00000000" w:rsidRPr="00185525" w:rsidP="00185525">
            <w:pPr>
              <w:pStyle w:val="ListBullet2"/>
            </w:pPr>
            <w:r w:rsidRPr="00185525">
              <w:t>cleaning fluids</w:t>
            </w:r>
          </w:p>
          <w:p w:rsidR="00000000" w:rsidRPr="00185525" w:rsidP="00185525">
            <w:pPr>
              <w:pStyle w:val="ListBullet2"/>
            </w:pPr>
            <w:r w:rsidRPr="00185525">
              <w:t>fuel additives</w:t>
            </w:r>
          </w:p>
          <w:p w:rsidR="00000000" w:rsidRPr="00185525" w:rsidP="00185525">
            <w:pPr>
              <w:pStyle w:val="ListBullet2"/>
            </w:pPr>
            <w:r w:rsidRPr="00185525">
              <w:t>solvents</w:t>
            </w:r>
          </w:p>
          <w:p w:rsidR="00000000" w:rsidRPr="00185525" w:rsidP="00185525">
            <w:pPr>
              <w:pStyle w:val="ListBullet"/>
            </w:pPr>
            <w:r w:rsidRPr="00185525">
              <w:t>types of heat exchangers, including:</w:t>
            </w:r>
          </w:p>
          <w:p w:rsidR="00000000" w:rsidRPr="00185525" w:rsidP="00185525">
            <w:pPr>
              <w:pStyle w:val="ListBullet2"/>
            </w:pPr>
            <w:r w:rsidRPr="00185525">
              <w:t>plate</w:t>
            </w:r>
          </w:p>
          <w:p w:rsidR="00000000" w:rsidRPr="00185525" w:rsidP="00185525">
            <w:pPr>
              <w:pStyle w:val="ListBullet2"/>
            </w:pPr>
            <w:r w:rsidRPr="00185525">
              <w:t>shell and tube</w:t>
            </w:r>
          </w:p>
          <w:p w:rsidR="00000000" w:rsidRPr="00185525" w:rsidP="00185525">
            <w:pPr>
              <w:pStyle w:val="ListBullet"/>
            </w:pPr>
            <w:r w:rsidRPr="00185525">
              <w:t>types of steering gear, including:</w:t>
            </w:r>
          </w:p>
          <w:p w:rsidR="00000000" w:rsidRPr="00185525" w:rsidP="00185525">
            <w:pPr>
              <w:pStyle w:val="ListBullet2"/>
            </w:pPr>
            <w:r w:rsidRPr="00185525">
              <w:t>electrical</w:t>
            </w:r>
          </w:p>
          <w:p w:rsidR="00000000" w:rsidRPr="00185525" w:rsidP="00185525">
            <w:pPr>
              <w:pStyle w:val="ListBullet2"/>
            </w:pPr>
            <w:r w:rsidRPr="00185525">
              <w:t>ram</w:t>
            </w:r>
          </w:p>
          <w:p w:rsidR="00000000" w:rsidRPr="00185525" w:rsidP="00185525">
            <w:pPr>
              <w:pStyle w:val="ListBullet2"/>
            </w:pPr>
            <w:r w:rsidRPr="00185525">
              <w:t>rotary vane</w:t>
            </w:r>
          </w:p>
          <w:p w:rsidR="00000000" w:rsidRPr="00185525" w:rsidP="00185525">
            <w:pPr>
              <w:pStyle w:val="ListBullet2"/>
            </w:pPr>
            <w:r w:rsidRPr="00185525">
              <w:t>oscillating steering</w:t>
            </w:r>
          </w:p>
          <w:p w:rsidR="00000000" w:rsidRPr="00185525" w:rsidP="00185525">
            <w:pPr>
              <w:pStyle w:val="ListBullet"/>
            </w:pPr>
            <w:r w:rsidRPr="00185525">
              <w:t>types of auxiliary machinery and compo</w:t>
            </w:r>
            <w:r w:rsidRPr="00185525">
              <w:t>nents, including:</w:t>
            </w:r>
          </w:p>
          <w:p w:rsidR="00000000" w:rsidRPr="00185525" w:rsidP="00185525">
            <w:pPr>
              <w:pStyle w:val="ListBullet2"/>
            </w:pPr>
            <w:r w:rsidRPr="00185525">
              <w:t>boiler</w:t>
            </w:r>
          </w:p>
          <w:p w:rsidR="00000000" w:rsidRPr="00185525" w:rsidP="00185525">
            <w:pPr>
              <w:pStyle w:val="ListBullet2"/>
            </w:pPr>
            <w:r w:rsidRPr="00185525">
              <w:t>compressors</w:t>
            </w:r>
          </w:p>
          <w:p w:rsidR="00000000" w:rsidRPr="00185525" w:rsidP="00185525">
            <w:pPr>
              <w:pStyle w:val="ListBullet2"/>
            </w:pPr>
            <w:r w:rsidRPr="00185525">
              <w:t>diesel generator</w:t>
            </w:r>
          </w:p>
          <w:p w:rsidR="00000000" w:rsidRPr="00185525" w:rsidP="00185525">
            <w:pPr>
              <w:pStyle w:val="ListBullet2"/>
            </w:pPr>
            <w:r w:rsidRPr="00185525">
              <w:t>evaporators</w:t>
            </w:r>
          </w:p>
          <w:p w:rsidR="00000000" w:rsidRPr="00185525" w:rsidP="00185525">
            <w:pPr>
              <w:pStyle w:val="ListBullet2"/>
            </w:pPr>
            <w:r w:rsidRPr="00185525">
              <w:t>pumps</w:t>
            </w:r>
          </w:p>
          <w:p w:rsidR="00000000" w:rsidRPr="00185525" w:rsidP="00185525">
            <w:pPr>
              <w:pStyle w:val="ListBullet2"/>
            </w:pPr>
            <w:r w:rsidRPr="00185525">
              <w:t>purifiers and fuel oil treatment</w:t>
            </w:r>
          </w:p>
          <w:p w:rsidR="00000000" w:rsidRPr="00185525" w:rsidP="00185525">
            <w:pPr>
              <w:pStyle w:val="ListBullet2"/>
            </w:pPr>
            <w:r w:rsidRPr="00185525">
              <w:t>refrigerating installation</w:t>
            </w:r>
          </w:p>
          <w:p w:rsidR="00000000" w:rsidRPr="00185525" w:rsidP="00185525">
            <w:pPr>
              <w:pStyle w:val="ListBullet2"/>
            </w:pPr>
            <w:r w:rsidRPr="00185525">
              <w:t>thermal fluid heating systems</w:t>
            </w:r>
          </w:p>
          <w:p w:rsidR="00000000" w:rsidRPr="00185525" w:rsidP="00185525">
            <w:pPr>
              <w:pStyle w:val="ListBullet"/>
            </w:pPr>
            <w:r w:rsidRPr="00185525">
              <w:t>types of pumps, including:</w:t>
            </w:r>
          </w:p>
          <w:p w:rsidR="00000000" w:rsidRPr="00185525" w:rsidP="00185525">
            <w:pPr>
              <w:pStyle w:val="ListBullet2"/>
            </w:pPr>
            <w:r w:rsidRPr="00185525">
              <w:t>axial flow</w:t>
            </w:r>
          </w:p>
          <w:p w:rsidR="00000000" w:rsidRPr="00185525" w:rsidP="00185525">
            <w:pPr>
              <w:pStyle w:val="ListBullet2"/>
            </w:pPr>
            <w:r w:rsidRPr="00185525">
              <w:t>centrifugal</w:t>
            </w:r>
          </w:p>
          <w:p w:rsidR="00000000" w:rsidRPr="00185525" w:rsidP="00185525">
            <w:pPr>
              <w:pStyle w:val="ListBullet2"/>
            </w:pPr>
            <w:r w:rsidRPr="00185525">
              <w:t>gear</w:t>
            </w:r>
          </w:p>
          <w:p w:rsidR="00000000" w:rsidRPr="00185525" w:rsidP="00185525">
            <w:pPr>
              <w:pStyle w:val="ListBullet2"/>
            </w:pPr>
            <w:r w:rsidRPr="00185525">
              <w:t>reciprocating</w:t>
            </w:r>
          </w:p>
          <w:p w:rsidR="00000000" w:rsidRPr="00185525" w:rsidP="00185525">
            <w:pPr>
              <w:pStyle w:val="ListBullet2"/>
            </w:pPr>
            <w:r w:rsidRPr="00185525">
              <w:t>screw</w:t>
            </w:r>
          </w:p>
          <w:p w:rsidR="00000000" w:rsidRPr="00185525" w:rsidP="00185525">
            <w:pPr>
              <w:pStyle w:val="ListBullet2"/>
            </w:pPr>
            <w:r w:rsidRPr="00185525">
              <w:t>vane</w:t>
            </w:r>
          </w:p>
          <w:p w:rsidR="00000000" w:rsidRPr="00185525" w:rsidP="00185525">
            <w:pPr>
              <w:pStyle w:val="ListBullet"/>
            </w:pPr>
            <w:r w:rsidRPr="00185525">
              <w:t>work health and safety (WHS)/occupational health and safety (OHS) legislation and policies.</w:t>
            </w:r>
          </w:p>
        </w:tc>
      </w:tr>
    </w:tbl>
    <w:p w:rsidR="00000000" w:rsidRPr="00185525" w:rsidP="00185525">
      <w:pPr>
        <w:pStyle w:val="NoPaddingFontSize1"/>
      </w:pPr>
    </w:p>
    <w:p w:rsidR="00000000" w:rsidRPr="00185525" w:rsidP="00185525">
      <w:pPr>
        <w:pStyle w:val="AllowPageBreak"/>
      </w:pPr>
    </w:p>
    <w:p w:rsidR="00000000" w:rsidRPr="00185525" w:rsidP="00185525">
      <w:pPr>
        <w:pStyle w:val="Heading1"/>
      </w:pPr>
      <w:bookmarkStart w:id="4" w:name="O_1088008"/>
      <w:bookmarkEnd w:id="4"/>
      <w:r w:rsidRPr="00185525">
        <w:t>Assessment Conditions</w:t>
      </w:r>
    </w:p>
    <w:tbl>
      <w:tblPr>
        <w:tblW w:w="9497" w:type="dxa"/>
        <w:tblLayout w:type="fixed"/>
        <w:tblCellMar>
          <w:left w:w="62" w:type="dxa"/>
          <w:right w:w="62" w:type="dxa"/>
        </w:tblCellMar>
        <w:tblLook w:val="0000"/>
      </w:tblPr>
      <w:tblGrid>
        <w:gridCol w:w="9497"/>
      </w:tblGrid>
      <w:tr w:rsidTr="001855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5525" w:rsidP="00185525">
            <w:pPr>
              <w:pStyle w:val="BodyText"/>
            </w:pPr>
            <w:r w:rsidRPr="00185525">
              <w:t xml:space="preserve">Assessors must hold credentials specified within the Standards for Registered Training Organisations current at the time </w:t>
            </w:r>
            <w:r w:rsidRPr="00185525">
              <w:t>of assessment.</w:t>
            </w:r>
          </w:p>
          <w:p w:rsidR="00000000" w:rsidRPr="00185525" w:rsidP="00185525">
            <w:pPr>
              <w:pStyle w:val="BodyText"/>
            </w:pPr>
            <w:r w:rsidRPr="00185525">
              <w:t xml:space="preserve">Assessment must satisfy the Principles of Assessment and Rules of Evidence and all regulatory requirements included within the Standards for Registered Training Organisations current at the time of assessment.  </w:t>
            </w:r>
          </w:p>
          <w:p w:rsidR="00000000" w:rsidRPr="00185525" w:rsidP="00185525">
            <w:pPr>
              <w:pStyle w:val="BodyText"/>
            </w:pPr>
            <w:r w:rsidRPr="00185525">
              <w:t>Asses</w:t>
            </w:r>
            <w:r w:rsidRPr="00185525">
              <w:t>sment processes and techniques must be appropriate to the language, literacy and numeracy requirements of the work being performed and the needs of the candidate.</w:t>
            </w:r>
          </w:p>
          <w:p w:rsidR="00000000" w:rsidRPr="00185525" w:rsidP="00185525">
            <w:pPr>
              <w:pStyle w:val="BodyText"/>
            </w:pPr>
            <w:r w:rsidRPr="00185525">
              <w:t>Practical assessment must occur in a workplace, or realistic simulated workplace, under the n</w:t>
            </w:r>
            <w:r w:rsidRPr="00185525">
              <w:t xml:space="preserve">ormal range of workplace conditions. </w:t>
            </w:r>
          </w:p>
          <w:p w:rsidR="00000000" w:rsidRPr="00185525" w:rsidP="00185525">
            <w:pPr>
              <w:pStyle w:val="BodyText"/>
            </w:pPr>
            <w:r w:rsidRPr="00185525">
              <w:t>Simulations and scenarios may be used where situations cannot be provided in the workplace or may occur only rarely, in particular for situations relating to emergency procedures and adverse weather conditions where as</w:t>
            </w:r>
            <w:r w:rsidRPr="00185525">
              <w:t>sessment would be unsafe, impractical or may lead to environmental damage.</w:t>
            </w:r>
          </w:p>
          <w:p w:rsidR="00000000" w:rsidRPr="00185525" w:rsidP="00185525">
            <w:pPr>
              <w:pStyle w:val="BodyText"/>
            </w:pPr>
            <w:r w:rsidRPr="00185525">
              <w:t>Resources for assessment must include access to:</w:t>
            </w:r>
          </w:p>
          <w:p w:rsidR="00000000" w:rsidRPr="00185525" w:rsidP="00185525">
            <w:pPr>
              <w:pStyle w:val="ListBullet"/>
            </w:pPr>
            <w:r w:rsidRPr="00185525">
              <w:t>applicable documentation, such as legislation, regulations, codes of practice, workplace procedures and operational manuals</w:t>
            </w:r>
          </w:p>
          <w:p w:rsidR="00000000" w:rsidRPr="00185525" w:rsidP="00185525">
            <w:pPr>
              <w:pStyle w:val="ListBullet"/>
            </w:pPr>
            <w:r w:rsidRPr="00185525">
              <w:t xml:space="preserve">tools, </w:t>
            </w:r>
            <w:r w:rsidRPr="00185525">
              <w:t>equipment, machinery, materials and relevant personal protective equipment (PPE) currently used in industry.</w:t>
            </w:r>
          </w:p>
        </w:tc>
      </w:tr>
    </w:tbl>
    <w:p w:rsidR="00000000" w:rsidRPr="00185525" w:rsidP="00185525">
      <w:pPr>
        <w:pStyle w:val="NoPaddingFontSize1"/>
      </w:pPr>
    </w:p>
    <w:p w:rsidR="00000000" w:rsidRPr="00185525" w:rsidP="00185525">
      <w:pPr>
        <w:pStyle w:val="AllowPageBreak"/>
      </w:pPr>
    </w:p>
    <w:p w:rsidR="00000000" w:rsidRPr="00185525" w:rsidP="00185525">
      <w:pPr>
        <w:pStyle w:val="Heading1"/>
      </w:pPr>
      <w:bookmarkStart w:id="5" w:name="O_1088011"/>
      <w:bookmarkEnd w:id="5"/>
      <w:r w:rsidRPr="00185525">
        <w:t>Links</w:t>
      </w:r>
    </w:p>
    <w:p w:rsidR="00000000" w:rsidRPr="00185525" w:rsidP="00DA2988">
      <w:pPr>
        <w:pStyle w:val="BodyText"/>
      </w:pPr>
      <w:r w:rsidRPr="00185525">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164BB5">
        <w:rPr>
          <w:rStyle w:val="Hyperlink"/>
        </w:rPr>
        <w:t>https://vetnet.gov.au/Pages/TrainingDocs.aspx?q=772efb7b-4cce-47fe-9bbd-ee3b1d1eb4c2</w:t>
      </w:r>
      <w:r>
        <w:fldChar w:fldCharType="end"/>
      </w:r>
    </w:p>
    <w:p w:rsidR="00000000" w:rsidRPr="00185525" w:rsidP="00185525"/>
    <w:sectPr w:rsidSect="001855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5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525" w:rsidRPr="00DA2988" w:rsidP="00DA29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5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988" w:rsidP="001855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2988" w:rsidP="0018552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DA2988" w:rsidP="001855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5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9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5525" w:rsidRPr="00DA2988" w:rsidP="00DA29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5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988" w:rsidRPr="002D2AF8" w:rsidP="00185525">
    <w:pPr>
      <w:pStyle w:val="Header"/>
      <w:framePr w:wrap="around"/>
    </w:pPr>
    <w:r>
      <w:fldChar w:fldCharType="begin"/>
    </w:r>
    <w:r>
      <w:instrText xml:space="preserve"> TITLE   \* MERGEFORMAT </w:instrText>
    </w:r>
    <w:r>
      <w:fldChar w:fldCharType="separate"/>
    </w:r>
    <w:r>
      <w:t>Assessment Requirements for MARL055 Demonstrate basic knowledge of marine auxiliary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DA2988" w:rsidP="001855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CA7C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2E1A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C0F3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5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5525"/>
    <w:pPr>
      <w:spacing w:before="360" w:after="60"/>
      <w:outlineLvl w:val="0"/>
    </w:pPr>
    <w:rPr>
      <w:sz w:val="32"/>
    </w:rPr>
  </w:style>
  <w:style w:type="paragraph" w:styleId="Heading2">
    <w:name w:val="heading 2"/>
    <w:basedOn w:val="HeadingBase"/>
    <w:next w:val="BodyText"/>
    <w:link w:val="Heading2Char"/>
    <w:qFormat/>
    <w:rsid w:val="00185525"/>
    <w:pPr>
      <w:keepLines/>
      <w:spacing w:before="240" w:after="120"/>
      <w:outlineLvl w:val="1"/>
    </w:pPr>
    <w:rPr>
      <w:sz w:val="28"/>
      <w:szCs w:val="40"/>
    </w:rPr>
  </w:style>
  <w:style w:type="paragraph" w:styleId="Heading3">
    <w:name w:val="heading 3"/>
    <w:basedOn w:val="HeadingBase"/>
    <w:next w:val="BodyText"/>
    <w:link w:val="Heading3Char"/>
    <w:qFormat/>
    <w:rsid w:val="00185525"/>
    <w:pPr>
      <w:spacing w:before="180" w:after="120"/>
      <w:outlineLvl w:val="2"/>
    </w:pPr>
    <w:rPr>
      <w:spacing w:val="-10"/>
      <w:kern w:val="32"/>
    </w:rPr>
  </w:style>
  <w:style w:type="paragraph" w:styleId="Heading4">
    <w:name w:val="heading 4"/>
    <w:basedOn w:val="HeadingBase"/>
    <w:next w:val="BodyText"/>
    <w:link w:val="Heading4Char"/>
    <w:qFormat/>
    <w:rsid w:val="00185525"/>
    <w:pPr>
      <w:spacing w:before="160" w:after="120"/>
      <w:outlineLvl w:val="3"/>
    </w:pPr>
    <w:rPr>
      <w:sz w:val="22"/>
    </w:rPr>
  </w:style>
  <w:style w:type="paragraph" w:styleId="Heading5">
    <w:name w:val="heading 5"/>
    <w:basedOn w:val="HeadingBase"/>
    <w:next w:val="Normal"/>
    <w:link w:val="Heading5Char"/>
    <w:qFormat/>
    <w:rsid w:val="00185525"/>
    <w:pPr>
      <w:spacing w:before="80"/>
      <w:outlineLvl w:val="4"/>
    </w:pPr>
    <w:rPr>
      <w:color w:val="918585"/>
      <w:sz w:val="20"/>
    </w:rPr>
  </w:style>
  <w:style w:type="paragraph" w:styleId="Heading6">
    <w:name w:val="heading 6"/>
    <w:basedOn w:val="HeadingBase"/>
    <w:next w:val="Normal"/>
    <w:link w:val="Heading6Char"/>
    <w:qFormat/>
    <w:rsid w:val="00185525"/>
    <w:pPr>
      <w:spacing w:before="60"/>
      <w:outlineLvl w:val="5"/>
    </w:pPr>
    <w:rPr>
      <w:color w:val="918585"/>
      <w:sz w:val="20"/>
    </w:rPr>
  </w:style>
  <w:style w:type="paragraph" w:styleId="Heading7">
    <w:name w:val="heading 7"/>
    <w:basedOn w:val="Normal"/>
    <w:next w:val="Normal"/>
    <w:link w:val="Heading7Char"/>
    <w:qFormat/>
    <w:rsid w:val="00185525"/>
    <w:pPr>
      <w:ind w:left="720"/>
      <w:outlineLvl w:val="6"/>
    </w:pPr>
    <w:rPr>
      <w:i/>
    </w:rPr>
  </w:style>
  <w:style w:type="paragraph" w:styleId="Heading8">
    <w:name w:val="heading 8"/>
    <w:basedOn w:val="Normal"/>
    <w:next w:val="Normal"/>
    <w:link w:val="Heading8Char"/>
    <w:qFormat/>
    <w:rsid w:val="00185525"/>
    <w:pPr>
      <w:ind w:left="720"/>
      <w:outlineLvl w:val="7"/>
    </w:pPr>
    <w:rPr>
      <w:i/>
    </w:rPr>
  </w:style>
  <w:style w:type="paragraph" w:styleId="Heading9">
    <w:name w:val="heading 9"/>
    <w:basedOn w:val="Normal"/>
    <w:next w:val="Normal"/>
    <w:link w:val="Heading9Char"/>
    <w:qFormat/>
    <w:rsid w:val="00185525"/>
    <w:pPr>
      <w:ind w:left="720"/>
      <w:outlineLvl w:val="8"/>
    </w:pPr>
    <w:rPr>
      <w:i/>
    </w:rPr>
  </w:style>
  <w:style w:type="character" w:default="1" w:styleId="DefaultParagraphFont">
    <w:name w:val="Default Paragraph Font"/>
    <w:uiPriority w:val="1"/>
    <w:unhideWhenUsed/>
    <w:rsid w:val="001855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5525"/>
  </w:style>
  <w:style w:type="character" w:customStyle="1" w:styleId="Heading1Char">
    <w:name w:val="Heading 1 Char"/>
    <w:basedOn w:val="DefaultParagraphFont"/>
    <w:link w:val="Heading1"/>
    <w:rsid w:val="00185525"/>
    <w:rPr>
      <w:rFonts w:ascii="Times New Roman" w:eastAsia="Times New Roman" w:hAnsi="Times New Roman" w:cs="Times New Roman"/>
      <w:b/>
      <w:sz w:val="32"/>
      <w:szCs w:val="20"/>
      <w:lang w:eastAsia="en-US"/>
    </w:rPr>
  </w:style>
  <w:style w:type="paragraph" w:styleId="BodyText">
    <w:name w:val="Body Text"/>
    <w:basedOn w:val="Normal"/>
    <w:link w:val="BodyTextChar"/>
    <w:rsid w:val="001855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5525"/>
    <w:rPr>
      <w:rFonts w:ascii="Times New Roman" w:eastAsia="Times New Roman" w:hAnsi="Times New Roman" w:cs="Times New Roman"/>
      <w:sz w:val="24"/>
      <w:lang w:eastAsia="en-US"/>
    </w:rPr>
  </w:style>
  <w:style w:type="paragraph" w:styleId="ListBullet">
    <w:name w:val="List Bullet"/>
    <w:basedOn w:val="List"/>
    <w:rsid w:val="00185525"/>
    <w:pPr>
      <w:numPr>
        <w:numId w:val="12"/>
      </w:numPr>
      <w:tabs>
        <w:tab w:val="clear" w:pos="340"/>
      </w:tabs>
      <w:spacing w:before="40" w:after="40"/>
    </w:pPr>
  </w:style>
  <w:style w:type="paragraph" w:styleId="ListBullet2">
    <w:name w:val="List Bullet 2"/>
    <w:basedOn w:val="List2"/>
    <w:rsid w:val="00185525"/>
    <w:pPr>
      <w:numPr>
        <w:numId w:val="13"/>
      </w:numPr>
      <w:tabs>
        <w:tab w:val="clear" w:pos="680"/>
      </w:tabs>
    </w:pPr>
  </w:style>
  <w:style w:type="paragraph" w:customStyle="1" w:styleId="SuperHeading">
    <w:name w:val="SuperHeading"/>
    <w:basedOn w:val="Normal"/>
    <w:rsid w:val="00185525"/>
    <w:pPr>
      <w:spacing w:before="240" w:after="120"/>
      <w:outlineLvl w:val="0"/>
    </w:pPr>
    <w:rPr>
      <w:rFonts w:ascii="Times New Roman" w:hAnsi="Times New Roman"/>
      <w:b/>
      <w:sz w:val="32"/>
    </w:rPr>
  </w:style>
  <w:style w:type="paragraph" w:customStyle="1" w:styleId="AllowPageBreak">
    <w:name w:val="AllowPageBreak"/>
    <w:rsid w:val="0018552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855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55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55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55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55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55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55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5525"/>
    <w:rPr>
      <w:rFonts w:ascii="Courier New" w:eastAsia="Times New Roman" w:hAnsi="Courier New" w:cs="Times New Roman"/>
      <w:i/>
      <w:szCs w:val="20"/>
      <w:lang w:eastAsia="en-US"/>
    </w:rPr>
  </w:style>
  <w:style w:type="paragraph" w:customStyle="1" w:styleId="HeadingBase">
    <w:name w:val="Heading Base"/>
    <w:rsid w:val="001855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5525"/>
    <w:pPr>
      <w:tabs>
        <w:tab w:val="right" w:leader="dot" w:pos="9072"/>
      </w:tabs>
      <w:ind w:left="567"/>
    </w:pPr>
    <w:rPr>
      <w:szCs w:val="22"/>
    </w:rPr>
  </w:style>
  <w:style w:type="paragraph" w:customStyle="1" w:styleId="TOCBase">
    <w:name w:val="TOC Base"/>
    <w:rsid w:val="001855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5525"/>
    <w:pPr>
      <w:tabs>
        <w:tab w:val="right" w:leader="dot" w:pos="9072"/>
      </w:tabs>
      <w:spacing w:before="40" w:after="40"/>
      <w:ind w:left="284"/>
    </w:pPr>
    <w:rPr>
      <w:rFonts w:ascii="Times New Roman" w:hAnsi="Times New Roman"/>
    </w:rPr>
  </w:style>
  <w:style w:type="paragraph" w:styleId="TOC1">
    <w:name w:val="toc 1"/>
    <w:basedOn w:val="TOCBase"/>
    <w:next w:val="Normal"/>
    <w:rsid w:val="001855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55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5525"/>
    <w:rPr>
      <w:rFonts w:ascii="Times New Roman" w:eastAsia="Times New Roman" w:hAnsi="Times New Roman" w:cs="Times New Roman"/>
      <w:sz w:val="16"/>
      <w:lang w:eastAsia="en-US"/>
    </w:rPr>
  </w:style>
  <w:style w:type="paragraph" w:styleId="Title">
    <w:name w:val="Title"/>
    <w:basedOn w:val="HeadingBase"/>
    <w:link w:val="TitleChar"/>
    <w:qFormat/>
    <w:rsid w:val="00185525"/>
    <w:pPr>
      <w:spacing w:before="5040"/>
      <w:jc w:val="center"/>
    </w:pPr>
    <w:rPr>
      <w:sz w:val="48"/>
      <w:szCs w:val="72"/>
      <w:lang w:val="en-US"/>
    </w:rPr>
  </w:style>
  <w:style w:type="character" w:customStyle="1" w:styleId="TitleChar">
    <w:name w:val="Title Char"/>
    <w:basedOn w:val="DefaultParagraphFont"/>
    <w:link w:val="Title"/>
    <w:rsid w:val="001855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5525"/>
    <w:pPr>
      <w:tabs>
        <w:tab w:val="left" w:pos="3600"/>
        <w:tab w:val="left" w:pos="3958"/>
      </w:tabs>
    </w:pPr>
  </w:style>
  <w:style w:type="paragraph" w:styleId="List">
    <w:name w:val="List"/>
    <w:basedOn w:val="BodyText"/>
    <w:next w:val="BodyText"/>
    <w:rsid w:val="00185525"/>
    <w:pPr>
      <w:tabs>
        <w:tab w:val="left" w:pos="340"/>
      </w:tabs>
      <w:spacing w:before="60" w:after="60"/>
      <w:ind w:left="340" w:hanging="340"/>
    </w:pPr>
  </w:style>
  <w:style w:type="paragraph" w:customStyle="1" w:styleId="Note">
    <w:name w:val="Note"/>
    <w:basedOn w:val="BodyText"/>
    <w:rsid w:val="0018552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85525"/>
    <w:rPr>
      <w:b/>
      <w:spacing w:val="0"/>
    </w:rPr>
  </w:style>
  <w:style w:type="paragraph" w:customStyle="1" w:styleId="SuperTitle">
    <w:name w:val="SuperTitle"/>
    <w:basedOn w:val="Title"/>
    <w:rsid w:val="00185525"/>
    <w:pPr>
      <w:framePr w:wrap="auto" w:hAnchor="text" w:y="6049"/>
    </w:pPr>
    <w:rPr>
      <w:color w:val="000000"/>
      <w:sz w:val="40"/>
    </w:rPr>
  </w:style>
  <w:style w:type="paragraph" w:customStyle="1" w:styleId="TOCTitle">
    <w:name w:val="TOCTitle"/>
    <w:basedOn w:val="Heading1"/>
    <w:rsid w:val="00185525"/>
    <w:pPr>
      <w:spacing w:after="240"/>
      <w:jc w:val="center"/>
      <w:outlineLvl w:val="9"/>
    </w:pPr>
    <w:rPr>
      <w:caps/>
    </w:rPr>
  </w:style>
  <w:style w:type="paragraph" w:customStyle="1" w:styleId="Version">
    <w:name w:val="Version"/>
    <w:rsid w:val="001855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5525"/>
    <w:pPr>
      <w:keepNext w:val="0"/>
      <w:tabs>
        <w:tab w:val="right" w:pos="4176"/>
      </w:tabs>
      <w:ind w:left="198" w:hanging="198"/>
    </w:pPr>
    <w:rPr>
      <w:rFonts w:ascii="Garamond" w:hAnsi="Garamond"/>
    </w:rPr>
  </w:style>
  <w:style w:type="paragraph" w:styleId="IndexHeading">
    <w:name w:val="index heading"/>
    <w:basedOn w:val="Normal"/>
    <w:next w:val="Index1"/>
    <w:semiHidden/>
    <w:rsid w:val="00185525"/>
    <w:pPr>
      <w:spacing w:before="120" w:after="120"/>
    </w:pPr>
    <w:rPr>
      <w:rFonts w:ascii="Arial" w:hAnsi="Arial"/>
      <w:b/>
      <w:color w:val="918585"/>
      <w:sz w:val="24"/>
    </w:rPr>
  </w:style>
  <w:style w:type="paragraph" w:styleId="Header">
    <w:name w:val="header"/>
    <w:basedOn w:val="Normal"/>
    <w:link w:val="HeaderChar"/>
    <w:rsid w:val="001855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5525"/>
    <w:rPr>
      <w:rFonts w:ascii="Times New Roman" w:eastAsia="Times New Roman" w:hAnsi="Times New Roman" w:cs="Times New Roman"/>
      <w:sz w:val="16"/>
      <w:szCs w:val="20"/>
      <w:lang w:val="en-GB" w:eastAsia="en-US"/>
    </w:rPr>
  </w:style>
  <w:style w:type="paragraph" w:customStyle="1" w:styleId="Chapter">
    <w:name w:val="Chapter"/>
    <w:basedOn w:val="Normal"/>
    <w:rsid w:val="00185525"/>
    <w:pPr>
      <w:spacing w:before="240"/>
    </w:pPr>
    <w:rPr>
      <w:rFonts w:ascii="Times New Roman" w:hAnsi="Times New Roman"/>
      <w:smallCaps/>
      <w:spacing w:val="80"/>
      <w:sz w:val="28"/>
    </w:rPr>
  </w:style>
  <w:style w:type="paragraph" w:customStyle="1" w:styleId="InChapter">
    <w:name w:val="InChapter"/>
    <w:basedOn w:val="Heading3"/>
    <w:rsid w:val="00185525"/>
    <w:pPr>
      <w:spacing w:after="240"/>
      <w:outlineLvl w:val="9"/>
    </w:pPr>
    <w:rPr>
      <w:noProof/>
    </w:rPr>
  </w:style>
  <w:style w:type="paragraph" w:styleId="Index2">
    <w:name w:val="index 2"/>
    <w:basedOn w:val="Normal"/>
    <w:next w:val="Normal"/>
    <w:semiHidden/>
    <w:rsid w:val="00185525"/>
    <w:pPr>
      <w:tabs>
        <w:tab w:val="right" w:pos="4176"/>
      </w:tabs>
      <w:ind w:left="568" w:hanging="284"/>
    </w:pPr>
    <w:rPr>
      <w:rFonts w:ascii="Garamond" w:hAnsi="Garamond"/>
    </w:rPr>
  </w:style>
  <w:style w:type="paragraph" w:customStyle="1" w:styleId="Byline">
    <w:name w:val="Byline"/>
    <w:rsid w:val="001855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5525"/>
    <w:pPr>
      <w:tabs>
        <w:tab w:val="clear" w:pos="3600"/>
        <w:tab w:val="clear" w:pos="3958"/>
      </w:tabs>
      <w:jc w:val="right"/>
    </w:pPr>
  </w:style>
  <w:style w:type="character" w:styleId="Emphasis">
    <w:name w:val="Emphasis"/>
    <w:basedOn w:val="DefaultParagraphFont"/>
    <w:qFormat/>
    <w:rsid w:val="00185525"/>
    <w:rPr>
      <w:i/>
    </w:rPr>
  </w:style>
  <w:style w:type="paragraph" w:styleId="Caption">
    <w:name w:val="caption"/>
    <w:basedOn w:val="BodyText"/>
    <w:next w:val="Normal"/>
    <w:qFormat/>
    <w:rsid w:val="00185525"/>
    <w:pPr>
      <w:framePr w:w="2268" w:hSpace="181" w:vSpace="181" w:wrap="around" w:vAnchor="text" w:hAnchor="page" w:x="1135" w:y="285" w:anchorLock="1"/>
    </w:pPr>
    <w:rPr>
      <w:i/>
    </w:rPr>
  </w:style>
  <w:style w:type="paragraph" w:customStyle="1" w:styleId="MiniTOCTitle">
    <w:name w:val="MiniTOCTitle"/>
    <w:basedOn w:val="Heading4"/>
    <w:rsid w:val="00185525"/>
    <w:pPr>
      <w:spacing w:before="240"/>
      <w:outlineLvl w:val="9"/>
    </w:pPr>
    <w:rPr>
      <w:noProof/>
      <w:sz w:val="24"/>
    </w:rPr>
  </w:style>
  <w:style w:type="paragraph" w:customStyle="1" w:styleId="MiniTOCItem">
    <w:name w:val="MiniTOCItem"/>
    <w:basedOn w:val="ListBullet"/>
    <w:rsid w:val="00185525"/>
    <w:pPr>
      <w:numPr>
        <w:numId w:val="0"/>
      </w:numPr>
      <w:tabs>
        <w:tab w:val="right" w:leader="dot" w:pos="6521"/>
      </w:tabs>
      <w:spacing w:before="0" w:after="0"/>
    </w:pPr>
  </w:style>
  <w:style w:type="paragraph" w:customStyle="1" w:styleId="TOFTitle">
    <w:name w:val="TOFTitle"/>
    <w:basedOn w:val="TOCTitle"/>
    <w:rsid w:val="00185525"/>
  </w:style>
  <w:style w:type="paragraph" w:styleId="TableofFigures">
    <w:name w:val="table of figures"/>
    <w:basedOn w:val="Normal"/>
    <w:next w:val="Normal"/>
    <w:semiHidden/>
    <w:rsid w:val="00185525"/>
    <w:pPr>
      <w:tabs>
        <w:tab w:val="right" w:leader="dot" w:pos="9072"/>
      </w:tabs>
      <w:ind w:left="970" w:hanging="403"/>
    </w:pPr>
    <w:rPr>
      <w:rFonts w:ascii="Times New Roman" w:hAnsi="Times New Roman"/>
      <w:b/>
    </w:rPr>
  </w:style>
  <w:style w:type="paragraph" w:styleId="ListNumber">
    <w:name w:val="List Number"/>
    <w:basedOn w:val="List"/>
    <w:rsid w:val="00185525"/>
    <w:pPr>
      <w:numPr>
        <w:numId w:val="15"/>
      </w:numPr>
      <w:tabs>
        <w:tab w:val="clear" w:pos="340"/>
      </w:tabs>
    </w:pPr>
  </w:style>
  <w:style w:type="character" w:customStyle="1" w:styleId="WingdingSymbols">
    <w:name w:val="Wingding Symbols"/>
    <w:rsid w:val="00185525"/>
    <w:rPr>
      <w:rFonts w:ascii="Wingdings" w:hAnsi="Wingdings"/>
    </w:rPr>
  </w:style>
  <w:style w:type="paragraph" w:customStyle="1" w:styleId="TableHeading">
    <w:name w:val="Table Heading"/>
    <w:basedOn w:val="HeadingBase"/>
    <w:rsid w:val="00185525"/>
    <w:pPr>
      <w:keepLines/>
      <w:pBdr>
        <w:bottom w:val="single" w:sz="6" w:space="1" w:color="918585"/>
      </w:pBdr>
      <w:spacing w:before="240"/>
    </w:pPr>
  </w:style>
  <w:style w:type="character" w:customStyle="1" w:styleId="HotSpot">
    <w:name w:val="HotSpot"/>
    <w:rsid w:val="00185525"/>
    <w:rPr>
      <w:color w:val="0033CC"/>
      <w:u w:val="none"/>
    </w:rPr>
  </w:style>
  <w:style w:type="paragraph" w:customStyle="1" w:styleId="BodyTextRight">
    <w:name w:val="Body Text Right"/>
    <w:basedOn w:val="BodyText"/>
    <w:rsid w:val="00185525"/>
    <w:pPr>
      <w:spacing w:before="0" w:after="0"/>
      <w:jc w:val="right"/>
    </w:pPr>
  </w:style>
  <w:style w:type="paragraph" w:styleId="Index3">
    <w:name w:val="index 3"/>
    <w:basedOn w:val="ListNumber2"/>
    <w:next w:val="Normal"/>
    <w:semiHidden/>
    <w:rsid w:val="00185525"/>
    <w:pPr>
      <w:numPr>
        <w:numId w:val="0"/>
      </w:numPr>
      <w:tabs>
        <w:tab w:val="right" w:leader="dot" w:pos="4176"/>
      </w:tabs>
    </w:pPr>
  </w:style>
  <w:style w:type="paragraph" w:styleId="ListNumber2">
    <w:name w:val="List Number 2"/>
    <w:basedOn w:val="List2"/>
    <w:rsid w:val="00185525"/>
    <w:pPr>
      <w:numPr>
        <w:numId w:val="10"/>
      </w:numPr>
      <w:tabs>
        <w:tab w:val="clear" w:pos="1060"/>
      </w:tabs>
    </w:pPr>
  </w:style>
  <w:style w:type="paragraph" w:customStyle="1" w:styleId="MarginNote">
    <w:name w:val="Margin Note"/>
    <w:basedOn w:val="BodyText"/>
    <w:rsid w:val="001855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55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55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5525"/>
    <w:rPr>
      <w:sz w:val="32"/>
    </w:rPr>
  </w:style>
  <w:style w:type="paragraph" w:customStyle="1" w:styleId="HeadingProcedure">
    <w:name w:val="Heading Procedure"/>
    <w:basedOn w:val="HeadingBase"/>
    <w:next w:val="Normal"/>
    <w:rsid w:val="00185525"/>
    <w:pPr>
      <w:tabs>
        <w:tab w:val="left" w:pos="0"/>
      </w:tabs>
      <w:spacing w:before="120" w:after="60"/>
    </w:pPr>
    <w:rPr>
      <w:i/>
      <w:color w:val="918585"/>
      <w:sz w:val="22"/>
    </w:rPr>
  </w:style>
  <w:style w:type="paragraph" w:customStyle="1" w:styleId="TableBodyText">
    <w:name w:val="Table Body Text"/>
    <w:basedOn w:val="BodyText"/>
    <w:rsid w:val="00185525"/>
    <w:pPr>
      <w:spacing w:before="60" w:after="60"/>
    </w:pPr>
  </w:style>
  <w:style w:type="paragraph" w:styleId="ListContinue">
    <w:name w:val="List Continue"/>
    <w:basedOn w:val="List"/>
    <w:rsid w:val="00185525"/>
    <w:pPr>
      <w:ind w:firstLine="0"/>
    </w:pPr>
  </w:style>
  <w:style w:type="paragraph" w:customStyle="1" w:styleId="ListNote">
    <w:name w:val="List Note"/>
    <w:basedOn w:val="List"/>
    <w:rsid w:val="00185525"/>
    <w:pPr>
      <w:pBdr>
        <w:top w:val="single" w:sz="6" w:space="2" w:color="918585"/>
        <w:bottom w:val="single" w:sz="6" w:space="2" w:color="918585"/>
      </w:pBdr>
      <w:tabs>
        <w:tab w:val="left" w:pos="1021"/>
      </w:tabs>
      <w:ind w:firstLine="0"/>
    </w:pPr>
  </w:style>
  <w:style w:type="paragraph" w:customStyle="1" w:styleId="Warning">
    <w:name w:val="Warning"/>
    <w:basedOn w:val="BodyText"/>
    <w:rsid w:val="00185525"/>
    <w:pPr>
      <w:shd w:val="clear" w:color="auto" w:fill="D9D9D9"/>
      <w:tabs>
        <w:tab w:val="left" w:pos="992"/>
      </w:tabs>
      <w:ind w:left="119" w:right="119"/>
    </w:pPr>
    <w:rPr>
      <w:sz w:val="20"/>
    </w:rPr>
  </w:style>
  <w:style w:type="paragraph" w:customStyle="1" w:styleId="MarginIcons">
    <w:name w:val="Margin Icons"/>
    <w:basedOn w:val="BodyText"/>
    <w:rsid w:val="001855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5525"/>
    <w:rPr>
      <w:rFonts w:ascii="Courier New" w:hAnsi="Courier New"/>
    </w:rPr>
  </w:style>
  <w:style w:type="paragraph" w:customStyle="1" w:styleId="NoteBullet">
    <w:name w:val="Note Bullet"/>
    <w:basedOn w:val="Note"/>
    <w:rsid w:val="00185525"/>
    <w:pPr>
      <w:tabs>
        <w:tab w:val="clear" w:pos="680"/>
      </w:tabs>
      <w:spacing w:before="60" w:after="60"/>
    </w:pPr>
  </w:style>
  <w:style w:type="paragraph" w:customStyle="1" w:styleId="SubHeading2">
    <w:name w:val="SubHeading2"/>
    <w:basedOn w:val="HeadingBase"/>
    <w:rsid w:val="00185525"/>
    <w:pPr>
      <w:spacing w:before="240" w:after="60"/>
    </w:pPr>
    <w:rPr>
      <w:sz w:val="20"/>
    </w:rPr>
  </w:style>
  <w:style w:type="paragraph" w:customStyle="1" w:styleId="SubHeading1">
    <w:name w:val="SubHeading1"/>
    <w:basedOn w:val="HeadingBase"/>
    <w:rsid w:val="00185525"/>
    <w:pPr>
      <w:spacing w:before="240" w:after="60"/>
    </w:pPr>
    <w:rPr>
      <w:color w:val="918585"/>
      <w:sz w:val="22"/>
    </w:rPr>
  </w:style>
  <w:style w:type="paragraph" w:customStyle="1" w:styleId="SideHeading">
    <w:name w:val="Side Heading"/>
    <w:basedOn w:val="HeadingBase"/>
    <w:rsid w:val="001855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5525"/>
    <w:pPr>
      <w:tabs>
        <w:tab w:val="num" w:pos="360"/>
      </w:tabs>
    </w:pPr>
  </w:style>
  <w:style w:type="paragraph" w:styleId="PlainText">
    <w:name w:val="Plain Text"/>
    <w:basedOn w:val="Normal"/>
    <w:link w:val="PlainTextChar"/>
    <w:rsid w:val="00185525"/>
    <w:rPr>
      <w:sz w:val="20"/>
    </w:rPr>
  </w:style>
  <w:style w:type="character" w:customStyle="1" w:styleId="PlainTextChar">
    <w:name w:val="Plain Text Char"/>
    <w:basedOn w:val="DefaultParagraphFont"/>
    <w:link w:val="PlainText"/>
    <w:rsid w:val="00185525"/>
    <w:rPr>
      <w:rFonts w:ascii="Courier New" w:eastAsia="Times New Roman" w:hAnsi="Courier New" w:cs="Times New Roman"/>
      <w:sz w:val="20"/>
      <w:szCs w:val="20"/>
      <w:lang w:eastAsia="en-US"/>
    </w:rPr>
  </w:style>
  <w:style w:type="character" w:customStyle="1" w:styleId="MenuOption">
    <w:name w:val="Menu Option"/>
    <w:basedOn w:val="DefaultParagraphFont"/>
    <w:rsid w:val="00185525"/>
    <w:rPr>
      <w:b/>
      <w:smallCaps/>
    </w:rPr>
  </w:style>
  <w:style w:type="paragraph" w:customStyle="1" w:styleId="TableListNumber">
    <w:name w:val="Table List Number"/>
    <w:basedOn w:val="ListNumber"/>
    <w:rsid w:val="00185525"/>
    <w:pPr>
      <w:numPr>
        <w:numId w:val="0"/>
      </w:numPr>
    </w:pPr>
  </w:style>
  <w:style w:type="paragraph" w:styleId="TOC4">
    <w:name w:val="toc 4"/>
    <w:basedOn w:val="TOCBase"/>
    <w:next w:val="Normal"/>
    <w:semiHidden/>
    <w:rsid w:val="00185525"/>
    <w:pPr>
      <w:tabs>
        <w:tab w:val="right" w:leader="dot" w:pos="9071"/>
      </w:tabs>
      <w:ind w:left="1701"/>
    </w:pPr>
  </w:style>
  <w:style w:type="paragraph" w:customStyle="1" w:styleId="ListAlpha">
    <w:name w:val="List Alpha"/>
    <w:basedOn w:val="List"/>
    <w:rsid w:val="00185525"/>
    <w:pPr>
      <w:numPr>
        <w:numId w:val="9"/>
      </w:numPr>
    </w:pPr>
  </w:style>
  <w:style w:type="paragraph" w:customStyle="1" w:styleId="ListAlpha2">
    <w:name w:val="List Alpha 2"/>
    <w:basedOn w:val="List2"/>
    <w:rsid w:val="00185525"/>
    <w:pPr>
      <w:numPr>
        <w:numId w:val="8"/>
      </w:numPr>
    </w:pPr>
  </w:style>
  <w:style w:type="paragraph" w:styleId="List2">
    <w:name w:val="List 2"/>
    <w:basedOn w:val="BodyText"/>
    <w:rsid w:val="00185525"/>
    <w:pPr>
      <w:tabs>
        <w:tab w:val="left" w:pos="680"/>
      </w:tabs>
      <w:spacing w:before="60" w:after="60"/>
      <w:ind w:left="680" w:hanging="340"/>
    </w:pPr>
  </w:style>
  <w:style w:type="paragraph" w:styleId="List3">
    <w:name w:val="List 3"/>
    <w:basedOn w:val="BodyText"/>
    <w:rsid w:val="00185525"/>
    <w:pPr>
      <w:tabs>
        <w:tab w:val="left" w:pos="1021"/>
      </w:tabs>
      <w:spacing w:before="60" w:after="60"/>
      <w:ind w:left="1020" w:hanging="340"/>
    </w:pPr>
  </w:style>
  <w:style w:type="paragraph" w:styleId="List4">
    <w:name w:val="List 4"/>
    <w:basedOn w:val="BodyText"/>
    <w:rsid w:val="00185525"/>
    <w:pPr>
      <w:tabs>
        <w:tab w:val="left" w:pos="1361"/>
      </w:tabs>
      <w:spacing w:before="60" w:after="60"/>
      <w:ind w:left="1361" w:hanging="340"/>
    </w:pPr>
  </w:style>
  <w:style w:type="paragraph" w:styleId="List5">
    <w:name w:val="List 5"/>
    <w:basedOn w:val="BodyText"/>
    <w:rsid w:val="00185525"/>
    <w:pPr>
      <w:tabs>
        <w:tab w:val="left" w:pos="1701"/>
      </w:tabs>
      <w:spacing w:before="60" w:after="60"/>
      <w:ind w:left="1701" w:hanging="340"/>
    </w:pPr>
  </w:style>
  <w:style w:type="paragraph" w:styleId="ListBullet3">
    <w:name w:val="List Bullet 3"/>
    <w:basedOn w:val="List3"/>
    <w:rsid w:val="00185525"/>
    <w:pPr>
      <w:numPr>
        <w:numId w:val="14"/>
      </w:numPr>
      <w:tabs>
        <w:tab w:val="clear" w:pos="1021"/>
      </w:tabs>
      <w:ind w:left="1037" w:hanging="357"/>
    </w:pPr>
  </w:style>
  <w:style w:type="paragraph" w:styleId="ListBullet4">
    <w:name w:val="List Bullet 4"/>
    <w:basedOn w:val="List4"/>
    <w:rsid w:val="00185525"/>
    <w:pPr>
      <w:numPr>
        <w:numId w:val="3"/>
      </w:numPr>
      <w:tabs>
        <w:tab w:val="clear" w:pos="1361"/>
      </w:tabs>
    </w:pPr>
  </w:style>
  <w:style w:type="paragraph" w:styleId="ListBullet5">
    <w:name w:val="List Bullet 5"/>
    <w:basedOn w:val="List5"/>
    <w:rsid w:val="00185525"/>
    <w:pPr>
      <w:numPr>
        <w:numId w:val="4"/>
      </w:numPr>
    </w:pPr>
  </w:style>
  <w:style w:type="paragraph" w:styleId="ListContinue2">
    <w:name w:val="List Continue 2"/>
    <w:basedOn w:val="List2"/>
    <w:rsid w:val="00185525"/>
    <w:pPr>
      <w:ind w:firstLine="0"/>
    </w:pPr>
  </w:style>
  <w:style w:type="paragraph" w:styleId="ListContinue3">
    <w:name w:val="List Continue 3"/>
    <w:basedOn w:val="List3"/>
    <w:rsid w:val="00185525"/>
    <w:pPr>
      <w:ind w:left="1021" w:firstLine="0"/>
    </w:pPr>
  </w:style>
  <w:style w:type="paragraph" w:styleId="ListContinue4">
    <w:name w:val="List Continue 4"/>
    <w:basedOn w:val="List4"/>
    <w:rsid w:val="00185525"/>
    <w:pPr>
      <w:ind w:firstLine="0"/>
    </w:pPr>
  </w:style>
  <w:style w:type="paragraph" w:styleId="ListContinue5">
    <w:name w:val="List Continue 5"/>
    <w:basedOn w:val="List5"/>
    <w:rsid w:val="00185525"/>
    <w:pPr>
      <w:ind w:firstLine="0"/>
    </w:pPr>
  </w:style>
  <w:style w:type="paragraph" w:styleId="ListNumber3">
    <w:name w:val="List Number 3"/>
    <w:basedOn w:val="List3"/>
    <w:rsid w:val="00185525"/>
    <w:pPr>
      <w:numPr>
        <w:numId w:val="5"/>
      </w:numPr>
    </w:pPr>
  </w:style>
  <w:style w:type="paragraph" w:styleId="ListNumber4">
    <w:name w:val="List Number 4"/>
    <w:basedOn w:val="List4"/>
    <w:rsid w:val="00185525"/>
    <w:pPr>
      <w:numPr>
        <w:numId w:val="6"/>
      </w:numPr>
    </w:pPr>
  </w:style>
  <w:style w:type="paragraph" w:styleId="ListNumber5">
    <w:name w:val="List Number 5"/>
    <w:basedOn w:val="List5"/>
    <w:rsid w:val="00185525"/>
    <w:pPr>
      <w:numPr>
        <w:numId w:val="7"/>
      </w:numPr>
    </w:pPr>
  </w:style>
  <w:style w:type="paragraph" w:styleId="BlockText">
    <w:name w:val="Block Text"/>
    <w:basedOn w:val="Normal"/>
    <w:rsid w:val="00185525"/>
    <w:pPr>
      <w:spacing w:after="120"/>
      <w:ind w:left="1440" w:right="1440"/>
    </w:pPr>
  </w:style>
  <w:style w:type="character" w:customStyle="1" w:styleId="Subscript">
    <w:name w:val="Subscript"/>
    <w:basedOn w:val="DefaultParagraphFont"/>
    <w:rsid w:val="00185525"/>
    <w:rPr>
      <w:sz w:val="16"/>
      <w:vertAlign w:val="subscript"/>
    </w:rPr>
  </w:style>
  <w:style w:type="character" w:customStyle="1" w:styleId="Superscript">
    <w:name w:val="Superscript"/>
    <w:basedOn w:val="DefaultParagraphFont"/>
    <w:rsid w:val="00185525"/>
    <w:rPr>
      <w:sz w:val="16"/>
      <w:vertAlign w:val="superscript"/>
    </w:rPr>
  </w:style>
  <w:style w:type="character" w:customStyle="1" w:styleId="Symbols">
    <w:name w:val="Symbols"/>
    <w:basedOn w:val="DefaultParagraphFont"/>
    <w:rsid w:val="00185525"/>
    <w:rPr>
      <w:rFonts w:ascii="Symbol" w:hAnsi="Symbol"/>
    </w:rPr>
  </w:style>
  <w:style w:type="character" w:customStyle="1" w:styleId="MenuOptions">
    <w:name w:val="Menu Options"/>
    <w:basedOn w:val="DefaultParagraphFont"/>
    <w:rsid w:val="00185525"/>
    <w:rPr>
      <w:rFonts w:ascii="Arial Narrow" w:hAnsi="Arial Narrow"/>
      <w:smallCaps/>
    </w:rPr>
  </w:style>
  <w:style w:type="character" w:customStyle="1" w:styleId="Buttons">
    <w:name w:val="Buttons"/>
    <w:basedOn w:val="DefaultParagraphFont"/>
    <w:rsid w:val="00185525"/>
    <w:rPr>
      <w:b/>
    </w:rPr>
  </w:style>
  <w:style w:type="character" w:customStyle="1" w:styleId="Underlined">
    <w:name w:val="Underlined"/>
    <w:basedOn w:val="DefaultParagraphFont"/>
    <w:rsid w:val="00185525"/>
    <w:rPr>
      <w:u w:val="single"/>
    </w:rPr>
  </w:style>
  <w:style w:type="paragraph" w:customStyle="1" w:styleId="TableBodyTextRight">
    <w:name w:val="Table Body Text Right"/>
    <w:basedOn w:val="TableBodyText"/>
    <w:rsid w:val="00185525"/>
    <w:pPr>
      <w:widowControl w:val="0"/>
      <w:autoSpaceDE w:val="0"/>
      <w:autoSpaceDN w:val="0"/>
      <w:adjustRightInd w:val="0"/>
      <w:jc w:val="right"/>
    </w:pPr>
    <w:rPr>
      <w:rFonts w:cs="Arial"/>
      <w:szCs w:val="18"/>
    </w:rPr>
  </w:style>
  <w:style w:type="paragraph" w:customStyle="1" w:styleId="CopyrightText">
    <w:name w:val="Copyright Text"/>
    <w:basedOn w:val="BodyText"/>
    <w:rsid w:val="00185525"/>
    <w:rPr>
      <w:sz w:val="18"/>
    </w:rPr>
  </w:style>
  <w:style w:type="paragraph" w:customStyle="1" w:styleId="BodySmallRight">
    <w:name w:val="Body Small Right"/>
    <w:basedOn w:val="BodyTextRight"/>
    <w:rsid w:val="00185525"/>
    <w:rPr>
      <w:sz w:val="18"/>
      <w:szCs w:val="18"/>
    </w:rPr>
  </w:style>
  <w:style w:type="paragraph" w:customStyle="1" w:styleId="MarginEdition">
    <w:name w:val="Margin Edition"/>
    <w:basedOn w:val="MarginNote"/>
    <w:rsid w:val="00185525"/>
    <w:pPr>
      <w:spacing w:before="0" w:after="0"/>
    </w:pPr>
    <w:rPr>
      <w:rFonts w:ascii="Times New Roman" w:hAnsi="Times New Roman"/>
      <w:color w:val="999999"/>
    </w:rPr>
  </w:style>
  <w:style w:type="paragraph" w:customStyle="1" w:styleId="Spacer">
    <w:name w:val="Spacer"/>
    <w:basedOn w:val="Normal"/>
    <w:rsid w:val="00185525"/>
    <w:rPr>
      <w:sz w:val="2"/>
      <w:szCs w:val="2"/>
    </w:rPr>
  </w:style>
  <w:style w:type="character" w:customStyle="1" w:styleId="Small">
    <w:name w:val="Small"/>
    <w:basedOn w:val="DefaultParagraphFont"/>
    <w:rsid w:val="00185525"/>
    <w:rPr>
      <w:sz w:val="16"/>
    </w:rPr>
  </w:style>
  <w:style w:type="paragraph" w:customStyle="1" w:styleId="WideTable">
    <w:name w:val="Wide Table"/>
    <w:basedOn w:val="Normal"/>
    <w:rsid w:val="00185525"/>
    <w:pPr>
      <w:ind w:left="-1418"/>
    </w:pPr>
    <w:rPr>
      <w:sz w:val="2"/>
      <w:szCs w:val="2"/>
    </w:rPr>
  </w:style>
  <w:style w:type="character" w:styleId="PageNumber">
    <w:name w:val="page number"/>
    <w:basedOn w:val="DefaultParagraphFont"/>
    <w:rsid w:val="00185525"/>
  </w:style>
  <w:style w:type="paragraph" w:styleId="Quote">
    <w:name w:val="Quote"/>
    <w:basedOn w:val="Heading1"/>
    <w:link w:val="QuoteChar"/>
    <w:qFormat/>
    <w:rsid w:val="00185525"/>
    <w:rPr>
      <w:b w:val="0"/>
      <w:sz w:val="72"/>
      <w:szCs w:val="72"/>
      <w:lang w:val="en-NZ"/>
    </w:rPr>
  </w:style>
  <w:style w:type="character" w:customStyle="1" w:styleId="QuoteChar">
    <w:name w:val="Quote Char"/>
    <w:basedOn w:val="DefaultParagraphFont"/>
    <w:link w:val="Quote"/>
    <w:rsid w:val="001855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5525"/>
    <w:pPr>
      <w:pageBreakBefore/>
    </w:pPr>
  </w:style>
  <w:style w:type="paragraph" w:customStyle="1" w:styleId="Border">
    <w:name w:val="Border"/>
    <w:basedOn w:val="Normal"/>
    <w:qFormat/>
    <w:rsid w:val="001855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5525"/>
    <w:rPr>
      <w:b/>
      <w:bCs/>
      <w:i/>
      <w:iCs/>
      <w:color w:val="auto"/>
    </w:rPr>
  </w:style>
  <w:style w:type="paragraph" w:styleId="IntenseQuote">
    <w:name w:val="Intense Quote"/>
    <w:basedOn w:val="Normal"/>
    <w:next w:val="Normal"/>
    <w:link w:val="IntenseQuoteChar"/>
    <w:uiPriority w:val="30"/>
    <w:qFormat/>
    <w:rsid w:val="001855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55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5525"/>
    <w:rPr>
      <w:smallCaps/>
      <w:color w:val="auto"/>
      <w:u w:val="single"/>
    </w:rPr>
  </w:style>
  <w:style w:type="character" w:styleId="IntenseReference">
    <w:name w:val="Intense Reference"/>
    <w:basedOn w:val="DefaultParagraphFont"/>
    <w:uiPriority w:val="32"/>
    <w:qFormat/>
    <w:rsid w:val="00185525"/>
    <w:rPr>
      <w:b/>
      <w:bCs/>
      <w:smallCaps/>
      <w:color w:val="auto"/>
      <w:spacing w:val="5"/>
      <w:u w:val="single"/>
    </w:rPr>
  </w:style>
  <w:style w:type="paragraph" w:customStyle="1" w:styleId="2ColumnHeading">
    <w:name w:val="2Column Heading"/>
    <w:basedOn w:val="BodyText"/>
    <w:qFormat/>
    <w:rsid w:val="00185525"/>
    <w:pPr>
      <w:spacing w:after="60"/>
      <w:ind w:left="-2268"/>
    </w:pPr>
    <w:rPr>
      <w:b/>
    </w:rPr>
  </w:style>
  <w:style w:type="paragraph" w:customStyle="1" w:styleId="Heading1TOC">
    <w:name w:val="Heading1 TOC"/>
    <w:basedOn w:val="Normal"/>
    <w:qFormat/>
    <w:rsid w:val="00185525"/>
    <w:pPr>
      <w:spacing w:before="240" w:after="120"/>
    </w:pPr>
    <w:rPr>
      <w:rFonts w:ascii="Times New Roman" w:hAnsi="Times New Roman"/>
      <w:b/>
      <w:sz w:val="32"/>
    </w:rPr>
  </w:style>
  <w:style w:type="paragraph" w:customStyle="1" w:styleId="Heading2TOC">
    <w:name w:val="Heading2 TOC"/>
    <w:basedOn w:val="Normal"/>
    <w:qFormat/>
    <w:rsid w:val="00185525"/>
    <w:pPr>
      <w:spacing w:before="240" w:after="60"/>
    </w:pPr>
    <w:rPr>
      <w:rFonts w:ascii="Times New Roman" w:hAnsi="Times New Roman"/>
      <w:b/>
      <w:sz w:val="28"/>
    </w:rPr>
  </w:style>
  <w:style w:type="character" w:customStyle="1" w:styleId="Underline">
    <w:name w:val="Underline"/>
    <w:basedOn w:val="DefaultParagraphFont"/>
    <w:qFormat/>
    <w:rsid w:val="00185525"/>
    <w:rPr>
      <w:u w:val="single"/>
    </w:rPr>
  </w:style>
  <w:style w:type="character" w:customStyle="1" w:styleId="BoldandItalics">
    <w:name w:val="Bold and Italics"/>
    <w:qFormat/>
    <w:rsid w:val="00185525"/>
    <w:rPr>
      <w:b/>
      <w:i/>
      <w:u w:val="none"/>
    </w:rPr>
  </w:style>
  <w:style w:type="paragraph" w:styleId="BalloonText">
    <w:name w:val="Balloon Text"/>
    <w:basedOn w:val="Normal"/>
    <w:link w:val="BalloonTextChar"/>
    <w:rsid w:val="00185525"/>
    <w:rPr>
      <w:rFonts w:ascii="Tahoma" w:hAnsi="Tahoma" w:cs="Tahoma"/>
      <w:sz w:val="16"/>
      <w:szCs w:val="16"/>
    </w:rPr>
  </w:style>
  <w:style w:type="character" w:customStyle="1" w:styleId="BalloonTextChar">
    <w:name w:val="Balloon Text Char"/>
    <w:basedOn w:val="DefaultParagraphFont"/>
    <w:link w:val="BalloonText"/>
    <w:rsid w:val="001855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55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55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5525"/>
    <w:rPr>
      <w:b/>
      <w:color w:val="660033"/>
      <w:spacing w:val="0"/>
    </w:rPr>
  </w:style>
  <w:style w:type="paragraph" w:customStyle="1" w:styleId="Nameditemlist">
    <w:name w:val="Named item list"/>
    <w:basedOn w:val="BodyText"/>
    <w:qFormat/>
    <w:rsid w:val="00185525"/>
    <w:pPr>
      <w:tabs>
        <w:tab w:val="left" w:pos="2835"/>
      </w:tabs>
      <w:ind w:left="2835" w:hanging="2835"/>
    </w:pPr>
  </w:style>
  <w:style w:type="paragraph" w:customStyle="1" w:styleId="BodyTextnopadding">
    <w:name w:val="Body Text no padding"/>
    <w:basedOn w:val="BodyText"/>
    <w:qFormat/>
    <w:rsid w:val="00185525"/>
    <w:pPr>
      <w:spacing w:before="0" w:after="0"/>
    </w:pPr>
  </w:style>
  <w:style w:type="paragraph" w:customStyle="1" w:styleId="BodyTextBold">
    <w:name w:val="Body Text Bold"/>
    <w:basedOn w:val="BodyText"/>
    <w:qFormat/>
    <w:rsid w:val="00185525"/>
    <w:rPr>
      <w:b/>
    </w:rPr>
  </w:style>
  <w:style w:type="character" w:styleId="Hyperlink">
    <w:name w:val="Hyperlink"/>
    <w:basedOn w:val="DefaultParagraphFont"/>
    <w:uiPriority w:val="99"/>
    <w:unhideWhenUsed/>
    <w:rsid w:val="00DA29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775</Words>
  <Characters>5167</Characters>
  <Application>Microsoft Office Word</Application>
  <DocSecurity>0</DocSecurity>
  <Lines>147</Lines>
  <Paragraphs>121</Paragraphs>
  <ScaleCrop>false</ScaleCrop>
  <Company>Author-it Software Corporation Ltd.</Company>
  <LinksUpToDate>false</LinksUpToDate>
  <CharactersWithSpaces>5821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MARL055 Demonstrate basic knowledge of marine auxiliary machinery and equipment</dc:title>
  <dc:subject>Approved</dc:subject>
  <dc:creator>Industry Skills Australia</dc:creator>
  <cp:keywords>Release: 1</cp:keywords>
  <dc:description>Review Date: 12 April 2008</dc:description>
  <cp:lastModifiedBy>HSD_TPCMSd.prod</cp:lastModifiedBy>
  <cp:revision>3</cp:revision>
  <dcterms:created xsi:type="dcterms:W3CDTF">2024-11-22T08:11:00Z</dcterms:created>
  <dcterms:modified xsi:type="dcterms:W3CDTF">2024-11-22T08:11:00Z</dcterms:modified>
</cp:coreProperties>
</file>