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7145" w:rsidP="003771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MARL053 Demonstrate advanced knowledge of ship operations and maintenance</w:t>
      </w:r>
      <w:r>
        <w:fldChar w:fldCharType="end"/>
      </w:r>
    </w:p>
    <w:p w:rsidR="00377145" w:rsidP="00377145">
      <w:pPr>
        <w:pStyle w:val="Version"/>
        <w:sectPr w:rsidSect="00937B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937B05" w:rsidP="00937B05">
      <w:pPr>
        <w:pStyle w:val="SuperHeading"/>
      </w:pPr>
      <w:r w:rsidRPr="00937B05">
        <w:t>MARL053 Demonstrate advanced knowledge of ship operations and maintenance</w:t>
      </w:r>
    </w:p>
    <w:p w:rsidR="00000000" w:rsidRPr="00937B05" w:rsidP="00937B05">
      <w:pPr>
        <w:pStyle w:val="Heading1"/>
      </w:pPr>
      <w:bookmarkStart w:id="1" w:name="O_1285797"/>
      <w:bookmarkEnd w:id="1"/>
      <w:r w:rsidRPr="00937B0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7B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 w:rsidP="00937B05">
            <w:pPr>
              <w:pStyle w:val="BodyText"/>
            </w:pPr>
            <w:r w:rsidRPr="00937B05">
              <w:rPr>
                <w:rStyle w:val="SpecialBold"/>
              </w:rPr>
              <w:t>Release 3</w:t>
            </w:r>
            <w:r w:rsidRPr="00937B05">
              <w:t>. This is the third release of this unit of competency in the MAR Maritime Training Package:</w:t>
            </w:r>
          </w:p>
          <w:p w:rsidR="00000000" w:rsidP="00937B05">
            <w:pPr>
              <w:pStyle w:val="ListBullet"/>
              <w:rPr>
                <w:lang w:val="en-NZ"/>
              </w:rPr>
            </w:pPr>
            <w:r w:rsidRPr="00937B05">
              <w:t>Minor change to unit application.</w:t>
            </w:r>
          </w:p>
        </w:tc>
      </w:tr>
      <w:tr w:rsidTr="00937B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 w:rsidP="00937B05">
            <w:pPr>
              <w:pStyle w:val="BodyText"/>
            </w:pPr>
            <w:r w:rsidRPr="00937B05">
              <w:rPr>
                <w:rStyle w:val="SpecialBold"/>
              </w:rPr>
              <w:t>Release 2</w:t>
            </w:r>
            <w:r w:rsidRPr="00937B05">
              <w:t>. This is the second release of this unit of competency in the MAR Maritime Training Package:</w:t>
            </w:r>
          </w:p>
          <w:p w:rsidR="00000000" w:rsidP="00937B05">
            <w:pPr>
              <w:pStyle w:val="ListBullet"/>
              <w:rPr>
                <w:lang w:val="en-NZ"/>
              </w:rPr>
            </w:pPr>
            <w:r w:rsidRPr="00937B05">
              <w:t>Minor grammatical correction to numbering in performance criteria.</w:t>
            </w:r>
          </w:p>
        </w:tc>
      </w:tr>
      <w:tr w:rsidTr="00937B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 w:rsidP="00937B05">
            <w:pPr>
              <w:pStyle w:val="BodyText"/>
            </w:pPr>
            <w:r w:rsidRPr="00937B05">
              <w:rPr>
                <w:rStyle w:val="SpecialBold"/>
              </w:rPr>
              <w:t>Release 1.</w:t>
            </w:r>
            <w:r w:rsidRPr="00937B05">
              <w:t xml:space="preserve"> This is the first release of this unit of competency in the MAR Maritime </w:t>
            </w:r>
            <w:r w:rsidRPr="00937B05">
              <w:t>Training Package.</w:t>
            </w:r>
          </w:p>
        </w:tc>
      </w:tr>
    </w:tbl>
    <w:p w:rsidR="00000000" w:rsidRPr="00937B05" w:rsidP="00937B05">
      <w:pPr>
        <w:pStyle w:val="NoPaddingFontSize1"/>
      </w:pPr>
    </w:p>
    <w:p w:rsidR="00000000" w:rsidRPr="00937B05" w:rsidP="00937B05">
      <w:pPr>
        <w:pStyle w:val="AllowPageBreak"/>
      </w:pPr>
    </w:p>
    <w:p w:rsidR="00000000" w:rsidRPr="00937B05" w:rsidP="00937B05">
      <w:pPr>
        <w:pStyle w:val="Heading1"/>
      </w:pPr>
      <w:bookmarkStart w:id="2" w:name="O_1285796"/>
      <w:bookmarkEnd w:id="2"/>
      <w:r w:rsidRPr="00937B0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7B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 w:rsidP="00937B05">
            <w:pPr>
              <w:pStyle w:val="BodyText"/>
            </w:pPr>
            <w:r w:rsidRPr="00937B05">
              <w:t>This unit involves the skills and knowledge required to ensure that vessels comply with regulatory and survey requirements, the principles of ship construction as well as implementing maintenance and repai</w:t>
            </w:r>
            <w:r w:rsidRPr="00937B05">
              <w:t xml:space="preserve">r procedures associated with satisfying maintenance of class. </w:t>
            </w:r>
          </w:p>
          <w:p w:rsidR="00000000" w:rsidRPr="00937B05" w:rsidP="00937B05">
            <w:pPr>
              <w:pStyle w:val="BodyText"/>
            </w:pPr>
            <w:r w:rsidRPr="00937B05">
              <w:t>It includes analysing regulatory framework impacting on commercial shipping operations; maintenance strategies relating to classification surveys; statutory survey requirements; and factors influencing vessel stability.</w:t>
            </w:r>
          </w:p>
          <w:p w:rsidR="00000000" w:rsidRPr="00937B05" w:rsidP="00937B05">
            <w:pPr>
              <w:pStyle w:val="BodyText"/>
            </w:pPr>
            <w:r w:rsidRPr="00937B05">
              <w:t>It also includes analysing repair an</w:t>
            </w:r>
            <w:r w:rsidRPr="00937B05">
              <w:t>d maintenance methods for hull work, pipe work and pumping systems, machinery, propellers and other items to satisfy maintenance of class position; International Maritime Dangerous Goods (IMDG) Code requirements; safe working practices in enclosed or confi</w:t>
            </w:r>
            <w:r w:rsidRPr="00937B05">
              <w:t>ned spaces; dry docking procedures and responsibilities of engineering staff; and shipboard vibration.</w:t>
            </w:r>
          </w:p>
          <w:p w:rsidR="00000000" w:rsidRPr="00937B05" w:rsidP="00937B05">
            <w:pPr>
              <w:pStyle w:val="BodyText"/>
            </w:pPr>
            <w:r w:rsidRPr="00937B05">
              <w:t>This unit applies to people working in the maritime industry in the capacity of:</w:t>
            </w:r>
          </w:p>
          <w:p w:rsidR="00000000" w:rsidRPr="00937B05" w:rsidP="00937B05">
            <w:pPr>
              <w:pStyle w:val="ListBullet"/>
            </w:pPr>
            <w:r w:rsidRPr="00937B05">
              <w:t>Engineer Class 1 (STCW Chief Engineer Unlimited)</w:t>
            </w:r>
          </w:p>
          <w:p w:rsidR="00000000" w:rsidRPr="00937B05" w:rsidP="00937B05">
            <w:pPr>
              <w:pStyle w:val="ListBullet"/>
            </w:pPr>
            <w:r w:rsidRPr="00937B05">
              <w:t>Engineer Class 2 (STCW</w:t>
            </w:r>
            <w:r w:rsidRPr="00937B05">
              <w:t xml:space="preserve"> Second Engineer Unlimited).</w:t>
            </w:r>
          </w:p>
          <w:p w:rsidR="00000000" w:rsidRPr="00937B05" w:rsidP="00937B05">
            <w:pPr>
              <w:pStyle w:val="BodyText"/>
            </w:pPr>
            <w:r w:rsidRPr="00937B05">
              <w:rPr>
                <w:rStyle w:val="SpecialBold"/>
              </w:rPr>
              <w:t>Licensing/Regulatory Information</w:t>
            </w:r>
          </w:p>
          <w:p w:rsidR="00000000" w:rsidRPr="00937B05" w:rsidP="00937B05">
            <w:pPr>
              <w:pStyle w:val="BodyText"/>
            </w:pPr>
            <w:r w:rsidRPr="00937B05">
              <w:t xml:space="preserve">Legislative and regulatory requirements are applicable to this unit.  </w:t>
            </w:r>
          </w:p>
          <w:p w:rsidR="00000000" w:rsidRPr="00937B05" w:rsidP="00937B05">
            <w:pPr>
              <w:pStyle w:val="ListBullet"/>
            </w:pPr>
            <w:r w:rsidRPr="00937B05">
              <w:t>This unit is one of the requirements to obtain Australian Maritime Safety Authority (AMSA) certification as an Engineer Cl</w:t>
            </w:r>
            <w:r w:rsidRPr="00937B05">
              <w:t>ass 1 (STCW Chief Engineer Unlimited) or Engineer Class 2 (STCW Second Engineer Unlimited) and to meet regulatory requirements this unit must be delivered consistent with Marine Orders and with the relevant sections of the International Convention on Stand</w:t>
            </w:r>
            <w:r w:rsidRPr="00937B05">
              <w:t>ards of Training, Certification and Watchkeeping for Seafarers (STCW).</w:t>
            </w:r>
          </w:p>
          <w:p w:rsidR="00000000" w:rsidRPr="00937B05" w:rsidP="00937B05">
            <w:pPr>
              <w:pStyle w:val="ListBullet"/>
            </w:pPr>
            <w:r w:rsidRPr="00937B05">
              <w:t>Those regulatory requirements include STCW International Maritime Organization (IMO) model course competencies and areas of knowledge, understanding and proficiency, together with the e</w:t>
            </w:r>
            <w:r w:rsidRPr="00937B05">
              <w:t xml:space="preserve">stimated total hours required for lectures and practical exercises. Teaching staff </w:t>
            </w:r>
            <w:r w:rsidRPr="00937B05">
              <w:t>should note that timings are suggestions only and should be adapted to suit individual groups of trainees depending on their experience, ability, equipment and staff availab</w:t>
            </w:r>
            <w:r w:rsidRPr="00937B05">
              <w:t>le for training.</w:t>
            </w:r>
          </w:p>
          <w:p w:rsidR="00000000" w:rsidRPr="00937B05" w:rsidP="00937B05">
            <w:pPr>
              <w:pStyle w:val="BodyText"/>
            </w:pPr>
            <w:r w:rsidRPr="00937B05">
              <w:t>Training providers seeking to offer this unit of competency must gain AMSA approval before the unit is offered.</w:t>
            </w:r>
          </w:p>
          <w:p w:rsidR="00000000" w:rsidRPr="00937B05" w:rsidP="00937B05">
            <w:pPr>
              <w:pStyle w:val="BodyText"/>
            </w:pPr>
            <w:r w:rsidRPr="00937B05">
              <w:t>Seafarers seeking certification should check with AMSA.</w:t>
            </w:r>
          </w:p>
        </w:tc>
      </w:tr>
    </w:tbl>
    <w:p w:rsidR="00000000" w:rsidRPr="00937B05" w:rsidP="00937B05">
      <w:pPr>
        <w:pStyle w:val="NoPaddingFontSize1"/>
      </w:pPr>
    </w:p>
    <w:p w:rsidR="00000000" w:rsidRPr="00937B05" w:rsidP="00937B05">
      <w:pPr>
        <w:pStyle w:val="AllowPageBreak"/>
      </w:pPr>
    </w:p>
    <w:p w:rsidR="00000000" w:rsidRPr="00937B05" w:rsidP="00937B05">
      <w:pPr>
        <w:pStyle w:val="Heading1"/>
      </w:pPr>
      <w:bookmarkStart w:id="3" w:name="O_1285795"/>
      <w:bookmarkEnd w:id="3"/>
      <w:r w:rsidRPr="00937B0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7B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 w:rsidP="00937B05">
            <w:pPr>
              <w:pStyle w:val="BodyText"/>
            </w:pPr>
            <w:r w:rsidRPr="00937B05">
              <w:t>Not applicable.</w:t>
            </w:r>
          </w:p>
        </w:tc>
      </w:tr>
    </w:tbl>
    <w:p w:rsidR="00377145" w:rsidP="00937B05">
      <w:pPr>
        <w:pStyle w:val="NoPaddingFontSize1"/>
      </w:pPr>
    </w:p>
    <w:p w:rsidR="00377145" w:rsidP="00937B05">
      <w:pPr>
        <w:pStyle w:val="NoPaddingFontSize1"/>
      </w:pPr>
    </w:p>
    <w:p w:rsidR="00000000" w:rsidRPr="00937B05" w:rsidP="00937B05">
      <w:pPr>
        <w:pStyle w:val="Heading1"/>
      </w:pPr>
      <w:bookmarkStart w:id="4" w:name="O_1285794"/>
      <w:bookmarkEnd w:id="4"/>
      <w:r w:rsidRPr="00937B0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7B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 w:rsidP="00937B05">
            <w:pPr>
              <w:pStyle w:val="BodyText"/>
            </w:pPr>
            <w:r w:rsidRPr="00937B05">
              <w:t>L – Engineering</w:t>
            </w:r>
          </w:p>
        </w:tc>
      </w:tr>
    </w:tbl>
    <w:p w:rsidR="00377145" w:rsidP="00937B05">
      <w:pPr>
        <w:pStyle w:val="NoPaddingFontSize1"/>
      </w:pPr>
    </w:p>
    <w:p w:rsidR="00377145" w:rsidP="00937B05">
      <w:pPr>
        <w:pStyle w:val="NoPaddingFontSize1"/>
      </w:pPr>
    </w:p>
    <w:p w:rsidR="00000000" w:rsidRPr="00937B05" w:rsidP="00937B05">
      <w:pPr>
        <w:pStyle w:val="Heading1"/>
      </w:pPr>
      <w:bookmarkStart w:id="5" w:name="O_1285793"/>
      <w:bookmarkEnd w:id="5"/>
      <w:r w:rsidRPr="00937B0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7B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 w:rsidP="00937B05">
            <w:pPr>
              <w:pStyle w:val="BodyText"/>
            </w:pPr>
            <w:r w:rsidRPr="00937B05">
              <w:t>Not applicable.</w:t>
            </w:r>
          </w:p>
        </w:tc>
      </w:tr>
    </w:tbl>
    <w:p w:rsidR="00377145" w:rsidP="00937B05">
      <w:pPr>
        <w:pStyle w:val="NoPaddingFontSize1"/>
      </w:pPr>
    </w:p>
    <w:p w:rsidR="00377145" w:rsidP="00937B05">
      <w:pPr>
        <w:pStyle w:val="NoPaddingFontSize1"/>
      </w:pPr>
    </w:p>
    <w:p w:rsidR="00000000" w:rsidRPr="00937B05" w:rsidP="00937B05">
      <w:pPr>
        <w:pStyle w:val="Heading1"/>
      </w:pPr>
      <w:bookmarkStart w:id="6" w:name="O_1285792"/>
      <w:bookmarkEnd w:id="6"/>
      <w:r w:rsidRPr="00937B0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92"/>
        <w:gridCol w:w="1593"/>
        <w:gridCol w:w="59"/>
        <w:gridCol w:w="661"/>
        <w:gridCol w:w="6391"/>
      </w:tblGrid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 w:rsidP="00937B05">
            <w:pPr>
              <w:pStyle w:val="BodyText"/>
            </w:pPr>
            <w:r w:rsidRPr="00937B05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PERFORMANCE CRITERIA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Performance criteria describe the performance needed to demonstrate achievement of the element.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 w:rsidP="00937B05">
            <w:pPr>
              <w:pStyle w:val="BodyText"/>
            </w:pPr>
            <w:r w:rsidRPr="00937B05">
              <w:rPr>
                <w:rStyle w:val="SpecialBold"/>
              </w:rPr>
              <w:t xml:space="preserve">1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 w:rsidP="00937B05">
            <w:pPr>
              <w:pStyle w:val="BodyText"/>
            </w:pPr>
            <w:r w:rsidRPr="00937B05">
              <w:rPr>
                <w:rStyle w:val="SpecialBold"/>
              </w:rPr>
              <w:t>Analyse regulatory framework impacting on commercial shipping operations and survey requirements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Functions of IMO, its fields of influence, role of m</w:t>
            </w:r>
            <w:r w:rsidRPr="00937B05">
              <w:t>ember states, adoption of recommendations through maritime legislation and exemptions are analysed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Role of International Labour Organization (ILO) Convention in relation to dockyard and shipboard practices is analysed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Key provisions of Australian maritime legislation are analysed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Role of AMSA in relation to maritime safety, protection of marine environment, and aviation and marine search and rescue (SAR) is explained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Role of Flag State Administrations; purpose of the Navigation Act, Marine Notices, Marine Orders, Port State Control and other methods of implementation and enforcement of international agreements and conventions are analysed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Role of insurance unde</w:t>
            </w:r>
            <w:r w:rsidRPr="00937B05">
              <w:t>rwriters, protection and indemnity (P &amp; I) clubs and procedures for lodging claims following machinery failure and/or damage are analysed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 xml:space="preserve">Role of classification societies, International Association of Classification Societies (IACS) and Memorandum </w:t>
            </w:r>
            <w:r w:rsidRPr="00937B05">
              <w:t>of Agreement with Flag States is analysed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1.8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Role of ship owners and ship management companies regarding International Safety Management (ISM) Code and ship management responsibilities regarding operation and maintenance is analysed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1.9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Role of independent inspection agencies and adoption of inspection and maintenance guidelines for different ship types is analysed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1.10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STCW crew training requirements and implications for emergency response, administration, operation and maintenance a</w:t>
            </w:r>
            <w:r w:rsidRPr="00937B05">
              <w:t>re analysed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1.11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Key provisions of the Code of Safe Working Practice for Australian Seafarers are analysed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1.12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Areas of vessel covered by statutory surveys are identified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1.13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Statutory requirements for change of flag, owner and term expiry during layup are identified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1.14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Records and documentation required for statutory surveys, legislation and measures are identified to ensure protection of the marine environment and safet</w:t>
            </w:r>
            <w:r w:rsidRPr="00937B05">
              <w:t>y of life at sea are identified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1.15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Load line measurements and conditions of freeboard assignment are analysed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1.16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Key areas of maintenance and testing of load line items and actions for addressing identified maintenance requirements and defects are identified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1.17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Areas covered by safety construction surveys and associated faults, maintenance and repairs are ident</w:t>
            </w:r>
            <w:r w:rsidRPr="00937B05">
              <w:t>ified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1.18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Procedures for planning safety equipment surveys and actions for addressing identified maintenance requirements and defects are analysed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1.19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Requirements for survey preparation under the Internationa</w:t>
            </w:r>
            <w:r w:rsidRPr="00937B05">
              <w:t>l Convention for the Prevention of Pollution from Ships (MARPOL) are analysed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1.20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Survey requirements for cargo ship safety construction, safety equipment and safety radio certificates; passenger ship safety certificates; chemical tanker and gas carri</w:t>
            </w:r>
            <w:r w:rsidRPr="00937B05">
              <w:t>er certificates of fitness are analysed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1.21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Application of Port State Control surveys, Flag State jurisdiction and IMO guidelines in relation to vessel detention and identification of substandard ships are analysed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1.22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Substandard ship and factor</w:t>
            </w:r>
            <w:r w:rsidRPr="00937B05">
              <w:t>s causing ship detention are identified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 w:rsidP="00937B05">
            <w:pPr>
              <w:pStyle w:val="BodyText"/>
            </w:pPr>
            <w:r w:rsidRPr="00937B05">
              <w:rPr>
                <w:rStyle w:val="SpecialBold"/>
              </w:rPr>
              <w:t>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 w:rsidP="00937B05">
            <w:pPr>
              <w:pStyle w:val="BodyText"/>
            </w:pPr>
            <w:r w:rsidRPr="00937B05">
              <w:rPr>
                <w:rStyle w:val="SpecialBold"/>
              </w:rPr>
              <w:t>Analyse maintenance for classification surveys and maintain class certification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Common areas covered by classification surveys are analysed, reasons for class withdrawal are clarified and condition of class are explained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Survey methods are analysed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Terms of periodical, annual, renewal, intermediate and occasional surve</w:t>
            </w:r>
            <w:r w:rsidRPr="00937B05">
              <w:t>ys are identified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Common defects identified in classification surveys and appropriate remedial actions are analysed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Methods for repair and maintenance are analysed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Properties and repair techniques of ordinary and high tensile hull grades of steel are analysed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Processes and materials used in underwater hull repairs are assessed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2.8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Methods of minimising and controlling intern</w:t>
            </w:r>
            <w:r w:rsidRPr="00937B05">
              <w:t>al and external hull corrosion, including bacterial corrosion of bilges and fuel tanks, are evaluated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2.9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Drainage arrangements and connections to other systems of spaces outside the engine room are explained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2.10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Ballast main connections to fore a</w:t>
            </w:r>
            <w:r w:rsidRPr="00937B05">
              <w:t>nd after peak tanks are outlined and procedures for filling and emptying tanks are clarified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2.11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Examination and repair techniques for fixed pitch and controllable propellers are assessed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2.12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Dismantling, inspection, repair and re-assembly of thrusters and rudders are explained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2.13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Methods of performance testing shipboard pumping systems are evaluated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2.14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Causes of common faults and methods of assessment of shipboard pumping systems a</w:t>
            </w:r>
            <w:r w:rsidRPr="00937B05">
              <w:t>re identified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2.15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Condition monitoring of machinery is compared with planned maintenance systems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2.16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Causes of damage to and losses of bulk ships and tankers, and appropriate remedies are explained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2.17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Types and purpose of special and enhanced surveys are outlined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2.18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Hull life extension surveys and enhanced survey requirements for tankers and bulk ships are outlined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2.19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Different methods and applications of welding used in shipbuilding and repair are outlined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2.20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How materials are joined so that the strength of components is not impaired is confirmed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2.21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Different methods used to connect aluminium to steel are o</w:t>
            </w:r>
            <w:r w:rsidRPr="00937B05">
              <w:t>utlined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 w:rsidP="00937B05">
            <w:pPr>
              <w:pStyle w:val="BodyText"/>
            </w:pPr>
            <w:r w:rsidRPr="00937B05">
              <w:rPr>
                <w:rStyle w:val="SpecialBold"/>
              </w:rPr>
              <w:t>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 w:rsidP="00937B05">
            <w:pPr>
              <w:pStyle w:val="BodyText"/>
            </w:pPr>
            <w:r w:rsidRPr="00937B05">
              <w:rPr>
                <w:rStyle w:val="SpecialBold"/>
              </w:rPr>
              <w:t>Analyse factors influencing vessel stability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Theories and factors affecting trim and stability as well as measures necessary to preserve trim and stability are explained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IMO recommendations concerning ship stability are identified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Risks associated with carrying thixotropic bulk cargo, deck cargo or grain and consequences of cargo movement or loss are outlined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Damage and intact stability requirements for merchant ships, countermeasures for roll-on and roll-off (ro-ro) vessels and damage control assessment following collision or grounding is assessed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Operational procedures to minimise and control flooding</w:t>
            </w:r>
            <w:r w:rsidRPr="00937B05">
              <w:t xml:space="preserve"> are prepared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Stability requirements for routine and emergency dry docking, including stability assessment for the docking duration, are specified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3.7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Factors causing ship squat and other influences on vessel manoeuvrability are assessed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3.8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Stability documentation required for different ship types to satisfy International Convention for the Safety of Life at Sea (SOLAS) is identified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3.9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Intact and damage stability criteria are explained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7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3.10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Use of stabilisers is explained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7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3.11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Bilge keels and fin type stabilisers are compared and contrasted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3.12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How stabilisers are attached to the hull is explained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3.13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Hull stiffening requirements for fin and bilge keel types is explained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 w:rsidP="00937B05">
            <w:pPr>
              <w:pStyle w:val="BodyText"/>
            </w:pPr>
            <w:r w:rsidRPr="00937B05">
              <w:rPr>
                <w:rStyle w:val="SpecialBold"/>
              </w:rPr>
              <w:t>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 w:rsidP="00937B05">
            <w:pPr>
              <w:pStyle w:val="BodyText"/>
            </w:pPr>
            <w:r w:rsidRPr="00937B05">
              <w:rPr>
                <w:rStyle w:val="SpecialBold"/>
              </w:rPr>
              <w:t>Analyse IMDG Code requirements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Key principles of IMDG Code are analysed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Action plans for managing emergency situations onboard a vessel involving dangerous goods are developed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Criteria for evaluating effectiveness of action plans for managing emergency situations onboard</w:t>
            </w:r>
            <w:r w:rsidRPr="00937B05">
              <w:t xml:space="preserve"> a vessel involving dangerous goods are established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Requirements of ordering and taking bunkers, as well as discharging to shore side reception facilities, are specified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 w:rsidP="00937B05">
            <w:pPr>
              <w:pStyle w:val="BodyText"/>
            </w:pPr>
            <w:r w:rsidRPr="00937B05">
              <w:rPr>
                <w:rStyle w:val="SpecialBold"/>
              </w:rPr>
              <w:t>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 w:rsidP="00937B05">
            <w:pPr>
              <w:pStyle w:val="BodyText"/>
            </w:pPr>
            <w:r w:rsidRPr="00937B05">
              <w:rPr>
                <w:rStyle w:val="SpecialBold"/>
              </w:rPr>
              <w:t>Analyse safe working practices in enclosed spaces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Function, status and limitations of chemist certificate of compliance is explained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Dangers of using cleaning solvents and painting in enclosed spaces using product safety data sheets (SDS)/material safety data sheets (MSDS) and work health and safe</w:t>
            </w:r>
            <w:r w:rsidRPr="00937B05">
              <w:t>ty (WHS)/occupational health and safety (OHS) guidelines are assessed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 w:rsidP="00937B05">
            <w:pPr>
              <w:pStyle w:val="BodyText"/>
            </w:pPr>
            <w:r w:rsidRPr="00937B05">
              <w:rPr>
                <w:rStyle w:val="SpecialBold"/>
              </w:rPr>
              <w:t>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 w:rsidP="00937B05">
            <w:pPr>
              <w:pStyle w:val="BodyText"/>
            </w:pPr>
            <w:r w:rsidRPr="00937B05">
              <w:rPr>
                <w:rStyle w:val="SpecialBold"/>
              </w:rPr>
              <w:t>Analyse dry docking procedures and responsibilities of engineering staff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6.1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 xml:space="preserve">Dockyard contract, docking specifications and survey requirements are used to plan preparation of vessel </w:t>
            </w:r>
            <w:r w:rsidRPr="00937B05">
              <w:t>for docking, explaining variations required for emergency docking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6.2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Dock work schedules, responsibilities for engineering personnel and procedures for dock entry, duration and re-floating are prepared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6.3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Inspection and maintenance procedur</w:t>
            </w:r>
            <w:r w:rsidRPr="00937B05">
              <w:t>es for hull and machinery items in dock are explained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6.4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In-water hull cleaning methods and preparation essential for in-water surveys are evaluated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6.5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Types and application procedures of coatings used to protect ship hulls and tanks are identified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6.6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Procedures for vessel layup to satisfy class, insurance, owner and statutory requirements are prepared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6.7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Inspection and reactivation processes af</w:t>
            </w:r>
            <w:r w:rsidRPr="00937B05">
              <w:t>ter prolonged layup are outlined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 w:rsidP="00937B05">
            <w:pPr>
              <w:pStyle w:val="BodyText"/>
            </w:pPr>
            <w:r w:rsidRPr="00937B05">
              <w:rPr>
                <w:rStyle w:val="SpecialBold"/>
              </w:rPr>
              <w:t>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 w:rsidP="00937B05">
            <w:pPr>
              <w:pStyle w:val="BodyText"/>
            </w:pPr>
            <w:r w:rsidRPr="00937B05">
              <w:rPr>
                <w:rStyle w:val="SpecialBold"/>
              </w:rPr>
              <w:t>Analyse shipboard vibration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7.1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Appropriate terms are applied when describing vibration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7.2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Influence of materials, construction, loading patterns and ship type on natural hull vibration patterns is assessed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7.3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Significance of hull response to excitation by sea state, machinery and propulsion systems is explained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7.4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Methods of prediction and in-service assessment of resonant vibration are evaluated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7.5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Vibration-related structural and equipment damage and failure is identified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7.6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Solutions to troublesome vibration are proposed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7.7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Acceptable vibration limits using relevant standards are established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 w:rsidP="00937B05">
            <w:pPr>
              <w:pStyle w:val="BodyText"/>
            </w:pPr>
            <w:r w:rsidRPr="00937B05">
              <w:rPr>
                <w:rStyle w:val="SpecialBold"/>
              </w:rPr>
              <w:t>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 w:rsidP="00937B05">
            <w:pPr>
              <w:pStyle w:val="BodyText"/>
            </w:pPr>
            <w:r w:rsidRPr="00937B05">
              <w:rPr>
                <w:rStyle w:val="SpecialBold"/>
              </w:rPr>
              <w:t>Analyse vessel bunkering requirements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8.1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R</w:t>
            </w:r>
            <w:r w:rsidRPr="00937B05">
              <w:t>equirements for bunkering orders are analysed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8.2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Procedures for taking bunkers are analysed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8.3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Bunkering guidelines for spills and fire are analysed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8.4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Methods and requirements for sampling fuels are analysed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8.5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Procedures for assessing the quality and quantity of fuels are explained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8.6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Communication requirements and procedures during bunkering operations are analysed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8.7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Methods for monitoring levels and facilitating changeover of tanks are analysed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 w:rsidP="00937B05">
            <w:pPr>
              <w:pStyle w:val="BodyText"/>
            </w:pPr>
            <w:r w:rsidRPr="00937B05">
              <w:rPr>
                <w:rStyle w:val="SpecialBold"/>
              </w:rPr>
              <w:t>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 w:rsidP="00937B05">
            <w:pPr>
              <w:pStyle w:val="BodyText"/>
            </w:pPr>
            <w:r w:rsidRPr="00937B05">
              <w:rPr>
                <w:rStyle w:val="SpecialBold"/>
              </w:rPr>
              <w:t>Outline maintenance, repair and safe working practices associated with lifting and lifesaving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9.1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Safe working practices applicable to cranes, chain blocks, items of loose gear and other lifting equipment are identified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9.2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Safety and protective devices used in conjunction with lifting gear are identified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9.3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Means of testing and adjusting lifting gear are confirmed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9.4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Legislative and regulatory requirements for inspection, storage and maintenance of lifting gear are</w:t>
            </w:r>
            <w:r w:rsidRPr="00937B05">
              <w:t xml:space="preserve"> outlined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9.5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Purposes and procedures involved in annual and quadrennial surveys of cargo gear are clarified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9.6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Procedures for safe working load (SWL) and proof load tests, including lifeboat launching gear, are clarified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9.7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Safe working practices applicable to rigging and lifting heavy items during maintenance and repair are identified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9.8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Installation, operation and maintenance of lifesaving appliances and launching equipment are outlined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9.9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Safety and protective devices associated with lifesaving appliances and launching equipment are confirmed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 w:rsidP="00937B05">
            <w:pPr>
              <w:pStyle w:val="BodyText"/>
            </w:pPr>
            <w:r w:rsidRPr="00937B05">
              <w:rPr>
                <w:rStyle w:val="SpecialBold"/>
              </w:rPr>
              <w:t>10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 w:rsidP="00937B05">
            <w:pPr>
              <w:pStyle w:val="BodyText"/>
            </w:pPr>
            <w:r w:rsidRPr="00937B05">
              <w:rPr>
                <w:rStyle w:val="SpecialBold"/>
              </w:rPr>
              <w:t>Outline operation of an inert gas system for a tanker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10.1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Construction, operation and maintenance of individual components of inert gas system (</w:t>
            </w:r>
            <w:r w:rsidRPr="00937B05">
              <w:t>IGS) are explained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10.2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Mandatory controls, alarms and cut-outs are identified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 w:rsidP="00937B05">
            <w:pPr>
              <w:pStyle w:val="BodyText"/>
            </w:pPr>
            <w:r w:rsidRPr="00937B05">
              <w:rPr>
                <w:rStyle w:val="SpecialBold"/>
              </w:rPr>
              <w:t>11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 w:rsidP="00937B05">
            <w:pPr>
              <w:pStyle w:val="BodyText"/>
            </w:pPr>
            <w:r w:rsidRPr="00937B05">
              <w:rPr>
                <w:rStyle w:val="SpecialBold"/>
              </w:rPr>
              <w:t>Outline components of vessels, frame and deck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11.1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Correct terms to describe size and shape of vessels are used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7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11.2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Correct terms to describe structural components of vessels are used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11.3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Correct terms to describe size or cargo carrying capacity of vessels are used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11.4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Online and other sources of information on size, shape and structural components of vessels are accessed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11.5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Longitudinal, transverse and combined framing are compared and contrasted in relation to ship strength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11.6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 xml:space="preserve">Position, purpose and </w:t>
            </w:r>
            <w:r w:rsidRPr="00937B05">
              <w:t>construction of a deep frame are explained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11.7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Transition methods from one frame type to another are outlined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11.8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How the strength of frames is maintained when connecting to deck beams and other strength members is explained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11.9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How stress raisers are reduced around hatchways, door openings, forecastle, bridge structure, watertight doors and gastight doors is explained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11.10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Bilge keels structure with particular reference to fitment to hull is outlined and purpose for this type of fitting is explained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11.11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Classification requirements and restrictions of sheer strake, keel strake and garboard strake are examined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11.12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Requirements for use of suction and discharge valves and fittings in the shell above and below the waterline are outlined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11.13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Strength members required for deck machinery are outlined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5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 w:rsidP="00937B05">
            <w:pPr>
              <w:pStyle w:val="BodyText"/>
            </w:pPr>
            <w:r w:rsidRPr="00937B05">
              <w:rPr>
                <w:rStyle w:val="SpecialBold"/>
              </w:rPr>
              <w:t>12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 w:rsidP="00937B05">
            <w:pPr>
              <w:pStyle w:val="BodyText"/>
            </w:pPr>
            <w:r w:rsidRPr="00937B05">
              <w:rPr>
                <w:rStyle w:val="SpecialBold"/>
              </w:rPr>
              <w:t>Explain static and dynamic forces and moments exerted on hull of a vessel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12.1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Correct terms to describe effects of forces exerted on hull are used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12.2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Various forces acting on the vessel are analysed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12.3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Stresses on various components of the hull are compared as a result of these forces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3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12.4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Differentiation is made between panting and pounding forces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8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12.5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How forepeak sections are strengthened to resist panting and pounding forces is explained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12.6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Anchor and cable arrangements in forepeak tank are explained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2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12.7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Strength members in afterpeak sections are outlined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2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12.8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Different rudder support arrangements are clarified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3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 w:rsidP="00937B05">
            <w:pPr>
              <w:pStyle w:val="BodyText"/>
            </w:pPr>
            <w:r w:rsidRPr="00937B05">
              <w:rPr>
                <w:rStyle w:val="SpecialBold"/>
              </w:rPr>
              <w:t>13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 w:rsidP="00937B05">
            <w:pPr>
              <w:pStyle w:val="BodyText"/>
            </w:pPr>
            <w:r w:rsidRPr="00937B05">
              <w:rPr>
                <w:rStyle w:val="SpecialBold"/>
              </w:rPr>
              <w:t>Explain how vessel structure is designed to resist distortion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13.1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Scantlings are defined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13.2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Classification society rules for determining scantling sizes are identified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7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13.3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Main strength members of vessel hull are identified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7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13.4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Importance of maintaining integrity of principal strength members is explained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5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 w:rsidP="00937B05">
            <w:pPr>
              <w:pStyle w:val="BodyText"/>
            </w:pPr>
            <w:r w:rsidRPr="00937B05">
              <w:rPr>
                <w:rStyle w:val="SpecialBold"/>
              </w:rPr>
              <w:t>14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 w:rsidP="00937B05">
            <w:pPr>
              <w:pStyle w:val="BodyText"/>
            </w:pPr>
            <w:r w:rsidRPr="00937B05">
              <w:rPr>
                <w:rStyle w:val="SpecialBold"/>
              </w:rPr>
              <w:t>Explain bottom structure, forepeak and afterpeak of vessels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14.1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Differentiation is made between different types of keel construction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7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14.2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Advantages and disadvantage of duct keel in relation to ship strength are explained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14.3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How safe access to the duct keel is obtained, is outlined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14.4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Longitudinally framed double bottom construction is distinguished from a transversely framed double bottom construction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14.5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Differentiation is made between bracket floors and plate floors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14.6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Structural requirements for supporting different types</w:t>
            </w:r>
            <w:r w:rsidRPr="00937B05">
              <w:t xml:space="preserve"> of main engines are outlined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14.7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Classification society rules for construction of forepeak and afterpeak sections are explained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3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 w:rsidP="00937B05">
            <w:pPr>
              <w:pStyle w:val="BodyText"/>
            </w:pPr>
            <w:r w:rsidRPr="00937B05">
              <w:rPr>
                <w:rStyle w:val="SpecialBold"/>
              </w:rPr>
              <w:t>15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 w:rsidP="00937B05">
            <w:pPr>
              <w:pStyle w:val="BodyText"/>
            </w:pPr>
            <w:r w:rsidRPr="00937B05">
              <w:rPr>
                <w:rStyle w:val="SpecialBold"/>
              </w:rPr>
              <w:t>Explain construction of watertight bulkheads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15.1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Purpose of bulkheads is stated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15.2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Minimum number of bulkheads and their locations are determined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2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15.3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Bulkhead is sketched showing construction and attachment to hull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7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15.4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Purpose, construction and location of collision bulkheads is outlined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15.5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Test procedures for bulkheads are clarified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3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15.6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How strength is maintained in openings is explained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7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15.7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Requirements for penetration of collision bulkhead are stated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2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15.8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Situations in which non-watertight bulkheads are fitted are identified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2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 w:rsidP="00937B05">
            <w:pPr>
              <w:pStyle w:val="BodyText"/>
            </w:pPr>
            <w:r w:rsidRPr="00937B05">
              <w:rPr>
                <w:rStyle w:val="SpecialBold"/>
              </w:rPr>
              <w:t>16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 w:rsidP="00937B05">
            <w:pPr>
              <w:pStyle w:val="BodyText"/>
            </w:pPr>
            <w:r w:rsidRPr="00937B05">
              <w:rPr>
                <w:rStyle w:val="SpecialBold"/>
              </w:rPr>
              <w:t>Outline vessel ventilation systems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16.1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t>Different types of ventilation systems are clarified</w:t>
            </w:r>
          </w:p>
        </w:tc>
      </w:tr>
      <w:tr w:rsidTr="003771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B05">
            <w:pPr>
              <w:pStyle w:val="BodyText"/>
              <w:rPr>
                <w:lang w:val="en-NZ"/>
              </w:rPr>
            </w:pPr>
            <w:r w:rsidRPr="00937B05">
              <w:rPr>
                <w:rStyle w:val="SpecialBold"/>
              </w:rPr>
              <w:t>16.2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 w:rsidP="00937B05">
            <w:pPr>
              <w:pStyle w:val="BodyText"/>
            </w:pPr>
            <w:r w:rsidRPr="00937B05">
              <w:t>Why ventilator cowls are required is explained</w:t>
            </w:r>
          </w:p>
        </w:tc>
      </w:tr>
    </w:tbl>
    <w:p w:rsidR="00377145" w:rsidP="00937B05">
      <w:pPr>
        <w:pStyle w:val="NoPaddingFontSize1"/>
      </w:pPr>
    </w:p>
    <w:p w:rsidR="00377145" w:rsidP="00937B05">
      <w:pPr>
        <w:pStyle w:val="NoPaddingFontSize1"/>
      </w:pPr>
    </w:p>
    <w:p w:rsidR="00000000" w:rsidRPr="00937B05" w:rsidP="00937B05">
      <w:pPr>
        <w:pStyle w:val="Heading1"/>
      </w:pPr>
      <w:bookmarkStart w:id="7" w:name="O_1285791"/>
      <w:bookmarkEnd w:id="7"/>
      <w:r w:rsidRPr="00937B0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7B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 w:rsidP="00937B05">
            <w:pPr>
              <w:pStyle w:val="BodyText"/>
            </w:pPr>
            <w:r w:rsidRPr="00937B05">
              <w:t>Foundation skills essential to performance are explicit in the performance criteria of this unit of competency.</w:t>
            </w:r>
          </w:p>
        </w:tc>
      </w:tr>
    </w:tbl>
    <w:p w:rsidR="00377145" w:rsidP="00937B05">
      <w:pPr>
        <w:pStyle w:val="NoPaddingFontSize1"/>
      </w:pPr>
    </w:p>
    <w:p w:rsidR="00377145" w:rsidP="00937B05">
      <w:pPr>
        <w:pStyle w:val="NoPaddingFontSize1"/>
      </w:pPr>
    </w:p>
    <w:p w:rsidR="00000000" w:rsidRPr="00937B05" w:rsidP="00937B05">
      <w:pPr>
        <w:pStyle w:val="Heading1"/>
      </w:pPr>
      <w:bookmarkStart w:id="8" w:name="O_1285790"/>
      <w:bookmarkEnd w:id="8"/>
      <w:r w:rsidRPr="00937B0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7B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 w:rsidP="00937B05">
            <w:pPr>
              <w:pStyle w:val="BodyText"/>
            </w:pPr>
            <w:r w:rsidRPr="00937B05">
              <w:t>Range is restricted to essential operating conditions and any other variables essential to the work environment.</w:t>
            </w:r>
          </w:p>
        </w:tc>
      </w:tr>
    </w:tbl>
    <w:p w:rsidR="00377145" w:rsidP="00937B05">
      <w:pPr>
        <w:pStyle w:val="NoPaddingFontSize1"/>
      </w:pPr>
    </w:p>
    <w:p w:rsidR="00377145" w:rsidP="00937B05">
      <w:pPr>
        <w:pStyle w:val="NoPaddingFontSize1"/>
      </w:pPr>
    </w:p>
    <w:p w:rsidR="00000000" w:rsidRPr="00937B05" w:rsidP="00937B05">
      <w:pPr>
        <w:pStyle w:val="Heading1"/>
      </w:pPr>
      <w:bookmarkStart w:id="9" w:name="O_1285789"/>
      <w:bookmarkEnd w:id="9"/>
      <w:r w:rsidRPr="00937B0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7B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B05" w:rsidP="00937B05">
            <w:pPr>
              <w:pStyle w:val="BodyText"/>
            </w:pPr>
            <w:r w:rsidRPr="00937B05">
              <w:t>This unit replaces and is not equivalent to MARL036 Demonstrate advanced knowledge of ship opera</w:t>
            </w:r>
            <w:r w:rsidRPr="00937B05">
              <w:t>tion and maintenance.</w:t>
            </w:r>
          </w:p>
          <w:p w:rsidR="00000000" w:rsidRPr="00937B05" w:rsidP="00937B05">
            <w:pPr>
              <w:pStyle w:val="BodyText"/>
            </w:pPr>
            <w:r w:rsidRPr="00937B05">
              <w:t>This unit replaces and is not equivalent to MARL023 Demonstrate basic knowledge of ship operation and maintenance.</w:t>
            </w:r>
          </w:p>
          <w:p w:rsidR="00000000" w:rsidRPr="00937B05" w:rsidP="00937B05">
            <w:pPr>
              <w:pStyle w:val="BodyText"/>
            </w:pPr>
            <w:r w:rsidRPr="00937B05">
              <w:t>This unit replaces and is not equivalent to MARL022 Demonstrate basic knowledge of ship construction.</w:t>
            </w:r>
          </w:p>
        </w:tc>
      </w:tr>
    </w:tbl>
    <w:p w:rsidR="00377145" w:rsidP="00937B05">
      <w:pPr>
        <w:pStyle w:val="NoPaddingFontSize1"/>
      </w:pPr>
    </w:p>
    <w:p w:rsidR="00377145" w:rsidP="00937B05">
      <w:pPr>
        <w:pStyle w:val="NoPaddingFontSize1"/>
      </w:pPr>
    </w:p>
    <w:p w:rsidR="00000000" w:rsidRPr="00937B05" w:rsidP="00937B05">
      <w:pPr>
        <w:pStyle w:val="Heading1"/>
      </w:pPr>
      <w:bookmarkStart w:id="10" w:name="O_1285798"/>
      <w:bookmarkEnd w:id="10"/>
      <w:r w:rsidRPr="00937B05">
        <w:t>Links</w:t>
      </w:r>
    </w:p>
    <w:p w:rsidR="00000000" w:rsidRPr="00937B05" w:rsidP="00377145">
      <w:pPr>
        <w:pStyle w:val="BodyText"/>
      </w:pPr>
      <w:r w:rsidRPr="00937B0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A20761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937B05" w:rsidP="00937B05"/>
    <w:sectPr w:rsidSect="00937B0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B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B05" w:rsidRPr="00377145" w:rsidP="003771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B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145" w:rsidP="00937B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377145" w:rsidP="00937B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377145" w:rsidP="00937B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B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1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7B05" w:rsidRPr="00377145" w:rsidP="003771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B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145" w:rsidRPr="002D2AF8" w:rsidP="00937B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MARL053 Demonstrate advanced knowledge of ship operations and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2024</w:t>
    </w:r>
    <w:r>
      <w:fldChar w:fldCharType="end"/>
    </w:r>
  </w:p>
  <w:p w:rsidR="00377145" w:rsidP="00937B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35C10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ACE5F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7B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7B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7B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7B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7B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7B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7B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7B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7B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7B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7B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7B05"/>
  </w:style>
  <w:style w:type="character" w:customStyle="1" w:styleId="Heading1Char">
    <w:name w:val="Heading 1 Char"/>
    <w:basedOn w:val="DefaultParagraphFont"/>
    <w:link w:val="Heading1"/>
    <w:rsid w:val="00937B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7B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7B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37B0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37B05"/>
    <w:rPr>
      <w:b/>
      <w:spacing w:val="0"/>
    </w:rPr>
  </w:style>
  <w:style w:type="paragraph" w:customStyle="1" w:styleId="SuperHeading">
    <w:name w:val="SuperHeading"/>
    <w:basedOn w:val="Normal"/>
    <w:rsid w:val="00937B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7B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37B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7B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7B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7B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7B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7B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7B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7B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7B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7B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7B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7B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7B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7B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7B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7B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7B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7B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7B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37B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37B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7B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7B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37B0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37B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7B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7B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7B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7B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7B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7B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7B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7B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7B05"/>
    <w:rPr>
      <w:i/>
    </w:rPr>
  </w:style>
  <w:style w:type="paragraph" w:styleId="Caption">
    <w:name w:val="caption"/>
    <w:basedOn w:val="BodyText"/>
    <w:next w:val="Normal"/>
    <w:qFormat/>
    <w:rsid w:val="00937B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7B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7B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7B05"/>
  </w:style>
  <w:style w:type="paragraph" w:styleId="TableofFigures">
    <w:name w:val="table of figures"/>
    <w:basedOn w:val="Normal"/>
    <w:next w:val="Normal"/>
    <w:semiHidden/>
    <w:rsid w:val="00937B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7B0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37B05"/>
    <w:rPr>
      <w:rFonts w:ascii="Wingdings" w:hAnsi="Wingdings"/>
    </w:rPr>
  </w:style>
  <w:style w:type="paragraph" w:customStyle="1" w:styleId="TableHeading">
    <w:name w:val="Table Heading"/>
    <w:basedOn w:val="HeadingBase"/>
    <w:rsid w:val="00937B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7B05"/>
    <w:rPr>
      <w:color w:val="0033CC"/>
      <w:u w:val="none"/>
    </w:rPr>
  </w:style>
  <w:style w:type="paragraph" w:customStyle="1" w:styleId="BodyTextRight">
    <w:name w:val="Body Text Right"/>
    <w:basedOn w:val="BodyText"/>
    <w:rsid w:val="00937B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7B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7B0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7B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7B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7B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7B05"/>
    <w:rPr>
      <w:sz w:val="32"/>
    </w:rPr>
  </w:style>
  <w:style w:type="paragraph" w:customStyle="1" w:styleId="HeadingProcedure">
    <w:name w:val="Heading Procedure"/>
    <w:basedOn w:val="HeadingBase"/>
    <w:next w:val="Normal"/>
    <w:rsid w:val="00937B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7B05"/>
    <w:pPr>
      <w:spacing w:before="60" w:after="60"/>
    </w:pPr>
  </w:style>
  <w:style w:type="paragraph" w:styleId="ListContinue">
    <w:name w:val="List Continue"/>
    <w:basedOn w:val="List"/>
    <w:rsid w:val="00937B05"/>
    <w:pPr>
      <w:ind w:firstLine="0"/>
    </w:pPr>
  </w:style>
  <w:style w:type="paragraph" w:customStyle="1" w:styleId="ListNote">
    <w:name w:val="List Note"/>
    <w:basedOn w:val="List"/>
    <w:rsid w:val="00937B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7B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7B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7B05"/>
    <w:rPr>
      <w:rFonts w:ascii="Courier New" w:hAnsi="Courier New"/>
    </w:rPr>
  </w:style>
  <w:style w:type="paragraph" w:customStyle="1" w:styleId="NoteBullet">
    <w:name w:val="Note Bullet"/>
    <w:basedOn w:val="Note"/>
    <w:rsid w:val="00937B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7B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7B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7B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7B0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37B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7B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7B05"/>
    <w:rPr>
      <w:b/>
      <w:smallCaps/>
    </w:rPr>
  </w:style>
  <w:style w:type="paragraph" w:customStyle="1" w:styleId="TableListNumber">
    <w:name w:val="Table List Number"/>
    <w:basedOn w:val="ListNumber"/>
    <w:rsid w:val="00937B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7B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7B05"/>
    <w:pPr>
      <w:numPr>
        <w:numId w:val="8"/>
      </w:numPr>
    </w:pPr>
  </w:style>
  <w:style w:type="paragraph" w:customStyle="1" w:styleId="ListAlpha2">
    <w:name w:val="List Alpha 2"/>
    <w:basedOn w:val="List2"/>
    <w:rsid w:val="00937B05"/>
    <w:pPr>
      <w:numPr>
        <w:numId w:val="7"/>
      </w:numPr>
    </w:pPr>
  </w:style>
  <w:style w:type="paragraph" w:styleId="List2">
    <w:name w:val="List 2"/>
    <w:basedOn w:val="BodyText"/>
    <w:rsid w:val="00937B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7B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7B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7B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7B0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7B0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37B05"/>
    <w:pPr>
      <w:numPr>
        <w:numId w:val="3"/>
      </w:numPr>
    </w:pPr>
  </w:style>
  <w:style w:type="paragraph" w:styleId="ListContinue2">
    <w:name w:val="List Continue 2"/>
    <w:basedOn w:val="List2"/>
    <w:rsid w:val="00937B05"/>
    <w:pPr>
      <w:ind w:firstLine="0"/>
    </w:pPr>
  </w:style>
  <w:style w:type="paragraph" w:styleId="ListContinue3">
    <w:name w:val="List Continue 3"/>
    <w:basedOn w:val="List3"/>
    <w:rsid w:val="00937B05"/>
    <w:pPr>
      <w:ind w:left="1021" w:firstLine="0"/>
    </w:pPr>
  </w:style>
  <w:style w:type="paragraph" w:styleId="ListContinue4">
    <w:name w:val="List Continue 4"/>
    <w:basedOn w:val="List4"/>
    <w:rsid w:val="00937B05"/>
    <w:pPr>
      <w:ind w:firstLine="0"/>
    </w:pPr>
  </w:style>
  <w:style w:type="paragraph" w:styleId="ListContinue5">
    <w:name w:val="List Continue 5"/>
    <w:basedOn w:val="List5"/>
    <w:rsid w:val="00937B05"/>
    <w:pPr>
      <w:ind w:firstLine="0"/>
    </w:pPr>
  </w:style>
  <w:style w:type="paragraph" w:styleId="ListNumber3">
    <w:name w:val="List Number 3"/>
    <w:basedOn w:val="List3"/>
    <w:rsid w:val="00937B05"/>
    <w:pPr>
      <w:numPr>
        <w:numId w:val="4"/>
      </w:numPr>
    </w:pPr>
  </w:style>
  <w:style w:type="paragraph" w:styleId="ListNumber4">
    <w:name w:val="List Number 4"/>
    <w:basedOn w:val="List4"/>
    <w:rsid w:val="00937B05"/>
    <w:pPr>
      <w:numPr>
        <w:numId w:val="5"/>
      </w:numPr>
    </w:pPr>
  </w:style>
  <w:style w:type="paragraph" w:styleId="ListNumber5">
    <w:name w:val="List Number 5"/>
    <w:basedOn w:val="List5"/>
    <w:rsid w:val="00937B05"/>
    <w:pPr>
      <w:numPr>
        <w:numId w:val="6"/>
      </w:numPr>
    </w:pPr>
  </w:style>
  <w:style w:type="paragraph" w:styleId="BlockText">
    <w:name w:val="Block Text"/>
    <w:basedOn w:val="Normal"/>
    <w:rsid w:val="00937B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7B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7B05"/>
    <w:rPr>
      <w:sz w:val="16"/>
      <w:vertAlign w:val="superscript"/>
    </w:rPr>
  </w:style>
  <w:style w:type="character" w:customStyle="1" w:styleId="Symbols">
    <w:name w:val="Symbols"/>
    <w:basedOn w:val="DefaultParagraphFont"/>
    <w:rsid w:val="00937B05"/>
    <w:rPr>
      <w:rFonts w:ascii="Symbol" w:hAnsi="Symbol"/>
    </w:rPr>
  </w:style>
  <w:style w:type="character" w:customStyle="1" w:styleId="MenuOptions">
    <w:name w:val="Menu Options"/>
    <w:basedOn w:val="DefaultParagraphFont"/>
    <w:rsid w:val="00937B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7B05"/>
    <w:rPr>
      <w:b/>
    </w:rPr>
  </w:style>
  <w:style w:type="character" w:customStyle="1" w:styleId="Underlined">
    <w:name w:val="Underlined"/>
    <w:basedOn w:val="DefaultParagraphFont"/>
    <w:rsid w:val="00937B05"/>
    <w:rPr>
      <w:u w:val="single"/>
    </w:rPr>
  </w:style>
  <w:style w:type="paragraph" w:customStyle="1" w:styleId="TableBodyTextRight">
    <w:name w:val="Table Body Text Right"/>
    <w:basedOn w:val="TableBodyText"/>
    <w:rsid w:val="00937B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7B05"/>
    <w:rPr>
      <w:sz w:val="18"/>
    </w:rPr>
  </w:style>
  <w:style w:type="paragraph" w:customStyle="1" w:styleId="BodySmallRight">
    <w:name w:val="Body Small Right"/>
    <w:basedOn w:val="BodyTextRight"/>
    <w:rsid w:val="00937B05"/>
    <w:rPr>
      <w:sz w:val="18"/>
      <w:szCs w:val="18"/>
    </w:rPr>
  </w:style>
  <w:style w:type="paragraph" w:customStyle="1" w:styleId="MarginEdition">
    <w:name w:val="Margin Edition"/>
    <w:basedOn w:val="MarginNote"/>
    <w:rsid w:val="00937B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7B05"/>
    <w:rPr>
      <w:sz w:val="2"/>
      <w:szCs w:val="2"/>
    </w:rPr>
  </w:style>
  <w:style w:type="character" w:customStyle="1" w:styleId="Small">
    <w:name w:val="Small"/>
    <w:basedOn w:val="DefaultParagraphFont"/>
    <w:rsid w:val="00937B05"/>
    <w:rPr>
      <w:sz w:val="16"/>
    </w:rPr>
  </w:style>
  <w:style w:type="paragraph" w:customStyle="1" w:styleId="WideTable">
    <w:name w:val="Wide Table"/>
    <w:basedOn w:val="Normal"/>
    <w:rsid w:val="00937B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7B05"/>
  </w:style>
  <w:style w:type="paragraph" w:styleId="Quote">
    <w:name w:val="Quote"/>
    <w:basedOn w:val="Heading1"/>
    <w:link w:val="QuoteChar"/>
    <w:qFormat/>
    <w:rsid w:val="00937B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7B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7B05"/>
    <w:pPr>
      <w:pageBreakBefore/>
    </w:pPr>
  </w:style>
  <w:style w:type="paragraph" w:customStyle="1" w:styleId="Border">
    <w:name w:val="Border"/>
    <w:basedOn w:val="Normal"/>
    <w:qFormat/>
    <w:rsid w:val="00937B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7B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7B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7B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7B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7B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7B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7B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7B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7B05"/>
    <w:rPr>
      <w:u w:val="single"/>
    </w:rPr>
  </w:style>
  <w:style w:type="character" w:customStyle="1" w:styleId="BoldandItalics">
    <w:name w:val="Bold and Italics"/>
    <w:qFormat/>
    <w:rsid w:val="00937B05"/>
    <w:rPr>
      <w:b/>
      <w:i/>
      <w:u w:val="none"/>
    </w:rPr>
  </w:style>
  <w:style w:type="paragraph" w:styleId="BalloonText">
    <w:name w:val="Balloon Text"/>
    <w:basedOn w:val="Normal"/>
    <w:link w:val="BalloonTextChar"/>
    <w:rsid w:val="00937B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7B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7B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7B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7B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7B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7B05"/>
    <w:pPr>
      <w:spacing w:before="0" w:after="0"/>
    </w:pPr>
  </w:style>
  <w:style w:type="paragraph" w:customStyle="1" w:styleId="BodyTextBold">
    <w:name w:val="Body Text Bold"/>
    <w:basedOn w:val="BodyText"/>
    <w:qFormat/>
    <w:rsid w:val="00937B05"/>
    <w:rPr>
      <w:b/>
    </w:rPr>
  </w:style>
  <w:style w:type="character" w:styleId="Hyperlink">
    <w:name w:val="Hyperlink"/>
    <w:basedOn w:val="DefaultParagraphFont"/>
    <w:uiPriority w:val="99"/>
    <w:unhideWhenUsed/>
    <w:rsid w:val="003771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2656</Words>
  <Characters>16075</Characters>
  <Application>Microsoft Office Word</Application>
  <DocSecurity>0</DocSecurity>
  <Lines>846</Lines>
  <Paragraphs>416</Paragraphs>
  <ScaleCrop>false</ScaleCrop>
  <Company>Author-it Software Corporation Ltd.</Company>
  <LinksUpToDate>false</LinksUpToDate>
  <CharactersWithSpaces>18315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MARL053 Demonstrate advanced knowledge of ship operations and maintenance</dc:title>
  <dc:subject>Approved</dc:subject>
  <dc:creator>Industry Skills Australia</dc:creator>
  <cp:keywords>Release: 3</cp:keywords>
  <dc:description>Review Date: 12 April 2008</dc:description>
  <cp:lastModifiedBy>HSD_TPCMSd.prod</cp:lastModifiedBy>
  <cp:revision>3</cp:revision>
  <dcterms:created xsi:type="dcterms:W3CDTF">2024-11-25T11:12:00Z</dcterms:created>
  <dcterms:modified xsi:type="dcterms:W3CDTF">2024-11-25T11:12:00Z</dcterms:modified>
</cp:coreProperties>
</file>