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4D9" w:rsidP="009004D9">
      <w:pPr>
        <w:pStyle w:val="Title"/>
      </w:pPr>
      <w:r>
        <w:fldChar w:fldCharType="begin"/>
      </w:r>
      <w:r>
        <w:instrText xml:space="preserve"> TITLE   \* MERGEFORMAT </w:instrText>
      </w:r>
      <w:r>
        <w:fldChar w:fldCharType="separate"/>
      </w:r>
      <w:r>
        <w:t>MARL052 Demonstrate advanced knowledge of marine steam turbines and main boilers</w:t>
      </w:r>
      <w:r>
        <w:fldChar w:fldCharType="end"/>
      </w:r>
    </w:p>
    <w:p w:rsidR="009004D9" w:rsidP="009004D9">
      <w:pPr>
        <w:pStyle w:val="Version"/>
        <w:sectPr w:rsidSect="005646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67A" w:rsidP="0056467A">
      <w:pPr>
        <w:pStyle w:val="SuperHeading"/>
      </w:pPr>
      <w:r w:rsidRPr="0056467A">
        <w:t>MARL052 Demonstrate advanced knowledge of marine steam turbines and main boilers</w:t>
      </w:r>
    </w:p>
    <w:p w:rsidR="00000000" w:rsidRPr="0056467A" w:rsidP="0056467A">
      <w:pPr>
        <w:pStyle w:val="Heading1"/>
      </w:pPr>
      <w:bookmarkStart w:id="1" w:name="O_1087920"/>
      <w:bookmarkEnd w:id="1"/>
      <w:r w:rsidRPr="0056467A">
        <w:t>Modification History</w:t>
      </w:r>
    </w:p>
    <w:tbl>
      <w:tblPr>
        <w:tblW w:w="9496" w:type="dxa"/>
        <w:tblLayout w:type="fixed"/>
        <w:tblCellMar>
          <w:left w:w="62" w:type="dxa"/>
          <w:right w:w="62" w:type="dxa"/>
        </w:tblCellMar>
        <w:tblLook w:val="0000"/>
      </w:tblPr>
      <w:tblGrid>
        <w:gridCol w:w="9496"/>
      </w:tblGrid>
      <w:tr w:rsidTr="0056467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t>Release 1. This is the first release of this unit of competency in the MAR Maritime Training Package.</w:t>
            </w:r>
          </w:p>
        </w:tc>
      </w:tr>
    </w:tbl>
    <w:p w:rsidR="009004D9" w:rsidP="0056467A">
      <w:pPr>
        <w:pStyle w:val="NoPaddingFontSize1"/>
      </w:pPr>
    </w:p>
    <w:p w:rsidR="009004D9" w:rsidP="0056467A">
      <w:pPr>
        <w:pStyle w:val="NoPaddingFontSize1"/>
      </w:pPr>
    </w:p>
    <w:p w:rsidR="00000000" w:rsidRPr="0056467A" w:rsidP="0056467A">
      <w:pPr>
        <w:pStyle w:val="Heading1"/>
      </w:pPr>
      <w:bookmarkStart w:id="2" w:name="O_1087921"/>
      <w:bookmarkEnd w:id="2"/>
      <w:r w:rsidRPr="0056467A">
        <w:t>Application</w:t>
      </w:r>
    </w:p>
    <w:tbl>
      <w:tblPr>
        <w:tblW w:w="9496" w:type="dxa"/>
        <w:tblLayout w:type="fixed"/>
        <w:tblCellMar>
          <w:left w:w="62" w:type="dxa"/>
          <w:right w:w="62" w:type="dxa"/>
        </w:tblCellMar>
        <w:tblLook w:val="0000"/>
      </w:tblPr>
      <w:tblGrid>
        <w:gridCol w:w="9496"/>
      </w:tblGrid>
      <w:tr w:rsidTr="0056467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t>This unit involves the skills and knowledge required to operate and maintain main steam propulsion plant and associated control systems on a commercial vessel. It includes analysing: methods of improving plant efficiency; changes in feed system that occur</w:t>
            </w:r>
            <w:r w:rsidRPr="0056467A">
              <w:t xml:space="preserve"> during fluctuating loads; design and construction of high-pressure water tube boilers and ancillary equipment; operation, maintenance and performance of high-pressure water tube boilers and ancillary equipment; turbine operation, maintenance and performan</w:t>
            </w:r>
            <w:r w:rsidRPr="0056467A">
              <w:t>ce; and turbine-gearing performance.</w:t>
            </w:r>
          </w:p>
          <w:p w:rsidR="00000000" w:rsidRPr="0056467A" w:rsidP="0056467A">
            <w:pPr>
              <w:pStyle w:val="BodyText"/>
            </w:pPr>
            <w:r w:rsidRPr="0056467A">
              <w:t>This unit applies to people working in the maritime industry in the capacity of:</w:t>
            </w:r>
          </w:p>
          <w:p w:rsidR="00000000" w:rsidRPr="0056467A" w:rsidP="0056467A">
            <w:pPr>
              <w:pStyle w:val="ListBullet"/>
            </w:pPr>
            <w:r w:rsidRPr="0056467A">
              <w:t>Engineer Class 1 (STCW Chief Engineer Unlimited)</w:t>
            </w:r>
          </w:p>
          <w:p w:rsidR="00000000" w:rsidRPr="0056467A" w:rsidP="0056467A">
            <w:pPr>
              <w:pStyle w:val="ListBullet"/>
            </w:pPr>
            <w:r w:rsidRPr="0056467A">
              <w:t>Engineer Class 2 (STCW Second Engineer Unlimited).</w:t>
            </w:r>
          </w:p>
          <w:p w:rsidR="00000000" w:rsidRPr="0056467A" w:rsidP="0056467A">
            <w:pPr>
              <w:pStyle w:val="BodyText"/>
            </w:pPr>
            <w:r w:rsidRPr="0056467A">
              <w:rPr>
                <w:rStyle w:val="SpecialBold"/>
              </w:rPr>
              <w:t>Licensing/Regulatory Information</w:t>
            </w:r>
          </w:p>
          <w:p w:rsidR="00000000" w:rsidRPr="0056467A" w:rsidP="0056467A">
            <w:pPr>
              <w:pStyle w:val="BodyText"/>
            </w:pPr>
            <w:r w:rsidRPr="0056467A">
              <w:t>Legi</w:t>
            </w:r>
            <w:r w:rsidRPr="0056467A">
              <w:t xml:space="preserve">slative and regulatory requirements are applicable to this unit.  </w:t>
            </w:r>
          </w:p>
          <w:p w:rsidR="00000000" w:rsidRPr="0056467A" w:rsidP="0056467A">
            <w:pPr>
              <w:pStyle w:val="ListBullet"/>
            </w:pPr>
            <w:r w:rsidRPr="0056467A">
              <w:t>This unit is one of the requirements to obtain Australian Maritime Safety Authority (AMSA) certification as an Engineer Class 1 (STCW Chief Engineer Unlimited) or Engineer Class 2 (STCW Se</w:t>
            </w:r>
            <w:r w:rsidRPr="0056467A">
              <w:t>cond Engineer Unlimited) and to meet regulatory requirements this unit must be delivered consistent with Marine Orders and with the relevant sections of the International Convention on Standards of Training, Certification and Watchkeeping for Seafarers (ST</w:t>
            </w:r>
            <w:r w:rsidRPr="0056467A">
              <w:t>CW).</w:t>
            </w:r>
          </w:p>
          <w:p w:rsidR="00000000" w:rsidRPr="0056467A" w:rsidP="0056467A">
            <w:pPr>
              <w:pStyle w:val="BodyText"/>
            </w:pPr>
          </w:p>
          <w:p w:rsidR="00000000" w:rsidRPr="0056467A" w:rsidP="0056467A">
            <w:pPr>
              <w:pStyle w:val="ListBullet"/>
            </w:pPr>
            <w:r w:rsidRPr="0056467A">
              <w:t xml:space="preserve">Those regulatory requirements include STCW International Maritime Organization (IMO) </w:t>
            </w:r>
            <w:r w:rsidRPr="0056467A">
              <w:t>model course competencies and areas of knowledge, understanding and proficiency, together with the estimated total hours required for lectures and practical exercises. Teaching staff should note that timings are suggestions only and should be adapted to su</w:t>
            </w:r>
            <w:r w:rsidRPr="0056467A">
              <w:t>it individual groups of trainees depending on their experience, ability, equipment and staff available for training.</w:t>
            </w:r>
          </w:p>
        </w:tc>
      </w:tr>
    </w:tbl>
    <w:p w:rsidR="00000000" w:rsidRPr="0056467A" w:rsidP="0056467A">
      <w:pPr>
        <w:pStyle w:val="NoPaddingFontSize1"/>
      </w:pPr>
    </w:p>
    <w:p w:rsidR="00000000" w:rsidRPr="0056467A" w:rsidP="0056467A">
      <w:pPr>
        <w:pStyle w:val="AllowPageBreak"/>
      </w:pPr>
    </w:p>
    <w:p w:rsidR="00000000" w:rsidRPr="0056467A" w:rsidP="0056467A">
      <w:pPr>
        <w:pStyle w:val="Heading1"/>
      </w:pPr>
      <w:bookmarkStart w:id="3" w:name="O_1087922"/>
      <w:bookmarkEnd w:id="3"/>
      <w:r w:rsidRPr="0056467A">
        <w:t>Pre-requisite Unit</w:t>
      </w:r>
    </w:p>
    <w:tbl>
      <w:tblPr>
        <w:tblW w:w="9496" w:type="dxa"/>
        <w:tblLayout w:type="fixed"/>
        <w:tblCellMar>
          <w:left w:w="62" w:type="dxa"/>
          <w:right w:w="62" w:type="dxa"/>
        </w:tblCellMar>
        <w:tblLook w:val="0000"/>
      </w:tblPr>
      <w:tblGrid>
        <w:gridCol w:w="9496"/>
      </w:tblGrid>
      <w:tr w:rsidTr="0056467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t>Not applicable.</w:t>
            </w:r>
          </w:p>
        </w:tc>
      </w:tr>
    </w:tbl>
    <w:p w:rsidR="009004D9" w:rsidP="0056467A">
      <w:pPr>
        <w:pStyle w:val="NoPaddingFontSize1"/>
      </w:pPr>
    </w:p>
    <w:p w:rsidR="009004D9" w:rsidP="0056467A">
      <w:pPr>
        <w:pStyle w:val="NoPaddingFontSize1"/>
      </w:pPr>
    </w:p>
    <w:p w:rsidR="00000000" w:rsidRPr="0056467A" w:rsidP="0056467A">
      <w:pPr>
        <w:pStyle w:val="Heading1"/>
      </w:pPr>
      <w:bookmarkStart w:id="4" w:name="O_1087923"/>
      <w:bookmarkEnd w:id="4"/>
      <w:r w:rsidRPr="0056467A">
        <w:t>Competency Field</w:t>
      </w:r>
    </w:p>
    <w:tbl>
      <w:tblPr>
        <w:tblW w:w="9496" w:type="dxa"/>
        <w:tblLayout w:type="fixed"/>
        <w:tblCellMar>
          <w:left w:w="62" w:type="dxa"/>
          <w:right w:w="62" w:type="dxa"/>
        </w:tblCellMar>
        <w:tblLook w:val="0000"/>
      </w:tblPr>
      <w:tblGrid>
        <w:gridCol w:w="9496"/>
      </w:tblGrid>
      <w:tr w:rsidTr="0056467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t>L – Engineering</w:t>
            </w:r>
          </w:p>
        </w:tc>
      </w:tr>
    </w:tbl>
    <w:p w:rsidR="009004D9" w:rsidP="0056467A">
      <w:pPr>
        <w:pStyle w:val="NoPaddingFontSize1"/>
      </w:pPr>
    </w:p>
    <w:p w:rsidR="009004D9" w:rsidP="0056467A">
      <w:pPr>
        <w:pStyle w:val="NoPaddingFontSize1"/>
      </w:pPr>
    </w:p>
    <w:p w:rsidR="00000000" w:rsidRPr="0056467A" w:rsidP="0056467A">
      <w:pPr>
        <w:pStyle w:val="Heading1"/>
      </w:pPr>
      <w:bookmarkStart w:id="5" w:name="O_1087924"/>
      <w:bookmarkEnd w:id="5"/>
      <w:r w:rsidRPr="0056467A">
        <w:t>Unit Sector</w:t>
      </w:r>
    </w:p>
    <w:tbl>
      <w:tblPr>
        <w:tblW w:w="9496" w:type="dxa"/>
        <w:tblLayout w:type="fixed"/>
        <w:tblCellMar>
          <w:left w:w="62" w:type="dxa"/>
          <w:right w:w="62" w:type="dxa"/>
        </w:tblCellMar>
        <w:tblLook w:val="0000"/>
      </w:tblPr>
      <w:tblGrid>
        <w:gridCol w:w="9496"/>
      </w:tblGrid>
      <w:tr w:rsidTr="0056467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t>Not applicable.</w:t>
            </w:r>
          </w:p>
        </w:tc>
      </w:tr>
    </w:tbl>
    <w:p w:rsidR="009004D9" w:rsidP="0056467A">
      <w:pPr>
        <w:pStyle w:val="NoPaddingFontSize1"/>
      </w:pPr>
    </w:p>
    <w:p w:rsidR="009004D9" w:rsidP="0056467A">
      <w:pPr>
        <w:pStyle w:val="NoPaddingFontSize1"/>
      </w:pPr>
    </w:p>
    <w:p w:rsidR="00000000" w:rsidRPr="0056467A" w:rsidP="0056467A">
      <w:pPr>
        <w:pStyle w:val="Heading1"/>
      </w:pPr>
      <w:bookmarkStart w:id="6" w:name="O_1087925"/>
      <w:bookmarkEnd w:id="6"/>
      <w:r w:rsidRPr="0056467A">
        <w:t>Elements and Performance Criteria</w:t>
      </w:r>
    </w:p>
    <w:tbl>
      <w:tblPr>
        <w:tblW w:w="9498" w:type="dxa"/>
        <w:tblLayout w:type="fixed"/>
        <w:tblCellMar>
          <w:left w:w="62" w:type="dxa"/>
          <w:right w:w="62" w:type="dxa"/>
        </w:tblCellMar>
        <w:tblLook w:val="0000"/>
      </w:tblPr>
      <w:tblGrid>
        <w:gridCol w:w="608"/>
        <w:gridCol w:w="2438"/>
        <w:gridCol w:w="860"/>
        <w:gridCol w:w="5592"/>
      </w:tblGrid>
      <w:tr w:rsidTr="0056467A">
        <w:tblPrEx>
          <w:tblW w:w="9498" w:type="dxa"/>
          <w:tblLayout w:type="fixed"/>
          <w:tblCellMar>
            <w:left w:w="62" w:type="dxa"/>
            <w:right w:w="62" w:type="dxa"/>
          </w:tblCellMar>
          <w:tblLook w:val="0000"/>
        </w:tblPrEx>
        <w:tc>
          <w:tcPr>
            <w:tcW w:w="3046" w:type="dxa"/>
            <w:gridSpan w:val="2"/>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ELEMENTS</w:t>
            </w:r>
          </w:p>
        </w:tc>
        <w:tc>
          <w:tcPr>
            <w:tcW w:w="6452" w:type="dxa"/>
            <w:gridSpan w:val="2"/>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PERFORMANCE CRITERIA</w:t>
            </w:r>
          </w:p>
        </w:tc>
      </w:tr>
      <w:tr w:rsidTr="0056467A">
        <w:tblPrEx>
          <w:tblW w:w="9498" w:type="dxa"/>
          <w:tblLayout w:type="fixed"/>
          <w:tblCellMar>
            <w:left w:w="62" w:type="dxa"/>
            <w:right w:w="62" w:type="dxa"/>
          </w:tblCellMar>
          <w:tblLook w:val="0000"/>
        </w:tblPrEx>
        <w:tc>
          <w:tcPr>
            <w:tcW w:w="3046" w:type="dxa"/>
            <w:gridSpan w:val="2"/>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Elements describe the essential outcomes.</w:t>
            </w:r>
          </w:p>
        </w:tc>
        <w:tc>
          <w:tcPr>
            <w:tcW w:w="6452" w:type="dxa"/>
            <w:gridSpan w:val="2"/>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Performance criteria describe the performance needed to demonstrate achievement of the element.</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 xml:space="preserve">1 </w:t>
            </w: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Analyse methods of improving plant efficiency</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Heat losses in a turbine and turbine system are analysed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An enthalpy/entropy diagram is used to show how steam properties change through a turbine</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The effect air heaters and economisers have on turbine plant efficiency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Increase in Rankine efficiency of plant by increasing the pressure and temperature is analysed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How regenerative feed heating and steam reheating increases ov</w:t>
            </w:r>
            <w:r w:rsidRPr="0056467A">
              <w:t>erall plant efficiency is shown on an enthalpy/entropy diagram</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Practical methods of verifying energy losses are detailed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2</w:t>
            </w: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Explain construction and operation of feed system</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Operation and components of the complete feed system are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Construction, operating principles and maintenance requirements of a regenerative condenser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Causes of loss of vacuum are identified and test procedure to identify leaks in a condenser is created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Construction and operation of air ejectors, vacuums and extraction pumps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Construction and operation of gland condensers, low-pressure heaters, drain coolers and high-pressure heaters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General arrangement and construction of turbo feed pumps is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Operating principles and construction details of de-aerators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3</w:t>
            </w: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Analyse changes in feed system that occur during fluctuating loads</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Changes that occur during fluct</w:t>
            </w:r>
            <w:r w:rsidRPr="0056467A">
              <w:t>uating loads are identified, detailing how make up to the system and dump from the system are performed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Condenser level control methods, how condenser is supported and how expansion stresses are avoided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Loss of efficiency when heat transfer rate is interrupted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3</w:t>
            </w:r>
            <w:r w:rsidRPr="0056467A">
              <w:t>.</w:t>
            </w:r>
            <w:r w:rsidRPr="0056467A">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Types, features, common defects and maintenance requirements of two-stage and super cavitating extraction pumps are compared and contrasted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 xml:space="preserve">Operation of a vacuum pump for </w:t>
            </w:r>
            <w:r w:rsidRPr="0056467A">
              <w:t>air removal from a condenser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Operation of a turbo feed pump differential pressure governor taking into account constant pressure, increasing pressure and decreasing pressure differential governing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 xml:space="preserve">Alarms, shutdowns, </w:t>
            </w:r>
            <w:r w:rsidRPr="0056467A">
              <w:t>automatic cut-in arrangements and testing of over speed trips for a boiler feed pump are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4</w:t>
            </w: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Analyse design and construction and repair of high-pressure water tube boilers and ancillary equipment</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Various propulsion boiler designs are compared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Operating principles and construction methods of integral and external superheaters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Drum, internal fittings and support and expansion arrangements are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Procedures for repairing a membrane wall furnace are clarified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Operating principles of high-pressure boilers, including water and gas flow circulation,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Temperature load relationships and temperature control of superheater are analysed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Operation of superheate</w:t>
            </w:r>
            <w:r w:rsidRPr="0056467A">
              <w:t>r with parallel, contra and cross flow of gas/steam flow is predicted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Correct material for high temperature operation of superheater tubes and headers is identified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Construction and operation of economisers and air heaters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Chemistry of combustion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4.11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Burner tip design and operation for steam atomising oil burners are compared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4.12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Typical burner register arrangements are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4.13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Construction, operation and maintenance of boiler gauge glasses</w:t>
            </w:r>
            <w:r w:rsidRPr="0056467A">
              <w:t xml:space="preserve"> and safety valves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4.14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Operation of boiler control and soot blowing system is detailed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4.15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Features of a three-element water level control system and relationship with burner management system are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4.16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Operation of a combustion control system fitted with cross limits on air and fuel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4.17</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Blow-down procedure for a high-pressure boiler is prepared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5</w:t>
            </w: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Analyse operation, maintenance and performance of high-pressure water tube boilers and anci</w:t>
            </w:r>
            <w:r w:rsidRPr="0056467A">
              <w:rPr>
                <w:rStyle w:val="SpecialBold"/>
              </w:rPr>
              <w:t>llary equipment</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Warm-through procedure and checks to be carried out before connecting boiler to range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How boiler is laid up for short and/or long periods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Actions required after oil or saltwater contamination are detailed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Chemical cleaning procedure to remove scale and oil deposits from internal surfaces of a boiler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Tube failures are identified, and suitable methods of repair are s</w:t>
            </w:r>
            <w:r w:rsidRPr="0056467A">
              <w:t>elected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Defects that can occur in economisers and how they can be repaired are listed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Maintenance inspection procedures to prevent superheater and economise fires are produced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Procedure to combat soot and steam/iron fires in generating banks, superheaters and economisers is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Coordinate and congruent feed water treatment is illustrated on a caustic/phosphate graph</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Different feed water tests, procedures for each test and appropriate chemical treatments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5.11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Program for an internal and external survey of a water tube boiler is compiled, defects that may be found and repair methods that will enable boi</w:t>
            </w:r>
            <w:r w:rsidRPr="0056467A">
              <w:t>ler to be returned to service are listed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5.12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Procedures for setting lift, adjusting blow-down of safety valves and carrying out an accumulation test on a boiler are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6</w:t>
            </w: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 xml:space="preserve">Explain requirements for feed water </w:t>
            </w:r>
            <w:r w:rsidRPr="0056467A">
              <w:rPr>
                <w:rStyle w:val="SpecialBold"/>
              </w:rPr>
              <w:t xml:space="preserve">treatment for high-pressure water tube </w:t>
            </w:r>
            <w:r w:rsidRPr="0056467A">
              <w:rPr>
                <w:rStyle w:val="SpecialBold"/>
              </w:rPr>
              <w:t>boilers</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 xml:space="preserve">How salts are precipitated and how metal is corroded in the boiler and feed system is explained and method of prevention </w:t>
            </w:r>
            <w:r w:rsidRPr="0056467A">
              <w:t>is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How oxygen is eliminated in high-pressure boilers is shown</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How pH is measured and controlled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Normal and maximum operating limits for boiler feed water treatment are identified and procedure to follow if these limits are exceeded is clarified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Different feed water tests, procedure for each</w:t>
            </w:r>
            <w:r w:rsidRPr="0056467A">
              <w:t xml:space="preserve"> test and appropriate chemical treatments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Coordinate and congruent feed water treatment is illustrated on a caustic/phosphate graph</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Explain construction and operation of high-pressure turbines</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Flow of steam through nozzles is analysed, and pressure and velocity compounding are illustrated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Construction of blades, bearings, glands, rotors and casings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Warming-through procedure prior to start-up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Routine</w:t>
            </w:r>
            <w:r w:rsidRPr="0056467A">
              <w:t xml:space="preserve"> checks during operation are detailed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Emergency operation of plant with one turbine inoperative is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Turbine shutdown procedure is clarified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7.7</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Procedures for opening up turbine for survey, routine checks of blades, casings, rotors, bearings, glands, drains and the reassembly of turbine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7.8</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Precautions necessary when turbine and gearing casings are open are explained and any repai</w:t>
            </w:r>
            <w:r w:rsidRPr="0056467A">
              <w:t>rs or adjustments that may be required are identified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8</w:t>
            </w: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Analyse turbine operation, maintenance and performance</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Relationship between sequential nozzle operation and bar lift in steam turbines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Principle of operation of different trips and cut-outs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Differentiation is made between resonance and critical speed, and their effect on the turbine operation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Types of turbine vibration and where each type is found i</w:t>
            </w:r>
            <w:r w:rsidRPr="0056467A">
              <w:t>n a turbine is analysed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System torsional vibration and effect of operating at critical speeds and in-built design elements required to avoid critical speeds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Back pressure and self-condensing turbo alternators are compared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Governor system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8.8</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Turbine control systems are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8.9</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Procedure for straightening a bowed turbine rotor is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8.10</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Effect of hull fouling, sea state and propeller design on turbine performance is discussed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8.11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Limits for extended operation and overload operation are discussed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9</w:t>
            </w: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Analyse turbine gearing arrangements and performance</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Single and double reduction gearing systems are compared and contrasted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Features and applications of double helical involu</w:t>
            </w:r>
            <w:r w:rsidRPr="0056467A">
              <w:t>te gear teeth are outlined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Advantages and disadvantages of single and double locked train gearboxes are analysed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Construction and reason for installing flexible couplings in gearing system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Purpose of fitting a nodal drive in gearing system is clarified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9.6</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Features, functions and applications of star, planetary and solar epicyclic gearing are compared and contrasted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9.7</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Space savings resulting from use of epicyclic gearing are analysed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9.8</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Layout of a turbo-electric drive is detailed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10</w:t>
            </w:r>
          </w:p>
        </w:tc>
        <w:tc>
          <w:tcPr>
            <w:tcW w:w="2438"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rPr>
                <w:rStyle w:val="SpecialBold"/>
              </w:rPr>
              <w:t>Analyse flow of air and gas through a simple cycle marine gas turbine</w:t>
            </w: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Construction of compressor, combustion system and single and two shaft turbines is explained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t>Necessary controls required for control and protection of plant are confirmed</w:t>
            </w:r>
          </w:p>
        </w:tc>
      </w:tr>
      <w:tr w:rsidTr="0056467A">
        <w:tblPrEx>
          <w:tblW w:w="9498" w:type="dxa"/>
          <w:tblLayout w:type="fixed"/>
          <w:tblCellMar>
            <w:left w:w="62" w:type="dxa"/>
            <w:right w:w="62" w:type="dxa"/>
          </w:tblCellMar>
          <w:tblLook w:val="0000"/>
        </w:tblPrEx>
        <w:tc>
          <w:tcPr>
            <w:tcW w:w="6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rsidRPr="0056467A">
            <w:pPr>
              <w:pStyle w:val="BodyText"/>
              <w:keepLines w:val="0"/>
            </w:pPr>
          </w:p>
        </w:tc>
        <w:tc>
          <w:tcPr>
            <w:tcW w:w="860" w:type="dxa"/>
            <w:tcBorders>
              <w:top w:val="nil"/>
              <w:left w:val="nil"/>
              <w:bottom w:val="nil"/>
              <w:right w:val="nil"/>
            </w:tcBorders>
            <w:tcMar>
              <w:top w:w="0" w:type="dxa"/>
              <w:left w:w="62" w:type="dxa"/>
              <w:bottom w:w="0" w:type="dxa"/>
              <w:right w:w="62" w:type="dxa"/>
            </w:tcMar>
          </w:tcPr>
          <w:p w:rsidR="00000000" w:rsidP="0056467A">
            <w:pPr>
              <w:pStyle w:val="BodyText"/>
              <w:rPr>
                <w:lang w:val="en-NZ"/>
              </w:rPr>
            </w:pPr>
            <w:r w:rsidRPr="0056467A">
              <w:rPr>
                <w:rStyle w:val="SpecialBold"/>
              </w:rPr>
              <w:t>10.3</w:t>
            </w:r>
          </w:p>
        </w:tc>
        <w:tc>
          <w:tcPr>
            <w:tcW w:w="5592"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t>Accessories necessary for safe operation of simple cycle marine gas turbines are listed</w:t>
            </w:r>
          </w:p>
        </w:tc>
      </w:tr>
    </w:tbl>
    <w:p w:rsidR="009004D9" w:rsidP="0056467A">
      <w:pPr>
        <w:pStyle w:val="NoPaddingFontSize1"/>
      </w:pPr>
    </w:p>
    <w:p w:rsidR="009004D9" w:rsidP="0056467A">
      <w:pPr>
        <w:pStyle w:val="NoPaddingFontSize1"/>
      </w:pPr>
    </w:p>
    <w:p w:rsidR="00000000" w:rsidRPr="0056467A" w:rsidP="0056467A">
      <w:pPr>
        <w:pStyle w:val="Heading1"/>
      </w:pPr>
      <w:bookmarkStart w:id="7" w:name="O_1087926"/>
      <w:bookmarkEnd w:id="7"/>
      <w:r w:rsidRPr="0056467A">
        <w:t>Foundation Skills</w:t>
      </w:r>
    </w:p>
    <w:tbl>
      <w:tblPr>
        <w:tblW w:w="9496" w:type="dxa"/>
        <w:tblLayout w:type="fixed"/>
        <w:tblCellMar>
          <w:left w:w="62" w:type="dxa"/>
          <w:right w:w="62" w:type="dxa"/>
        </w:tblCellMar>
        <w:tblLook w:val="0000"/>
      </w:tblPr>
      <w:tblGrid>
        <w:gridCol w:w="9496"/>
      </w:tblGrid>
      <w:tr w:rsidTr="0056467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t>Foundation skills essential to performance are explicit in the performance criteria of this unit of competency.</w:t>
            </w:r>
          </w:p>
        </w:tc>
      </w:tr>
    </w:tbl>
    <w:p w:rsidR="009004D9" w:rsidP="0056467A">
      <w:pPr>
        <w:pStyle w:val="NoPaddingFontSize1"/>
      </w:pPr>
    </w:p>
    <w:p w:rsidR="009004D9" w:rsidP="0056467A">
      <w:pPr>
        <w:pStyle w:val="NoPaddingFontSize1"/>
      </w:pPr>
    </w:p>
    <w:p w:rsidR="00000000" w:rsidRPr="0056467A" w:rsidP="0056467A">
      <w:pPr>
        <w:pStyle w:val="Heading1"/>
      </w:pPr>
      <w:bookmarkStart w:id="8" w:name="O_1087927"/>
      <w:bookmarkEnd w:id="8"/>
      <w:r w:rsidRPr="0056467A">
        <w:t>Range of Conditions</w:t>
      </w:r>
    </w:p>
    <w:tbl>
      <w:tblPr>
        <w:tblW w:w="9496" w:type="dxa"/>
        <w:tblLayout w:type="fixed"/>
        <w:tblCellMar>
          <w:left w:w="62" w:type="dxa"/>
          <w:right w:w="62" w:type="dxa"/>
        </w:tblCellMar>
        <w:tblLook w:val="0000"/>
      </w:tblPr>
      <w:tblGrid>
        <w:gridCol w:w="9496"/>
      </w:tblGrid>
      <w:tr w:rsidTr="0056467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t>Range is restricted to essential operating conditions and any other variables essential to the work en</w:t>
            </w:r>
            <w:r w:rsidRPr="0056467A">
              <w:t>vironment.</w:t>
            </w:r>
          </w:p>
        </w:tc>
      </w:tr>
    </w:tbl>
    <w:p w:rsidR="009004D9" w:rsidP="0056467A">
      <w:pPr>
        <w:pStyle w:val="NoPaddingFontSize1"/>
      </w:pPr>
    </w:p>
    <w:p w:rsidR="009004D9" w:rsidP="0056467A">
      <w:pPr>
        <w:pStyle w:val="NoPaddingFontSize1"/>
      </w:pPr>
    </w:p>
    <w:p w:rsidR="00000000" w:rsidRPr="0056467A" w:rsidP="0056467A">
      <w:pPr>
        <w:pStyle w:val="Heading1"/>
      </w:pPr>
      <w:bookmarkStart w:id="9" w:name="O_1087928"/>
      <w:bookmarkEnd w:id="9"/>
      <w:r w:rsidRPr="0056467A">
        <w:t>Unit Mapping Information</w:t>
      </w:r>
    </w:p>
    <w:tbl>
      <w:tblPr>
        <w:tblW w:w="9496" w:type="dxa"/>
        <w:tblLayout w:type="fixed"/>
        <w:tblCellMar>
          <w:left w:w="62" w:type="dxa"/>
          <w:right w:w="62" w:type="dxa"/>
        </w:tblCellMar>
        <w:tblLook w:val="0000"/>
      </w:tblPr>
      <w:tblGrid>
        <w:gridCol w:w="9496"/>
      </w:tblGrid>
      <w:tr w:rsidTr="0056467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6467A" w:rsidP="0056467A">
            <w:pPr>
              <w:pStyle w:val="BodyText"/>
            </w:pPr>
            <w:r w:rsidRPr="0056467A">
              <w:t>This unit replaces and is not equivalent to MARL029 Demonstrate intermediate knowledge of marine steam turbines and main boilers.</w:t>
            </w:r>
          </w:p>
          <w:p w:rsidR="00000000" w:rsidRPr="0056467A" w:rsidP="0056467A">
            <w:pPr>
              <w:pStyle w:val="BodyText"/>
            </w:pPr>
            <w:r w:rsidRPr="0056467A">
              <w:t>This unit replaces and is equivalent to MARL035 Demonstrate advanced</w:t>
            </w:r>
            <w:r w:rsidRPr="0056467A">
              <w:t xml:space="preserve"> knowledge of marine steam turbines and main boilers.</w:t>
            </w:r>
          </w:p>
        </w:tc>
      </w:tr>
    </w:tbl>
    <w:p w:rsidR="009004D9" w:rsidP="0056467A">
      <w:pPr>
        <w:pStyle w:val="NoPaddingFontSize1"/>
      </w:pPr>
    </w:p>
    <w:p w:rsidR="009004D9" w:rsidP="0056467A">
      <w:pPr>
        <w:pStyle w:val="NoPaddingFontSize1"/>
      </w:pPr>
    </w:p>
    <w:p w:rsidR="00000000" w:rsidRPr="0056467A" w:rsidP="0056467A">
      <w:pPr>
        <w:pStyle w:val="Heading1"/>
      </w:pPr>
      <w:bookmarkStart w:id="10" w:name="O_1087935"/>
      <w:bookmarkEnd w:id="10"/>
      <w:r w:rsidRPr="0056467A">
        <w:t>Links</w:t>
      </w:r>
    </w:p>
    <w:p w:rsidR="00000000" w:rsidRPr="0056467A" w:rsidP="009004D9">
      <w:pPr>
        <w:pStyle w:val="BodyText"/>
      </w:pPr>
      <w:r w:rsidRPr="0056467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421E7">
        <w:rPr>
          <w:rStyle w:val="Hyperlink"/>
        </w:rPr>
        <w:t>https://vetnet.gov.au/Pages/TrainingDocs.aspx?q=772efb7b-4cce-47fe-9bbd-ee3b1d1eb4c2</w:t>
      </w:r>
      <w:r>
        <w:fldChar w:fldCharType="end"/>
      </w:r>
    </w:p>
    <w:p w:rsidR="00000000" w:rsidRPr="0056467A" w:rsidP="0056467A"/>
    <w:sectPr w:rsidSect="005646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7A" w:rsidRPr="009004D9" w:rsidP="009004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D9" w:rsidP="00564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004D9" w:rsidP="005646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004D9" w:rsidP="005646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67A" w:rsidRPr="009004D9" w:rsidP="009004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D9" w:rsidRPr="002D2AF8" w:rsidP="0056467A">
    <w:pPr>
      <w:pStyle w:val="Header"/>
      <w:framePr w:wrap="around"/>
    </w:pPr>
    <w:r>
      <w:fldChar w:fldCharType="begin"/>
    </w:r>
    <w:r>
      <w:instrText xml:space="preserve"> TITLE   \* MERGEFORMAT </w:instrText>
    </w:r>
    <w:r>
      <w:fldChar w:fldCharType="separate"/>
    </w:r>
    <w:r>
      <w:t>MARL052 Demonstrate advanced knowledge of marine steam turbines and main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004D9" w:rsidP="005646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2E57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3C9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6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67A"/>
    <w:pPr>
      <w:spacing w:before="360" w:after="60"/>
      <w:outlineLvl w:val="0"/>
    </w:pPr>
    <w:rPr>
      <w:sz w:val="32"/>
    </w:rPr>
  </w:style>
  <w:style w:type="paragraph" w:styleId="Heading2">
    <w:name w:val="heading 2"/>
    <w:basedOn w:val="HeadingBase"/>
    <w:next w:val="BodyText"/>
    <w:link w:val="Heading2Char"/>
    <w:qFormat/>
    <w:rsid w:val="0056467A"/>
    <w:pPr>
      <w:keepLines/>
      <w:spacing w:before="240" w:after="120"/>
      <w:outlineLvl w:val="1"/>
    </w:pPr>
    <w:rPr>
      <w:sz w:val="28"/>
      <w:szCs w:val="40"/>
    </w:rPr>
  </w:style>
  <w:style w:type="paragraph" w:styleId="Heading3">
    <w:name w:val="heading 3"/>
    <w:basedOn w:val="HeadingBase"/>
    <w:next w:val="BodyText"/>
    <w:link w:val="Heading3Char"/>
    <w:qFormat/>
    <w:rsid w:val="0056467A"/>
    <w:pPr>
      <w:spacing w:before="180" w:after="120"/>
      <w:outlineLvl w:val="2"/>
    </w:pPr>
    <w:rPr>
      <w:spacing w:val="-10"/>
      <w:kern w:val="32"/>
    </w:rPr>
  </w:style>
  <w:style w:type="paragraph" w:styleId="Heading4">
    <w:name w:val="heading 4"/>
    <w:basedOn w:val="HeadingBase"/>
    <w:next w:val="BodyText"/>
    <w:link w:val="Heading4Char"/>
    <w:qFormat/>
    <w:rsid w:val="0056467A"/>
    <w:pPr>
      <w:spacing w:before="160" w:after="120"/>
      <w:outlineLvl w:val="3"/>
    </w:pPr>
    <w:rPr>
      <w:sz w:val="22"/>
    </w:rPr>
  </w:style>
  <w:style w:type="paragraph" w:styleId="Heading5">
    <w:name w:val="heading 5"/>
    <w:basedOn w:val="HeadingBase"/>
    <w:next w:val="Normal"/>
    <w:link w:val="Heading5Char"/>
    <w:qFormat/>
    <w:rsid w:val="0056467A"/>
    <w:pPr>
      <w:spacing w:before="80"/>
      <w:outlineLvl w:val="4"/>
    </w:pPr>
    <w:rPr>
      <w:color w:val="918585"/>
      <w:sz w:val="20"/>
    </w:rPr>
  </w:style>
  <w:style w:type="paragraph" w:styleId="Heading6">
    <w:name w:val="heading 6"/>
    <w:basedOn w:val="HeadingBase"/>
    <w:next w:val="Normal"/>
    <w:link w:val="Heading6Char"/>
    <w:qFormat/>
    <w:rsid w:val="0056467A"/>
    <w:pPr>
      <w:spacing w:before="60"/>
      <w:outlineLvl w:val="5"/>
    </w:pPr>
    <w:rPr>
      <w:color w:val="918585"/>
      <w:sz w:val="20"/>
    </w:rPr>
  </w:style>
  <w:style w:type="paragraph" w:styleId="Heading7">
    <w:name w:val="heading 7"/>
    <w:basedOn w:val="Normal"/>
    <w:next w:val="Normal"/>
    <w:link w:val="Heading7Char"/>
    <w:qFormat/>
    <w:rsid w:val="0056467A"/>
    <w:pPr>
      <w:ind w:left="720"/>
      <w:outlineLvl w:val="6"/>
    </w:pPr>
    <w:rPr>
      <w:i/>
    </w:rPr>
  </w:style>
  <w:style w:type="paragraph" w:styleId="Heading8">
    <w:name w:val="heading 8"/>
    <w:basedOn w:val="Normal"/>
    <w:next w:val="Normal"/>
    <w:link w:val="Heading8Char"/>
    <w:qFormat/>
    <w:rsid w:val="0056467A"/>
    <w:pPr>
      <w:ind w:left="720"/>
      <w:outlineLvl w:val="7"/>
    </w:pPr>
    <w:rPr>
      <w:i/>
    </w:rPr>
  </w:style>
  <w:style w:type="paragraph" w:styleId="Heading9">
    <w:name w:val="heading 9"/>
    <w:basedOn w:val="Normal"/>
    <w:next w:val="Normal"/>
    <w:link w:val="Heading9Char"/>
    <w:qFormat/>
    <w:rsid w:val="0056467A"/>
    <w:pPr>
      <w:ind w:left="720"/>
      <w:outlineLvl w:val="8"/>
    </w:pPr>
    <w:rPr>
      <w:i/>
    </w:rPr>
  </w:style>
  <w:style w:type="character" w:default="1" w:styleId="DefaultParagraphFont">
    <w:name w:val="Default Paragraph Font"/>
    <w:uiPriority w:val="1"/>
    <w:unhideWhenUsed/>
    <w:rsid w:val="00564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67A"/>
  </w:style>
  <w:style w:type="character" w:customStyle="1" w:styleId="Heading1Char">
    <w:name w:val="Heading 1 Char"/>
    <w:basedOn w:val="DefaultParagraphFont"/>
    <w:link w:val="Heading1"/>
    <w:rsid w:val="0056467A"/>
    <w:rPr>
      <w:rFonts w:ascii="Times New Roman" w:eastAsia="Times New Roman" w:hAnsi="Times New Roman" w:cs="Times New Roman"/>
      <w:b/>
      <w:sz w:val="32"/>
      <w:szCs w:val="20"/>
      <w:lang w:eastAsia="en-US"/>
    </w:rPr>
  </w:style>
  <w:style w:type="paragraph" w:styleId="BodyText">
    <w:name w:val="Body Text"/>
    <w:basedOn w:val="Normal"/>
    <w:link w:val="BodyTextChar"/>
    <w:rsid w:val="005646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67A"/>
    <w:rPr>
      <w:rFonts w:ascii="Times New Roman" w:eastAsia="Times New Roman" w:hAnsi="Times New Roman" w:cs="Times New Roman"/>
      <w:sz w:val="24"/>
      <w:lang w:eastAsia="en-US"/>
    </w:rPr>
  </w:style>
  <w:style w:type="paragraph" w:styleId="ListBullet">
    <w:name w:val="List Bullet"/>
    <w:basedOn w:val="List"/>
    <w:rsid w:val="0056467A"/>
    <w:pPr>
      <w:numPr>
        <w:numId w:val="11"/>
      </w:numPr>
      <w:tabs>
        <w:tab w:val="clear" w:pos="340"/>
      </w:tabs>
      <w:spacing w:before="40" w:after="40"/>
    </w:pPr>
  </w:style>
  <w:style w:type="character" w:customStyle="1" w:styleId="SpecialBold">
    <w:name w:val="Special Bold"/>
    <w:basedOn w:val="DefaultParagraphFont"/>
    <w:rsid w:val="0056467A"/>
    <w:rPr>
      <w:b/>
      <w:spacing w:val="0"/>
    </w:rPr>
  </w:style>
  <w:style w:type="paragraph" w:customStyle="1" w:styleId="SuperHeading">
    <w:name w:val="SuperHeading"/>
    <w:basedOn w:val="Normal"/>
    <w:rsid w:val="0056467A"/>
    <w:pPr>
      <w:spacing w:before="240" w:after="120"/>
      <w:outlineLvl w:val="0"/>
    </w:pPr>
    <w:rPr>
      <w:rFonts w:ascii="Times New Roman" w:hAnsi="Times New Roman"/>
      <w:b/>
      <w:sz w:val="32"/>
    </w:rPr>
  </w:style>
  <w:style w:type="paragraph" w:customStyle="1" w:styleId="AllowPageBreak">
    <w:name w:val="AllowPageBreak"/>
    <w:rsid w:val="005646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46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6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6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6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6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6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67A"/>
    <w:rPr>
      <w:rFonts w:ascii="Courier New" w:eastAsia="Times New Roman" w:hAnsi="Courier New" w:cs="Times New Roman"/>
      <w:i/>
      <w:szCs w:val="20"/>
      <w:lang w:eastAsia="en-US"/>
    </w:rPr>
  </w:style>
  <w:style w:type="paragraph" w:customStyle="1" w:styleId="HeadingBase">
    <w:name w:val="Heading Base"/>
    <w:rsid w:val="00564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67A"/>
    <w:pPr>
      <w:tabs>
        <w:tab w:val="right" w:leader="dot" w:pos="9072"/>
      </w:tabs>
      <w:ind w:left="567"/>
    </w:pPr>
    <w:rPr>
      <w:szCs w:val="22"/>
    </w:rPr>
  </w:style>
  <w:style w:type="paragraph" w:customStyle="1" w:styleId="TOCBase">
    <w:name w:val="TOC Base"/>
    <w:rsid w:val="00564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67A"/>
    <w:pPr>
      <w:tabs>
        <w:tab w:val="right" w:leader="dot" w:pos="9072"/>
      </w:tabs>
      <w:spacing w:before="40" w:after="40"/>
      <w:ind w:left="284"/>
    </w:pPr>
    <w:rPr>
      <w:rFonts w:ascii="Times New Roman" w:hAnsi="Times New Roman"/>
    </w:rPr>
  </w:style>
  <w:style w:type="paragraph" w:styleId="TOC1">
    <w:name w:val="toc 1"/>
    <w:basedOn w:val="TOCBase"/>
    <w:next w:val="Normal"/>
    <w:rsid w:val="005646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67A"/>
    <w:rPr>
      <w:rFonts w:ascii="Times New Roman" w:eastAsia="Times New Roman" w:hAnsi="Times New Roman" w:cs="Times New Roman"/>
      <w:sz w:val="16"/>
      <w:lang w:eastAsia="en-US"/>
    </w:rPr>
  </w:style>
  <w:style w:type="paragraph" w:styleId="Title">
    <w:name w:val="Title"/>
    <w:basedOn w:val="HeadingBase"/>
    <w:link w:val="TitleChar"/>
    <w:qFormat/>
    <w:rsid w:val="0056467A"/>
    <w:pPr>
      <w:spacing w:before="5040"/>
      <w:jc w:val="center"/>
    </w:pPr>
    <w:rPr>
      <w:sz w:val="48"/>
      <w:szCs w:val="72"/>
      <w:lang w:val="en-US"/>
    </w:rPr>
  </w:style>
  <w:style w:type="character" w:customStyle="1" w:styleId="TitleChar">
    <w:name w:val="Title Char"/>
    <w:basedOn w:val="DefaultParagraphFont"/>
    <w:link w:val="Title"/>
    <w:rsid w:val="00564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67A"/>
    <w:pPr>
      <w:tabs>
        <w:tab w:val="left" w:pos="3600"/>
        <w:tab w:val="left" w:pos="3958"/>
      </w:tabs>
    </w:pPr>
  </w:style>
  <w:style w:type="paragraph" w:styleId="List">
    <w:name w:val="List"/>
    <w:basedOn w:val="BodyText"/>
    <w:next w:val="BodyText"/>
    <w:rsid w:val="0056467A"/>
    <w:pPr>
      <w:tabs>
        <w:tab w:val="left" w:pos="340"/>
      </w:tabs>
      <w:spacing w:before="60" w:after="60"/>
      <w:ind w:left="340" w:hanging="340"/>
    </w:pPr>
  </w:style>
  <w:style w:type="paragraph" w:customStyle="1" w:styleId="Note">
    <w:name w:val="Note"/>
    <w:basedOn w:val="BodyText"/>
    <w:rsid w:val="00564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67A"/>
    <w:pPr>
      <w:framePr w:wrap="auto" w:hAnchor="text" w:y="6049"/>
    </w:pPr>
    <w:rPr>
      <w:color w:val="000000"/>
      <w:sz w:val="40"/>
    </w:rPr>
  </w:style>
  <w:style w:type="paragraph" w:customStyle="1" w:styleId="TOCTitle">
    <w:name w:val="TOCTitle"/>
    <w:basedOn w:val="Heading1"/>
    <w:rsid w:val="0056467A"/>
    <w:pPr>
      <w:spacing w:after="240"/>
      <w:jc w:val="center"/>
      <w:outlineLvl w:val="9"/>
    </w:pPr>
    <w:rPr>
      <w:caps/>
    </w:rPr>
  </w:style>
  <w:style w:type="paragraph" w:customStyle="1" w:styleId="Version">
    <w:name w:val="Version"/>
    <w:rsid w:val="005646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67A"/>
    <w:pPr>
      <w:numPr>
        <w:numId w:val="12"/>
      </w:numPr>
      <w:tabs>
        <w:tab w:val="clear" w:pos="680"/>
      </w:tabs>
    </w:pPr>
  </w:style>
  <w:style w:type="paragraph" w:styleId="Index1">
    <w:name w:val="index 1"/>
    <w:basedOn w:val="Normal"/>
    <w:next w:val="Normal"/>
    <w:semiHidden/>
    <w:rsid w:val="0056467A"/>
    <w:pPr>
      <w:keepNext w:val="0"/>
      <w:tabs>
        <w:tab w:val="right" w:pos="4176"/>
      </w:tabs>
      <w:ind w:left="198" w:hanging="198"/>
    </w:pPr>
    <w:rPr>
      <w:rFonts w:ascii="Garamond" w:hAnsi="Garamond"/>
    </w:rPr>
  </w:style>
  <w:style w:type="paragraph" w:styleId="IndexHeading">
    <w:name w:val="index heading"/>
    <w:basedOn w:val="Normal"/>
    <w:next w:val="Index1"/>
    <w:semiHidden/>
    <w:rsid w:val="0056467A"/>
    <w:pPr>
      <w:spacing w:before="120" w:after="120"/>
    </w:pPr>
    <w:rPr>
      <w:rFonts w:ascii="Arial" w:hAnsi="Arial"/>
      <w:b/>
      <w:color w:val="918585"/>
      <w:sz w:val="24"/>
    </w:rPr>
  </w:style>
  <w:style w:type="paragraph" w:styleId="Header">
    <w:name w:val="header"/>
    <w:basedOn w:val="Normal"/>
    <w:link w:val="HeaderChar"/>
    <w:rsid w:val="00564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67A"/>
    <w:rPr>
      <w:rFonts w:ascii="Times New Roman" w:eastAsia="Times New Roman" w:hAnsi="Times New Roman" w:cs="Times New Roman"/>
      <w:sz w:val="16"/>
      <w:szCs w:val="20"/>
      <w:lang w:val="en-GB" w:eastAsia="en-US"/>
    </w:rPr>
  </w:style>
  <w:style w:type="paragraph" w:customStyle="1" w:styleId="Chapter">
    <w:name w:val="Chapter"/>
    <w:basedOn w:val="Normal"/>
    <w:rsid w:val="0056467A"/>
    <w:pPr>
      <w:spacing w:before="240"/>
    </w:pPr>
    <w:rPr>
      <w:rFonts w:ascii="Times New Roman" w:hAnsi="Times New Roman"/>
      <w:smallCaps/>
      <w:spacing w:val="80"/>
      <w:sz w:val="28"/>
    </w:rPr>
  </w:style>
  <w:style w:type="paragraph" w:customStyle="1" w:styleId="InChapter">
    <w:name w:val="InChapter"/>
    <w:basedOn w:val="Heading3"/>
    <w:rsid w:val="0056467A"/>
    <w:pPr>
      <w:spacing w:after="240"/>
      <w:outlineLvl w:val="9"/>
    </w:pPr>
    <w:rPr>
      <w:noProof/>
    </w:rPr>
  </w:style>
  <w:style w:type="paragraph" w:styleId="Index2">
    <w:name w:val="index 2"/>
    <w:basedOn w:val="Normal"/>
    <w:next w:val="Normal"/>
    <w:semiHidden/>
    <w:rsid w:val="0056467A"/>
    <w:pPr>
      <w:tabs>
        <w:tab w:val="right" w:pos="4176"/>
      </w:tabs>
      <w:ind w:left="568" w:hanging="284"/>
    </w:pPr>
    <w:rPr>
      <w:rFonts w:ascii="Garamond" w:hAnsi="Garamond"/>
    </w:rPr>
  </w:style>
  <w:style w:type="paragraph" w:customStyle="1" w:styleId="Byline">
    <w:name w:val="Byline"/>
    <w:rsid w:val="00564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67A"/>
    <w:pPr>
      <w:tabs>
        <w:tab w:val="clear" w:pos="3600"/>
        <w:tab w:val="clear" w:pos="3958"/>
      </w:tabs>
      <w:jc w:val="right"/>
    </w:pPr>
  </w:style>
  <w:style w:type="character" w:styleId="Emphasis">
    <w:name w:val="Emphasis"/>
    <w:basedOn w:val="DefaultParagraphFont"/>
    <w:qFormat/>
    <w:rsid w:val="0056467A"/>
    <w:rPr>
      <w:i/>
    </w:rPr>
  </w:style>
  <w:style w:type="paragraph" w:styleId="Caption">
    <w:name w:val="caption"/>
    <w:basedOn w:val="BodyText"/>
    <w:next w:val="Normal"/>
    <w:qFormat/>
    <w:rsid w:val="0056467A"/>
    <w:pPr>
      <w:framePr w:w="2268" w:hSpace="181" w:vSpace="181" w:wrap="around" w:vAnchor="text" w:hAnchor="page" w:x="1135" w:y="285" w:anchorLock="1"/>
    </w:pPr>
    <w:rPr>
      <w:i/>
    </w:rPr>
  </w:style>
  <w:style w:type="paragraph" w:customStyle="1" w:styleId="MiniTOCTitle">
    <w:name w:val="MiniTOCTitle"/>
    <w:basedOn w:val="Heading4"/>
    <w:rsid w:val="0056467A"/>
    <w:pPr>
      <w:spacing w:before="240"/>
      <w:outlineLvl w:val="9"/>
    </w:pPr>
    <w:rPr>
      <w:noProof/>
      <w:sz w:val="24"/>
    </w:rPr>
  </w:style>
  <w:style w:type="paragraph" w:customStyle="1" w:styleId="MiniTOCItem">
    <w:name w:val="MiniTOCItem"/>
    <w:basedOn w:val="ListBullet"/>
    <w:rsid w:val="0056467A"/>
    <w:pPr>
      <w:numPr>
        <w:numId w:val="0"/>
      </w:numPr>
      <w:tabs>
        <w:tab w:val="right" w:leader="dot" w:pos="6521"/>
      </w:tabs>
      <w:spacing w:before="0" w:after="0"/>
    </w:pPr>
  </w:style>
  <w:style w:type="paragraph" w:customStyle="1" w:styleId="TOFTitle">
    <w:name w:val="TOFTitle"/>
    <w:basedOn w:val="TOCTitle"/>
    <w:rsid w:val="0056467A"/>
  </w:style>
  <w:style w:type="paragraph" w:styleId="TableofFigures">
    <w:name w:val="table of figures"/>
    <w:basedOn w:val="Normal"/>
    <w:next w:val="Normal"/>
    <w:semiHidden/>
    <w:rsid w:val="0056467A"/>
    <w:pPr>
      <w:tabs>
        <w:tab w:val="right" w:leader="dot" w:pos="9072"/>
      </w:tabs>
      <w:ind w:left="970" w:hanging="403"/>
    </w:pPr>
    <w:rPr>
      <w:rFonts w:ascii="Times New Roman" w:hAnsi="Times New Roman"/>
      <w:b/>
    </w:rPr>
  </w:style>
  <w:style w:type="paragraph" w:styleId="ListNumber">
    <w:name w:val="List Number"/>
    <w:basedOn w:val="List"/>
    <w:rsid w:val="0056467A"/>
    <w:pPr>
      <w:numPr>
        <w:numId w:val="14"/>
      </w:numPr>
      <w:tabs>
        <w:tab w:val="clear" w:pos="340"/>
      </w:tabs>
    </w:pPr>
  </w:style>
  <w:style w:type="character" w:customStyle="1" w:styleId="WingdingSymbols">
    <w:name w:val="Wingding Symbols"/>
    <w:rsid w:val="0056467A"/>
    <w:rPr>
      <w:rFonts w:ascii="Wingdings" w:hAnsi="Wingdings"/>
    </w:rPr>
  </w:style>
  <w:style w:type="paragraph" w:customStyle="1" w:styleId="TableHeading">
    <w:name w:val="Table Heading"/>
    <w:basedOn w:val="HeadingBase"/>
    <w:rsid w:val="0056467A"/>
    <w:pPr>
      <w:keepLines/>
      <w:pBdr>
        <w:bottom w:val="single" w:sz="6" w:space="1" w:color="918585"/>
      </w:pBdr>
      <w:spacing w:before="240"/>
    </w:pPr>
  </w:style>
  <w:style w:type="character" w:customStyle="1" w:styleId="HotSpot">
    <w:name w:val="HotSpot"/>
    <w:rsid w:val="0056467A"/>
    <w:rPr>
      <w:color w:val="0033CC"/>
      <w:u w:val="none"/>
    </w:rPr>
  </w:style>
  <w:style w:type="paragraph" w:customStyle="1" w:styleId="BodyTextRight">
    <w:name w:val="Body Text Right"/>
    <w:basedOn w:val="BodyText"/>
    <w:rsid w:val="0056467A"/>
    <w:pPr>
      <w:spacing w:before="0" w:after="0"/>
      <w:jc w:val="right"/>
    </w:pPr>
  </w:style>
  <w:style w:type="paragraph" w:styleId="Index3">
    <w:name w:val="index 3"/>
    <w:basedOn w:val="ListNumber2"/>
    <w:next w:val="Normal"/>
    <w:semiHidden/>
    <w:rsid w:val="0056467A"/>
    <w:pPr>
      <w:numPr>
        <w:numId w:val="0"/>
      </w:numPr>
      <w:tabs>
        <w:tab w:val="right" w:leader="dot" w:pos="4176"/>
      </w:tabs>
    </w:pPr>
  </w:style>
  <w:style w:type="paragraph" w:styleId="ListNumber2">
    <w:name w:val="List Number 2"/>
    <w:basedOn w:val="List2"/>
    <w:rsid w:val="0056467A"/>
    <w:pPr>
      <w:numPr>
        <w:numId w:val="9"/>
      </w:numPr>
      <w:tabs>
        <w:tab w:val="clear" w:pos="1060"/>
      </w:tabs>
    </w:pPr>
  </w:style>
  <w:style w:type="paragraph" w:customStyle="1" w:styleId="MarginNote">
    <w:name w:val="Margin Note"/>
    <w:basedOn w:val="BodyText"/>
    <w:rsid w:val="00564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6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67A"/>
    <w:rPr>
      <w:sz w:val="32"/>
    </w:rPr>
  </w:style>
  <w:style w:type="paragraph" w:customStyle="1" w:styleId="HeadingProcedure">
    <w:name w:val="Heading Procedure"/>
    <w:basedOn w:val="HeadingBase"/>
    <w:next w:val="Normal"/>
    <w:rsid w:val="0056467A"/>
    <w:pPr>
      <w:tabs>
        <w:tab w:val="left" w:pos="0"/>
      </w:tabs>
      <w:spacing w:before="120" w:after="60"/>
    </w:pPr>
    <w:rPr>
      <w:i/>
      <w:color w:val="918585"/>
      <w:sz w:val="22"/>
    </w:rPr>
  </w:style>
  <w:style w:type="paragraph" w:customStyle="1" w:styleId="TableBodyText">
    <w:name w:val="Table Body Text"/>
    <w:basedOn w:val="BodyText"/>
    <w:rsid w:val="0056467A"/>
    <w:pPr>
      <w:spacing w:before="60" w:after="60"/>
    </w:pPr>
  </w:style>
  <w:style w:type="paragraph" w:styleId="ListContinue">
    <w:name w:val="List Continue"/>
    <w:basedOn w:val="List"/>
    <w:rsid w:val="0056467A"/>
    <w:pPr>
      <w:ind w:firstLine="0"/>
    </w:pPr>
  </w:style>
  <w:style w:type="paragraph" w:customStyle="1" w:styleId="ListNote">
    <w:name w:val="List Note"/>
    <w:basedOn w:val="List"/>
    <w:rsid w:val="0056467A"/>
    <w:pPr>
      <w:pBdr>
        <w:top w:val="single" w:sz="6" w:space="2" w:color="918585"/>
        <w:bottom w:val="single" w:sz="6" w:space="2" w:color="918585"/>
      </w:pBdr>
      <w:tabs>
        <w:tab w:val="left" w:pos="1021"/>
      </w:tabs>
      <w:ind w:firstLine="0"/>
    </w:pPr>
  </w:style>
  <w:style w:type="paragraph" w:customStyle="1" w:styleId="Warning">
    <w:name w:val="Warning"/>
    <w:basedOn w:val="BodyText"/>
    <w:rsid w:val="0056467A"/>
    <w:pPr>
      <w:shd w:val="clear" w:color="auto" w:fill="D9D9D9"/>
      <w:tabs>
        <w:tab w:val="left" w:pos="992"/>
      </w:tabs>
      <w:ind w:left="119" w:right="119"/>
    </w:pPr>
    <w:rPr>
      <w:sz w:val="20"/>
    </w:rPr>
  </w:style>
  <w:style w:type="paragraph" w:customStyle="1" w:styleId="MarginIcons">
    <w:name w:val="Margin Icons"/>
    <w:basedOn w:val="BodyText"/>
    <w:rsid w:val="005646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67A"/>
    <w:rPr>
      <w:rFonts w:ascii="Courier New" w:hAnsi="Courier New"/>
    </w:rPr>
  </w:style>
  <w:style w:type="paragraph" w:customStyle="1" w:styleId="NoteBullet">
    <w:name w:val="Note Bullet"/>
    <w:basedOn w:val="Note"/>
    <w:rsid w:val="0056467A"/>
    <w:pPr>
      <w:tabs>
        <w:tab w:val="clear" w:pos="680"/>
      </w:tabs>
      <w:spacing w:before="60" w:after="60"/>
    </w:pPr>
  </w:style>
  <w:style w:type="paragraph" w:customStyle="1" w:styleId="SubHeading2">
    <w:name w:val="SubHeading2"/>
    <w:basedOn w:val="HeadingBase"/>
    <w:rsid w:val="0056467A"/>
    <w:pPr>
      <w:spacing w:before="240" w:after="60"/>
    </w:pPr>
    <w:rPr>
      <w:sz w:val="20"/>
    </w:rPr>
  </w:style>
  <w:style w:type="paragraph" w:customStyle="1" w:styleId="SubHeading1">
    <w:name w:val="SubHeading1"/>
    <w:basedOn w:val="HeadingBase"/>
    <w:rsid w:val="0056467A"/>
    <w:pPr>
      <w:spacing w:before="240" w:after="60"/>
    </w:pPr>
    <w:rPr>
      <w:color w:val="918585"/>
      <w:sz w:val="22"/>
    </w:rPr>
  </w:style>
  <w:style w:type="paragraph" w:customStyle="1" w:styleId="SideHeading">
    <w:name w:val="Side Heading"/>
    <w:basedOn w:val="HeadingBase"/>
    <w:rsid w:val="00564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67A"/>
    <w:pPr>
      <w:numPr>
        <w:numId w:val="10"/>
      </w:numPr>
    </w:pPr>
  </w:style>
  <w:style w:type="paragraph" w:styleId="PlainText">
    <w:name w:val="Plain Text"/>
    <w:basedOn w:val="Normal"/>
    <w:link w:val="PlainTextChar"/>
    <w:rsid w:val="0056467A"/>
    <w:rPr>
      <w:sz w:val="20"/>
    </w:rPr>
  </w:style>
  <w:style w:type="character" w:customStyle="1" w:styleId="PlainTextChar">
    <w:name w:val="Plain Text Char"/>
    <w:basedOn w:val="DefaultParagraphFont"/>
    <w:link w:val="PlainText"/>
    <w:rsid w:val="0056467A"/>
    <w:rPr>
      <w:rFonts w:ascii="Courier New" w:eastAsia="Times New Roman" w:hAnsi="Courier New" w:cs="Times New Roman"/>
      <w:sz w:val="20"/>
      <w:szCs w:val="20"/>
      <w:lang w:eastAsia="en-US"/>
    </w:rPr>
  </w:style>
  <w:style w:type="character" w:customStyle="1" w:styleId="MenuOption">
    <w:name w:val="Menu Option"/>
    <w:basedOn w:val="DefaultParagraphFont"/>
    <w:rsid w:val="0056467A"/>
    <w:rPr>
      <w:b/>
      <w:smallCaps/>
    </w:rPr>
  </w:style>
  <w:style w:type="paragraph" w:customStyle="1" w:styleId="TableListNumber">
    <w:name w:val="Table List Number"/>
    <w:basedOn w:val="ListNumber"/>
    <w:rsid w:val="0056467A"/>
    <w:pPr>
      <w:numPr>
        <w:numId w:val="0"/>
      </w:numPr>
    </w:pPr>
  </w:style>
  <w:style w:type="paragraph" w:styleId="TOC4">
    <w:name w:val="toc 4"/>
    <w:basedOn w:val="TOCBase"/>
    <w:next w:val="Normal"/>
    <w:semiHidden/>
    <w:rsid w:val="0056467A"/>
    <w:pPr>
      <w:tabs>
        <w:tab w:val="right" w:leader="dot" w:pos="9071"/>
      </w:tabs>
      <w:ind w:left="1701"/>
    </w:pPr>
  </w:style>
  <w:style w:type="paragraph" w:customStyle="1" w:styleId="ListAlpha">
    <w:name w:val="List Alpha"/>
    <w:basedOn w:val="List"/>
    <w:rsid w:val="0056467A"/>
    <w:pPr>
      <w:numPr>
        <w:numId w:val="8"/>
      </w:numPr>
    </w:pPr>
  </w:style>
  <w:style w:type="paragraph" w:customStyle="1" w:styleId="ListAlpha2">
    <w:name w:val="List Alpha 2"/>
    <w:basedOn w:val="List2"/>
    <w:rsid w:val="0056467A"/>
    <w:pPr>
      <w:numPr>
        <w:numId w:val="7"/>
      </w:numPr>
    </w:pPr>
  </w:style>
  <w:style w:type="paragraph" w:styleId="List2">
    <w:name w:val="List 2"/>
    <w:basedOn w:val="BodyText"/>
    <w:rsid w:val="0056467A"/>
    <w:pPr>
      <w:tabs>
        <w:tab w:val="left" w:pos="680"/>
      </w:tabs>
      <w:spacing w:before="60" w:after="60"/>
      <w:ind w:left="680" w:hanging="340"/>
    </w:pPr>
  </w:style>
  <w:style w:type="paragraph" w:styleId="List3">
    <w:name w:val="List 3"/>
    <w:basedOn w:val="BodyText"/>
    <w:rsid w:val="0056467A"/>
    <w:pPr>
      <w:tabs>
        <w:tab w:val="left" w:pos="1021"/>
      </w:tabs>
      <w:spacing w:before="60" w:after="60"/>
      <w:ind w:left="1020" w:hanging="340"/>
    </w:pPr>
  </w:style>
  <w:style w:type="paragraph" w:styleId="List4">
    <w:name w:val="List 4"/>
    <w:basedOn w:val="BodyText"/>
    <w:rsid w:val="0056467A"/>
    <w:pPr>
      <w:tabs>
        <w:tab w:val="left" w:pos="1361"/>
      </w:tabs>
      <w:spacing w:before="60" w:after="60"/>
      <w:ind w:left="1361" w:hanging="340"/>
    </w:pPr>
  </w:style>
  <w:style w:type="paragraph" w:styleId="List5">
    <w:name w:val="List 5"/>
    <w:basedOn w:val="BodyText"/>
    <w:rsid w:val="0056467A"/>
    <w:pPr>
      <w:tabs>
        <w:tab w:val="left" w:pos="1701"/>
      </w:tabs>
      <w:spacing w:before="60" w:after="60"/>
      <w:ind w:left="1701" w:hanging="340"/>
    </w:pPr>
  </w:style>
  <w:style w:type="paragraph" w:styleId="ListBullet3">
    <w:name w:val="List Bullet 3"/>
    <w:basedOn w:val="List3"/>
    <w:rsid w:val="0056467A"/>
    <w:pPr>
      <w:numPr>
        <w:numId w:val="13"/>
      </w:numPr>
      <w:tabs>
        <w:tab w:val="clear" w:pos="1021"/>
      </w:tabs>
      <w:ind w:left="1037" w:hanging="357"/>
    </w:pPr>
  </w:style>
  <w:style w:type="paragraph" w:styleId="ListBullet4">
    <w:name w:val="List Bullet 4"/>
    <w:basedOn w:val="List4"/>
    <w:rsid w:val="0056467A"/>
    <w:pPr>
      <w:numPr>
        <w:numId w:val="2"/>
      </w:numPr>
      <w:tabs>
        <w:tab w:val="clear" w:pos="1361"/>
      </w:tabs>
    </w:pPr>
  </w:style>
  <w:style w:type="paragraph" w:styleId="ListBullet5">
    <w:name w:val="List Bullet 5"/>
    <w:basedOn w:val="List5"/>
    <w:rsid w:val="0056467A"/>
    <w:pPr>
      <w:numPr>
        <w:numId w:val="3"/>
      </w:numPr>
    </w:pPr>
  </w:style>
  <w:style w:type="paragraph" w:styleId="ListContinue2">
    <w:name w:val="List Continue 2"/>
    <w:basedOn w:val="List2"/>
    <w:rsid w:val="0056467A"/>
    <w:pPr>
      <w:ind w:firstLine="0"/>
    </w:pPr>
  </w:style>
  <w:style w:type="paragraph" w:styleId="ListContinue3">
    <w:name w:val="List Continue 3"/>
    <w:basedOn w:val="List3"/>
    <w:rsid w:val="0056467A"/>
    <w:pPr>
      <w:ind w:left="1021" w:firstLine="0"/>
    </w:pPr>
  </w:style>
  <w:style w:type="paragraph" w:styleId="ListContinue4">
    <w:name w:val="List Continue 4"/>
    <w:basedOn w:val="List4"/>
    <w:rsid w:val="0056467A"/>
    <w:pPr>
      <w:ind w:firstLine="0"/>
    </w:pPr>
  </w:style>
  <w:style w:type="paragraph" w:styleId="ListContinue5">
    <w:name w:val="List Continue 5"/>
    <w:basedOn w:val="List5"/>
    <w:rsid w:val="0056467A"/>
    <w:pPr>
      <w:ind w:firstLine="0"/>
    </w:pPr>
  </w:style>
  <w:style w:type="paragraph" w:styleId="ListNumber3">
    <w:name w:val="List Number 3"/>
    <w:basedOn w:val="List3"/>
    <w:rsid w:val="0056467A"/>
    <w:pPr>
      <w:numPr>
        <w:numId w:val="4"/>
      </w:numPr>
    </w:pPr>
  </w:style>
  <w:style w:type="paragraph" w:styleId="ListNumber4">
    <w:name w:val="List Number 4"/>
    <w:basedOn w:val="List4"/>
    <w:rsid w:val="0056467A"/>
    <w:pPr>
      <w:numPr>
        <w:numId w:val="5"/>
      </w:numPr>
    </w:pPr>
  </w:style>
  <w:style w:type="paragraph" w:styleId="ListNumber5">
    <w:name w:val="List Number 5"/>
    <w:basedOn w:val="List5"/>
    <w:rsid w:val="0056467A"/>
    <w:pPr>
      <w:numPr>
        <w:numId w:val="6"/>
      </w:numPr>
    </w:pPr>
  </w:style>
  <w:style w:type="paragraph" w:styleId="BlockText">
    <w:name w:val="Block Text"/>
    <w:basedOn w:val="Normal"/>
    <w:rsid w:val="0056467A"/>
    <w:pPr>
      <w:spacing w:after="120"/>
      <w:ind w:left="1440" w:right="1440"/>
    </w:pPr>
  </w:style>
  <w:style w:type="character" w:customStyle="1" w:styleId="Subscript">
    <w:name w:val="Subscript"/>
    <w:basedOn w:val="DefaultParagraphFont"/>
    <w:rsid w:val="0056467A"/>
    <w:rPr>
      <w:sz w:val="16"/>
      <w:vertAlign w:val="subscript"/>
    </w:rPr>
  </w:style>
  <w:style w:type="character" w:customStyle="1" w:styleId="Superscript">
    <w:name w:val="Superscript"/>
    <w:basedOn w:val="DefaultParagraphFont"/>
    <w:rsid w:val="0056467A"/>
    <w:rPr>
      <w:sz w:val="16"/>
      <w:vertAlign w:val="superscript"/>
    </w:rPr>
  </w:style>
  <w:style w:type="character" w:customStyle="1" w:styleId="Symbols">
    <w:name w:val="Symbols"/>
    <w:basedOn w:val="DefaultParagraphFont"/>
    <w:rsid w:val="0056467A"/>
    <w:rPr>
      <w:rFonts w:ascii="Symbol" w:hAnsi="Symbol"/>
    </w:rPr>
  </w:style>
  <w:style w:type="character" w:customStyle="1" w:styleId="MenuOptions">
    <w:name w:val="Menu Options"/>
    <w:basedOn w:val="DefaultParagraphFont"/>
    <w:rsid w:val="0056467A"/>
    <w:rPr>
      <w:rFonts w:ascii="Arial Narrow" w:hAnsi="Arial Narrow"/>
      <w:smallCaps/>
    </w:rPr>
  </w:style>
  <w:style w:type="character" w:customStyle="1" w:styleId="Buttons">
    <w:name w:val="Buttons"/>
    <w:basedOn w:val="DefaultParagraphFont"/>
    <w:rsid w:val="0056467A"/>
    <w:rPr>
      <w:b/>
    </w:rPr>
  </w:style>
  <w:style w:type="character" w:customStyle="1" w:styleId="Underlined">
    <w:name w:val="Underlined"/>
    <w:basedOn w:val="DefaultParagraphFont"/>
    <w:rsid w:val="0056467A"/>
    <w:rPr>
      <w:u w:val="single"/>
    </w:rPr>
  </w:style>
  <w:style w:type="paragraph" w:customStyle="1" w:styleId="TableBodyTextRight">
    <w:name w:val="Table Body Text Right"/>
    <w:basedOn w:val="TableBodyText"/>
    <w:rsid w:val="0056467A"/>
    <w:pPr>
      <w:widowControl w:val="0"/>
      <w:autoSpaceDE w:val="0"/>
      <w:autoSpaceDN w:val="0"/>
      <w:adjustRightInd w:val="0"/>
      <w:jc w:val="right"/>
    </w:pPr>
    <w:rPr>
      <w:rFonts w:cs="Arial"/>
      <w:szCs w:val="18"/>
    </w:rPr>
  </w:style>
  <w:style w:type="paragraph" w:customStyle="1" w:styleId="CopyrightText">
    <w:name w:val="Copyright Text"/>
    <w:basedOn w:val="BodyText"/>
    <w:rsid w:val="0056467A"/>
    <w:rPr>
      <w:sz w:val="18"/>
    </w:rPr>
  </w:style>
  <w:style w:type="paragraph" w:customStyle="1" w:styleId="BodySmallRight">
    <w:name w:val="Body Small Right"/>
    <w:basedOn w:val="BodyTextRight"/>
    <w:rsid w:val="0056467A"/>
    <w:rPr>
      <w:sz w:val="18"/>
      <w:szCs w:val="18"/>
    </w:rPr>
  </w:style>
  <w:style w:type="paragraph" w:customStyle="1" w:styleId="MarginEdition">
    <w:name w:val="Margin Edition"/>
    <w:basedOn w:val="MarginNote"/>
    <w:rsid w:val="0056467A"/>
    <w:pPr>
      <w:spacing w:before="0" w:after="0"/>
    </w:pPr>
    <w:rPr>
      <w:rFonts w:ascii="Times New Roman" w:hAnsi="Times New Roman"/>
      <w:color w:val="999999"/>
    </w:rPr>
  </w:style>
  <w:style w:type="paragraph" w:customStyle="1" w:styleId="Spacer">
    <w:name w:val="Spacer"/>
    <w:basedOn w:val="Normal"/>
    <w:rsid w:val="0056467A"/>
    <w:rPr>
      <w:sz w:val="2"/>
      <w:szCs w:val="2"/>
    </w:rPr>
  </w:style>
  <w:style w:type="character" w:customStyle="1" w:styleId="Small">
    <w:name w:val="Small"/>
    <w:basedOn w:val="DefaultParagraphFont"/>
    <w:rsid w:val="0056467A"/>
    <w:rPr>
      <w:sz w:val="16"/>
    </w:rPr>
  </w:style>
  <w:style w:type="paragraph" w:customStyle="1" w:styleId="WideTable">
    <w:name w:val="Wide Table"/>
    <w:basedOn w:val="Normal"/>
    <w:rsid w:val="0056467A"/>
    <w:pPr>
      <w:ind w:left="-1418"/>
    </w:pPr>
    <w:rPr>
      <w:sz w:val="2"/>
      <w:szCs w:val="2"/>
    </w:rPr>
  </w:style>
  <w:style w:type="character" w:styleId="PageNumber">
    <w:name w:val="page number"/>
    <w:basedOn w:val="DefaultParagraphFont"/>
    <w:rsid w:val="0056467A"/>
  </w:style>
  <w:style w:type="paragraph" w:styleId="Quote">
    <w:name w:val="Quote"/>
    <w:basedOn w:val="Heading1"/>
    <w:link w:val="QuoteChar"/>
    <w:qFormat/>
    <w:rsid w:val="0056467A"/>
    <w:rPr>
      <w:b w:val="0"/>
      <w:sz w:val="72"/>
      <w:szCs w:val="72"/>
      <w:lang w:val="en-NZ"/>
    </w:rPr>
  </w:style>
  <w:style w:type="character" w:customStyle="1" w:styleId="QuoteChar">
    <w:name w:val="Quote Char"/>
    <w:basedOn w:val="DefaultParagraphFont"/>
    <w:link w:val="Quote"/>
    <w:rsid w:val="00564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67A"/>
    <w:pPr>
      <w:pageBreakBefore/>
    </w:pPr>
  </w:style>
  <w:style w:type="paragraph" w:customStyle="1" w:styleId="Border">
    <w:name w:val="Border"/>
    <w:basedOn w:val="Normal"/>
    <w:qFormat/>
    <w:rsid w:val="005646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67A"/>
    <w:rPr>
      <w:b/>
      <w:bCs/>
      <w:i/>
      <w:iCs/>
      <w:color w:val="auto"/>
    </w:rPr>
  </w:style>
  <w:style w:type="paragraph" w:styleId="IntenseQuote">
    <w:name w:val="Intense Quote"/>
    <w:basedOn w:val="Normal"/>
    <w:next w:val="Normal"/>
    <w:link w:val="IntenseQuoteChar"/>
    <w:uiPriority w:val="30"/>
    <w:qFormat/>
    <w:rsid w:val="005646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6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67A"/>
    <w:rPr>
      <w:smallCaps/>
      <w:color w:val="auto"/>
      <w:u w:val="single"/>
    </w:rPr>
  </w:style>
  <w:style w:type="character" w:styleId="IntenseReference">
    <w:name w:val="Intense Reference"/>
    <w:basedOn w:val="DefaultParagraphFont"/>
    <w:uiPriority w:val="32"/>
    <w:qFormat/>
    <w:rsid w:val="0056467A"/>
    <w:rPr>
      <w:b/>
      <w:bCs/>
      <w:smallCaps/>
      <w:color w:val="auto"/>
      <w:spacing w:val="5"/>
      <w:u w:val="single"/>
    </w:rPr>
  </w:style>
  <w:style w:type="paragraph" w:customStyle="1" w:styleId="2ColumnHeading">
    <w:name w:val="2Column Heading"/>
    <w:basedOn w:val="BodyText"/>
    <w:qFormat/>
    <w:rsid w:val="0056467A"/>
    <w:pPr>
      <w:spacing w:after="60"/>
      <w:ind w:left="-2268"/>
    </w:pPr>
    <w:rPr>
      <w:b/>
    </w:rPr>
  </w:style>
  <w:style w:type="paragraph" w:customStyle="1" w:styleId="Heading1TOC">
    <w:name w:val="Heading1 TOC"/>
    <w:basedOn w:val="Normal"/>
    <w:qFormat/>
    <w:rsid w:val="0056467A"/>
    <w:pPr>
      <w:spacing w:before="240" w:after="120"/>
    </w:pPr>
    <w:rPr>
      <w:rFonts w:ascii="Times New Roman" w:hAnsi="Times New Roman"/>
      <w:b/>
      <w:sz w:val="32"/>
    </w:rPr>
  </w:style>
  <w:style w:type="paragraph" w:customStyle="1" w:styleId="Heading2TOC">
    <w:name w:val="Heading2 TOC"/>
    <w:basedOn w:val="Normal"/>
    <w:qFormat/>
    <w:rsid w:val="0056467A"/>
    <w:pPr>
      <w:spacing w:before="240" w:after="60"/>
    </w:pPr>
    <w:rPr>
      <w:rFonts w:ascii="Times New Roman" w:hAnsi="Times New Roman"/>
      <w:b/>
      <w:sz w:val="28"/>
    </w:rPr>
  </w:style>
  <w:style w:type="character" w:customStyle="1" w:styleId="Underline">
    <w:name w:val="Underline"/>
    <w:basedOn w:val="DefaultParagraphFont"/>
    <w:qFormat/>
    <w:rsid w:val="0056467A"/>
    <w:rPr>
      <w:u w:val="single"/>
    </w:rPr>
  </w:style>
  <w:style w:type="character" w:customStyle="1" w:styleId="BoldandItalics">
    <w:name w:val="Bold and Italics"/>
    <w:qFormat/>
    <w:rsid w:val="0056467A"/>
    <w:rPr>
      <w:b/>
      <w:i/>
      <w:u w:val="none"/>
    </w:rPr>
  </w:style>
  <w:style w:type="paragraph" w:styleId="BalloonText">
    <w:name w:val="Balloon Text"/>
    <w:basedOn w:val="Normal"/>
    <w:link w:val="BalloonTextChar"/>
    <w:rsid w:val="0056467A"/>
    <w:rPr>
      <w:rFonts w:ascii="Tahoma" w:hAnsi="Tahoma" w:cs="Tahoma"/>
      <w:sz w:val="16"/>
      <w:szCs w:val="16"/>
    </w:rPr>
  </w:style>
  <w:style w:type="character" w:customStyle="1" w:styleId="BalloonTextChar">
    <w:name w:val="Balloon Text Char"/>
    <w:basedOn w:val="DefaultParagraphFont"/>
    <w:link w:val="BalloonText"/>
    <w:rsid w:val="005646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6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6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67A"/>
    <w:rPr>
      <w:b/>
      <w:color w:val="660033"/>
      <w:spacing w:val="0"/>
    </w:rPr>
  </w:style>
  <w:style w:type="paragraph" w:customStyle="1" w:styleId="Nameditemlist">
    <w:name w:val="Named item list"/>
    <w:basedOn w:val="BodyText"/>
    <w:qFormat/>
    <w:rsid w:val="0056467A"/>
    <w:pPr>
      <w:tabs>
        <w:tab w:val="left" w:pos="2835"/>
      </w:tabs>
      <w:ind w:left="2835" w:hanging="2835"/>
    </w:pPr>
  </w:style>
  <w:style w:type="paragraph" w:customStyle="1" w:styleId="BodyTextnopadding">
    <w:name w:val="Body Text no padding"/>
    <w:basedOn w:val="BodyText"/>
    <w:qFormat/>
    <w:rsid w:val="0056467A"/>
    <w:pPr>
      <w:spacing w:before="0" w:after="0"/>
    </w:pPr>
  </w:style>
  <w:style w:type="paragraph" w:customStyle="1" w:styleId="BodyTextBold">
    <w:name w:val="Body Text Bold"/>
    <w:basedOn w:val="BodyText"/>
    <w:qFormat/>
    <w:rsid w:val="0056467A"/>
    <w:rPr>
      <w:b/>
    </w:rPr>
  </w:style>
  <w:style w:type="character" w:styleId="Hyperlink">
    <w:name w:val="Hyperlink"/>
    <w:basedOn w:val="DefaultParagraphFont"/>
    <w:uiPriority w:val="99"/>
    <w:unhideWhenUsed/>
    <w:rsid w:val="009004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1743</Words>
  <Characters>10289</Characters>
  <Application>Microsoft Office Word</Application>
  <DocSecurity>0</DocSecurity>
  <Lines>571</Lines>
  <Paragraphs>267</Paragraphs>
  <ScaleCrop>false</ScaleCrop>
  <Company>Author-it Software Corporation Ltd.</Company>
  <LinksUpToDate>false</LinksUpToDate>
  <CharactersWithSpaces>11765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MARL052 Demonstrate advanced knowledge of marine steam turbines and main boilers</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