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B49" w:rsidP="00525B49">
      <w:pPr>
        <w:pStyle w:val="Title"/>
      </w:pPr>
      <w:r>
        <w:fldChar w:fldCharType="begin"/>
      </w:r>
      <w:r>
        <w:instrText xml:space="preserve"> TITLE   \* MERGEFORMAT </w:instrText>
      </w:r>
      <w:r>
        <w:fldChar w:fldCharType="separate"/>
      </w:r>
      <w:r>
        <w:t>MARL047 Demonstrate advanced knowledge of marine auxiliary boilers</w:t>
      </w:r>
      <w:r>
        <w:fldChar w:fldCharType="end"/>
      </w:r>
    </w:p>
    <w:p w:rsidR="00525B49" w:rsidP="00525B49">
      <w:pPr>
        <w:pStyle w:val="Version"/>
        <w:sectPr w:rsidSect="00637C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7C3E" w:rsidP="00637C3E">
      <w:pPr>
        <w:pStyle w:val="SuperHeading"/>
      </w:pPr>
      <w:r w:rsidRPr="00637C3E">
        <w:t>MARL047 Demonstrate advanced knowledge of marine auxiliary boilers</w:t>
      </w:r>
    </w:p>
    <w:p w:rsidR="00000000" w:rsidRPr="00637C3E" w:rsidP="00637C3E">
      <w:pPr>
        <w:pStyle w:val="Heading1"/>
      </w:pPr>
      <w:bookmarkStart w:id="1" w:name="O_1087807"/>
      <w:bookmarkEnd w:id="1"/>
      <w:r w:rsidRPr="00637C3E">
        <w:t>Modification History</w:t>
      </w:r>
    </w:p>
    <w:tbl>
      <w:tblPr>
        <w:tblW w:w="9497" w:type="dxa"/>
        <w:tblLayout w:type="fixed"/>
        <w:tblCellMar>
          <w:left w:w="62" w:type="dxa"/>
          <w:right w:w="62" w:type="dxa"/>
        </w:tblCellMar>
        <w:tblLook w:val="0000"/>
      </w:tblPr>
      <w:tblGrid>
        <w:gridCol w:w="9497"/>
      </w:tblGrid>
      <w:tr w:rsidTr="00637C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t>Release 1. This is the first release of this unit of competency in the MAR Maritime Training Package.</w:t>
            </w:r>
          </w:p>
        </w:tc>
      </w:tr>
    </w:tbl>
    <w:p w:rsidR="00525B49" w:rsidP="00637C3E">
      <w:pPr>
        <w:pStyle w:val="NoPaddingFontSize1"/>
      </w:pPr>
    </w:p>
    <w:p w:rsidR="00525B49" w:rsidP="00637C3E">
      <w:pPr>
        <w:pStyle w:val="NoPaddingFontSize1"/>
      </w:pPr>
    </w:p>
    <w:p w:rsidR="00000000" w:rsidRPr="00637C3E" w:rsidP="00637C3E">
      <w:pPr>
        <w:pStyle w:val="Heading1"/>
      </w:pPr>
      <w:bookmarkStart w:id="2" w:name="O_1087808"/>
      <w:bookmarkEnd w:id="2"/>
      <w:r w:rsidRPr="00637C3E">
        <w:t>Application</w:t>
      </w:r>
    </w:p>
    <w:tbl>
      <w:tblPr>
        <w:tblW w:w="9497" w:type="dxa"/>
        <w:tblLayout w:type="fixed"/>
        <w:tblCellMar>
          <w:left w:w="62" w:type="dxa"/>
          <w:right w:w="62" w:type="dxa"/>
        </w:tblCellMar>
        <w:tblLook w:val="0000"/>
      </w:tblPr>
      <w:tblGrid>
        <w:gridCol w:w="9497"/>
      </w:tblGrid>
      <w:tr w:rsidTr="00637C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t xml:space="preserve">This unit involves the skills and knowledge required to operate and maintain marine auxiliary boilers on a commercial vessel. It includes evaluating steam plant efficiency, interpreting steam plant cycles, evaluating repairs required for boilers and steam </w:t>
            </w:r>
            <w:r w:rsidRPr="00637C3E">
              <w:t>plants, outlining survey procedures, and explaining operating steam plant under different conditions.</w:t>
            </w:r>
          </w:p>
          <w:p w:rsidR="00000000" w:rsidRPr="00637C3E" w:rsidP="00637C3E">
            <w:pPr>
              <w:pStyle w:val="BodyText"/>
            </w:pPr>
            <w:r w:rsidRPr="00637C3E">
              <w:t>This unit applies to people working in the maritime industry in the capacity of:</w:t>
            </w:r>
          </w:p>
          <w:p w:rsidR="00000000" w:rsidRPr="00637C3E" w:rsidP="00637C3E">
            <w:pPr>
              <w:pStyle w:val="ListBullet2"/>
            </w:pPr>
            <w:r w:rsidRPr="00637C3E">
              <w:t>Engineer Class 1 (STCW Chief Engineer Unlimited)</w:t>
            </w:r>
          </w:p>
          <w:p w:rsidR="00000000" w:rsidRPr="00637C3E" w:rsidP="00637C3E">
            <w:pPr>
              <w:pStyle w:val="ListBullet2"/>
            </w:pPr>
            <w:r w:rsidRPr="00637C3E">
              <w:t xml:space="preserve">Engineer Class 2 (STCW </w:t>
            </w:r>
            <w:r w:rsidRPr="00637C3E">
              <w:t>Second Engineer Unlimited).</w:t>
            </w:r>
          </w:p>
          <w:p w:rsidR="00000000" w:rsidRPr="00637C3E" w:rsidP="00637C3E">
            <w:pPr>
              <w:pStyle w:val="BodyText"/>
            </w:pPr>
            <w:r w:rsidRPr="00637C3E">
              <w:rPr>
                <w:rStyle w:val="SpecialBold"/>
              </w:rPr>
              <w:t>Licensing/Regulatory Information</w:t>
            </w:r>
          </w:p>
          <w:p w:rsidR="00000000" w:rsidRPr="00637C3E" w:rsidP="00637C3E">
            <w:pPr>
              <w:pStyle w:val="BodyText"/>
            </w:pPr>
            <w:r w:rsidRPr="00637C3E">
              <w:t xml:space="preserve">Legislative and regulatory requirements are applicable to this unit.  </w:t>
            </w:r>
          </w:p>
          <w:p w:rsidR="00000000" w:rsidRPr="00637C3E" w:rsidP="00637C3E">
            <w:pPr>
              <w:pStyle w:val="ListBullet2"/>
            </w:pPr>
            <w:r w:rsidRPr="00637C3E">
              <w:t xml:space="preserve">This unit is one of the requirements to obtain Australian Maritime Safety Authority (AMSA) </w:t>
            </w:r>
            <w:r w:rsidRPr="00637C3E">
              <w:t>certification as an Engineer Class 1 (STCW Chief Engineer Unlimited) or Engineer Class 2 (STCW Second Engineer Unlimited) and to meet regulatory requirements this unit must be delivered consistent with Marine Orders and with the relevant sections of the In</w:t>
            </w:r>
            <w:r w:rsidRPr="00637C3E">
              <w:t>ternational Convention on Standards of Training, Certification and Watchkeeping for Seafarers (STCW).</w:t>
            </w:r>
          </w:p>
          <w:p w:rsidR="00000000" w:rsidRPr="00637C3E" w:rsidP="00637C3E">
            <w:pPr>
              <w:pStyle w:val="ListBullet2"/>
            </w:pPr>
            <w:r w:rsidRPr="00637C3E">
              <w:t>Those regulatory requirements include STCW International Maritime Organization (IMO) model course competencies and areas of knowledge, understanding and p</w:t>
            </w:r>
            <w:r w:rsidRPr="00637C3E">
              <w:t>roficiency, together with the estimated total hours required for lectures and practical exercises. Teaching staff should note that timings are suggestions only and should be adapted to suit individual groups of trainees depending on their experience, abili</w:t>
            </w:r>
            <w:r w:rsidRPr="00637C3E">
              <w:t>ty, equipment and staff available for training.</w:t>
            </w:r>
          </w:p>
        </w:tc>
      </w:tr>
    </w:tbl>
    <w:p w:rsidR="00525B49" w:rsidP="00637C3E">
      <w:pPr>
        <w:pStyle w:val="NoPaddingFontSize1"/>
      </w:pPr>
    </w:p>
    <w:p w:rsidR="00525B49" w:rsidP="00637C3E">
      <w:pPr>
        <w:pStyle w:val="NoPaddingFontSize1"/>
      </w:pPr>
    </w:p>
    <w:p w:rsidR="00000000" w:rsidRPr="00637C3E" w:rsidP="00637C3E">
      <w:pPr>
        <w:pStyle w:val="Heading1"/>
      </w:pPr>
      <w:bookmarkStart w:id="3" w:name="O_1087809"/>
      <w:bookmarkEnd w:id="3"/>
      <w:r w:rsidRPr="00637C3E">
        <w:t>Pre-requisite Unit</w:t>
      </w:r>
    </w:p>
    <w:tbl>
      <w:tblPr>
        <w:tblW w:w="9497" w:type="dxa"/>
        <w:tblLayout w:type="fixed"/>
        <w:tblCellMar>
          <w:left w:w="62" w:type="dxa"/>
          <w:right w:w="62" w:type="dxa"/>
        </w:tblCellMar>
        <w:tblLook w:val="0000"/>
      </w:tblPr>
      <w:tblGrid>
        <w:gridCol w:w="9497"/>
      </w:tblGrid>
      <w:tr w:rsidTr="00637C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t>Not applicable.</w:t>
            </w:r>
          </w:p>
        </w:tc>
      </w:tr>
    </w:tbl>
    <w:p w:rsidR="00525B49" w:rsidP="00637C3E">
      <w:pPr>
        <w:pStyle w:val="NoPaddingFontSize1"/>
      </w:pPr>
    </w:p>
    <w:p w:rsidR="00525B49" w:rsidP="00637C3E">
      <w:pPr>
        <w:pStyle w:val="NoPaddingFontSize1"/>
      </w:pPr>
    </w:p>
    <w:p w:rsidR="00000000" w:rsidRPr="00637C3E" w:rsidP="00637C3E">
      <w:pPr>
        <w:pStyle w:val="Heading1"/>
      </w:pPr>
      <w:bookmarkStart w:id="4" w:name="O_1087810"/>
      <w:bookmarkEnd w:id="4"/>
      <w:r w:rsidRPr="00637C3E">
        <w:t>Competency Field</w:t>
      </w:r>
    </w:p>
    <w:tbl>
      <w:tblPr>
        <w:tblW w:w="9497" w:type="dxa"/>
        <w:tblLayout w:type="fixed"/>
        <w:tblCellMar>
          <w:left w:w="62" w:type="dxa"/>
          <w:right w:w="62" w:type="dxa"/>
        </w:tblCellMar>
        <w:tblLook w:val="0000"/>
      </w:tblPr>
      <w:tblGrid>
        <w:gridCol w:w="9497"/>
      </w:tblGrid>
      <w:tr w:rsidTr="00637C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t>L – Engineering</w:t>
            </w:r>
          </w:p>
        </w:tc>
      </w:tr>
    </w:tbl>
    <w:p w:rsidR="00525B49" w:rsidP="00637C3E">
      <w:pPr>
        <w:pStyle w:val="NoPaddingFontSize1"/>
      </w:pPr>
    </w:p>
    <w:p w:rsidR="00525B49" w:rsidP="00637C3E">
      <w:pPr>
        <w:pStyle w:val="NoPaddingFontSize1"/>
      </w:pPr>
    </w:p>
    <w:p w:rsidR="00000000" w:rsidRPr="00637C3E" w:rsidP="00637C3E">
      <w:pPr>
        <w:pStyle w:val="Heading1"/>
      </w:pPr>
      <w:bookmarkStart w:id="5" w:name="O_1087811"/>
      <w:bookmarkEnd w:id="5"/>
      <w:r w:rsidRPr="00637C3E">
        <w:t>Unit Sector</w:t>
      </w:r>
    </w:p>
    <w:tbl>
      <w:tblPr>
        <w:tblW w:w="9497" w:type="dxa"/>
        <w:tblLayout w:type="fixed"/>
        <w:tblCellMar>
          <w:left w:w="62" w:type="dxa"/>
          <w:right w:w="62" w:type="dxa"/>
        </w:tblCellMar>
        <w:tblLook w:val="0000"/>
      </w:tblPr>
      <w:tblGrid>
        <w:gridCol w:w="9497"/>
      </w:tblGrid>
      <w:tr w:rsidTr="00637C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t>Not applicable.</w:t>
            </w:r>
          </w:p>
        </w:tc>
      </w:tr>
    </w:tbl>
    <w:p w:rsidR="00525B49" w:rsidP="00637C3E">
      <w:pPr>
        <w:pStyle w:val="NoPaddingFontSize1"/>
      </w:pPr>
    </w:p>
    <w:p w:rsidR="00525B49" w:rsidP="00637C3E">
      <w:pPr>
        <w:pStyle w:val="NoPaddingFontSize1"/>
      </w:pPr>
    </w:p>
    <w:p w:rsidR="00000000" w:rsidRPr="00637C3E" w:rsidP="00637C3E">
      <w:pPr>
        <w:pStyle w:val="Heading1"/>
      </w:pPr>
      <w:bookmarkStart w:id="6" w:name="O_1087812"/>
      <w:bookmarkEnd w:id="6"/>
      <w:r w:rsidRPr="00637C3E">
        <w:t>Elements and Performance Criteria</w:t>
      </w:r>
    </w:p>
    <w:tbl>
      <w:tblPr>
        <w:tblW w:w="9497" w:type="dxa"/>
        <w:tblLayout w:type="fixed"/>
        <w:tblCellMar>
          <w:left w:w="62" w:type="dxa"/>
          <w:right w:w="62" w:type="dxa"/>
        </w:tblCellMar>
        <w:tblLook w:val="0000"/>
      </w:tblPr>
      <w:tblGrid>
        <w:gridCol w:w="483"/>
        <w:gridCol w:w="2839"/>
        <w:gridCol w:w="721"/>
        <w:gridCol w:w="5454"/>
      </w:tblGrid>
      <w:tr w:rsidTr="00637C3E">
        <w:tblPrEx>
          <w:tblW w:w="9497" w:type="dxa"/>
          <w:tblLayout w:type="fixed"/>
          <w:tblCellMar>
            <w:left w:w="62" w:type="dxa"/>
            <w:right w:w="62" w:type="dxa"/>
          </w:tblCellMar>
          <w:tblLook w:val="0000"/>
        </w:tblPrEx>
        <w:tc>
          <w:tcPr>
            <w:tcW w:w="3322" w:type="dxa"/>
            <w:gridSpan w:val="2"/>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ELEMENTS</w:t>
            </w:r>
          </w:p>
        </w:tc>
        <w:tc>
          <w:tcPr>
            <w:tcW w:w="6175" w:type="dxa"/>
            <w:gridSpan w:val="2"/>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PERFORMANCE CRITERIA</w:t>
            </w:r>
            <w:r w:rsidRPr="00637C3E">
              <w:rPr>
                <w:rStyle w:val="SpecialBold"/>
              </w:rPr>
              <w:tab/>
            </w:r>
          </w:p>
        </w:tc>
      </w:tr>
      <w:tr w:rsidTr="00637C3E">
        <w:tblPrEx>
          <w:tblW w:w="9497" w:type="dxa"/>
          <w:tblLayout w:type="fixed"/>
          <w:tblCellMar>
            <w:left w:w="62" w:type="dxa"/>
            <w:right w:w="62" w:type="dxa"/>
          </w:tblCellMar>
          <w:tblLook w:val="0000"/>
        </w:tblPrEx>
        <w:tc>
          <w:tcPr>
            <w:tcW w:w="3322" w:type="dxa"/>
            <w:gridSpan w:val="2"/>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Elements describe the essential outcomes.</w:t>
            </w:r>
          </w:p>
        </w:tc>
        <w:tc>
          <w:tcPr>
            <w:tcW w:w="6175" w:type="dxa"/>
            <w:gridSpan w:val="2"/>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Performance criteria describe the performance needed to demonstrate achievement of the element.</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1</w:t>
            </w:r>
          </w:p>
        </w:tc>
        <w:tc>
          <w:tcPr>
            <w:tcW w:w="2839"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Outline responsibilities of an Engineer Class 2 in relation to auxiliary boiler and steam plant of a vessel</w:t>
            </w: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1.1</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Commonwealth, state/territory and local legislation and regulations that relate to marine boilers and steam plant in terms of safety, repairs an</w:t>
            </w:r>
            <w:r w:rsidRPr="00637C3E">
              <w:t>d pollution, including implementation, is identified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1.2</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Safe operating practices for all steam plant are examined and standing orders as to their operation are prepared or modified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1.3</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Procedures for establishing engine room staff who are fully conversant with safe practices for boiler operation are outlined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2</w:t>
            </w:r>
          </w:p>
        </w:tc>
        <w:tc>
          <w:tcPr>
            <w:tcW w:w="2839"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Evaluate design and construction of marine auxiliary boilers</w:t>
            </w: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2.1</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Typical boiler types illustrating cross-section, attachments an</w:t>
            </w:r>
            <w:r w:rsidRPr="00637C3E">
              <w:t>d location of all fittings, mountings, scantlings and method of achieving circulation are examined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2.2</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Material requirements for boiler components are identified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2.3</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Construction of different types of boilers is analysed and difference recorded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3</w:t>
            </w:r>
          </w:p>
        </w:tc>
        <w:tc>
          <w:tcPr>
            <w:tcW w:w="2839"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Ev</w:t>
            </w:r>
            <w:r w:rsidRPr="00637C3E">
              <w:rPr>
                <w:rStyle w:val="SpecialBold"/>
              </w:rPr>
              <w:t>aluate boiler and steam plant repairs</w:t>
            </w: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3.1</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Types and properties of materials used in boilers and steam plant are identified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3.2</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Common component failures in boilers and steam plant are explained and reported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3.3</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Appropriate repairs for failed components in boilers and steam plant are determined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3.4</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Constraints on engineering staff engaged in repairing boilers and steam plant are explained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3.5</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Requirements to report defects in pressurised components of boiler</w:t>
            </w:r>
            <w:r w:rsidRPr="00637C3E">
              <w:t>s are identified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4</w:t>
            </w:r>
          </w:p>
        </w:tc>
        <w:tc>
          <w:tcPr>
            <w:tcW w:w="2839"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Evaluate design and operation of thermal fluid heating plants</w:t>
            </w: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4.1</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Different gauge glass types are compared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4.2</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Typical thermal fluid heating plant is explained and advantages and limitations of the system are identified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4.3</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Locations and functions of all fittings and safety devices in a typical thermal fluid system are explained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4.4</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Properties of thermal fluid, effects of contamination and methods of testing fluid are analysed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4.5</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Hazards associated with heat t</w:t>
            </w:r>
            <w:r w:rsidRPr="00637C3E">
              <w:t>ransfer oil systems are analysed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4.6</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Routine maintenance procedures associated with heat transfer oil systems are outlined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5</w:t>
            </w:r>
          </w:p>
        </w:tc>
        <w:tc>
          <w:tcPr>
            <w:tcW w:w="2839"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Evaluate layout and design of marine steam systems and components</w:t>
            </w: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5.1</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Thermal fluid heating is compared to conventional steam p</w:t>
            </w:r>
            <w:r w:rsidRPr="00637C3E">
              <w:t>lant</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5.2</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Typical steam system layout showing location of all components on feed and heating side is detailed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5.3</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Material requirements for steam system components are identified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5.4</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Reasons for operating plant and systems at nominated temperatures and pressures, and effects of departing from these parameters, are explained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6</w:t>
            </w:r>
          </w:p>
        </w:tc>
        <w:tc>
          <w:tcPr>
            <w:tcW w:w="2839"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Interpret complex steam plant cycles</w:t>
            </w: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6.1</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Operation, function and efficiency of dual pressure cycles and steam/</w:t>
            </w:r>
            <w:r w:rsidRPr="00637C3E">
              <w:t>steam generators are compared and contrasted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6.2</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Operation of dual pressure and pass in/out turbines is explained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7</w:t>
            </w:r>
          </w:p>
        </w:tc>
        <w:tc>
          <w:tcPr>
            <w:tcW w:w="2839"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Evaluate steam plant efficiency</w:t>
            </w: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7.1</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Combustion efficiency from flue gas constituents is assessed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7.2</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Steam and fuel consumption to obtain heating efficiency is analysed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7.3</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Causes of loss of steam plant efficiency are evaluated and recorded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7.4</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Requirements of inert gas generation of boiler plant are determined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8</w:t>
            </w:r>
          </w:p>
        </w:tc>
        <w:tc>
          <w:tcPr>
            <w:tcW w:w="2839"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 xml:space="preserve">Explain methods of auxiliary steam </w:t>
            </w:r>
            <w:r w:rsidRPr="00637C3E">
              <w:rPr>
                <w:rStyle w:val="SpecialBold"/>
              </w:rPr>
              <w:t>plant operation and control under variable conditions</w:t>
            </w: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8.1</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Methods of steam pressure control while manoeuvring and possible adverse impacts are analysed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8.2</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How dew point can be reached when operating at reduced power is examined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8.3</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How low powers can limit steam production by exceeding pinch point is explained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9</w:t>
            </w:r>
          </w:p>
        </w:tc>
        <w:tc>
          <w:tcPr>
            <w:tcW w:w="2839"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Outline procedures for inspecting marine auxiliary boilers and associated plant</w:t>
            </w: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9.1</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Symptoms of faults in steam traps, hot wells, de-aerators, condensers, evaporators and re</w:t>
            </w:r>
            <w:r w:rsidRPr="00637C3E">
              <w:t>quirements for contamination prevention between systems, are analysed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9.2</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Procedures for shutting down, isolating and opening up a boiler for inspection or during an emergency are clarified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9.3</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Possible defects that may occur in a boiler, fire and wa</w:t>
            </w:r>
            <w:r w:rsidRPr="00637C3E">
              <w:t>ter side, their location and effects are analysed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9.4</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Repair procedures commonly employed for damaged boilers are examined and limitations of such repairs are explained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9.5</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Procedures for leak detecting in boilers and steam equipment are clarified and remedial actions are explained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9.6</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Mechanism of economiser fires are analysed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10</w:t>
            </w:r>
          </w:p>
        </w:tc>
        <w:tc>
          <w:tcPr>
            <w:tcW w:w="2839"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Outline procedures for surveying boilers</w:t>
            </w: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10.1</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Procedures for preparing a boiler for survey a</w:t>
            </w:r>
            <w:r w:rsidRPr="00637C3E">
              <w:t>re documented and explained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10.2</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Boiler inspection procedures that would cover all possible problem areas are planned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10.3</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Purpose and procedures for carrying out hydrostatic/hydraulic pressure tests and non-destructive tests on auxiliary boilers are</w:t>
            </w:r>
            <w:r w:rsidRPr="00637C3E">
              <w:t xml:space="preserve"> explained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11</w:t>
            </w:r>
          </w:p>
        </w:tc>
        <w:tc>
          <w:tcPr>
            <w:tcW w:w="2839"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Analyse procedures for protecting steam plant during off-load conditions</w:t>
            </w: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11.1</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Procedures for decommissioning and laying up a boiler for short and long intervals are compared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11.2</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Processes for cleaning boilers are evaluated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11.3</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Procedures for re-commissioning steam plant are explained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11.4</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Chief Engineer responsibilities for setting lifting pressure of safety valves are outlined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12</w:t>
            </w:r>
          </w:p>
        </w:tc>
        <w:tc>
          <w:tcPr>
            <w:tcW w:w="2839"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Differentiate between safety valves types</w:t>
            </w: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12.1</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Common types of boiler safety valves are analyse</w:t>
            </w:r>
            <w:r w:rsidRPr="00637C3E">
              <w:t>d and sketched, and how they are classified in terms of valve lift is explained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12.2</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Materials used in safety valves are identified and operational problems that can occur are analysed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12.3</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Defects that may be found when dismantling a safety valve fo</w:t>
            </w:r>
            <w:r w:rsidRPr="00637C3E">
              <w:t>r survey are analysed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12.4</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Procedures for setting valve lift pressure are established and precautions necessary when testing valve on fired and non-fired boilers are examined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12.5</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Chief Engineer responsibilities for setting lifting pressure of safety valves are outlined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13</w:t>
            </w:r>
          </w:p>
        </w:tc>
        <w:tc>
          <w:tcPr>
            <w:tcW w:w="2839"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Evaluate problems associated with feed and boiler water</w:t>
            </w: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13.1</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Causes of scaling and corrosion of water side of a boiler and how these can be minimised are analyse</w:t>
            </w:r>
            <w:r w:rsidRPr="00637C3E">
              <w:t>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13.2</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Acceptable operational range and effects of contamination on boiler chemical reserves are identified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13.3</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Reliability of boiler water test results are analysed in relation to sampling procedure, testing equipment and shelving of test chemicals</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13.4</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Different tests carried out on boiler water are explained and implications of out-of-range results are interpreted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13.5</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Use of different chemicals to treat and condition boiler water is assessed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14</w:t>
            </w:r>
          </w:p>
        </w:tc>
        <w:tc>
          <w:tcPr>
            <w:tcW w:w="2839"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Assess hazards of operating steam plant under</w:t>
            </w:r>
            <w:r w:rsidRPr="00637C3E">
              <w:rPr>
                <w:rStyle w:val="SpecialBold"/>
              </w:rPr>
              <w:t xml:space="preserve"> adverse or faulty operating conditions</w:t>
            </w: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14.1</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Potential hazards of boiler operation with contaminated feed water are assessed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14.2</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Procedure for continuing boiler operation when contamination has exceeded acceptable limits is explained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14.3</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Effects of operating boiler with insufficient water level are explained and actions to be taken under loss of water conditions are identified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14.4</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Causes, consequences and relevant preventative measures associated with furnace explosions are analysed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14.5</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Operating conditions that can lead to an economiser fire and actions that can be taken to prevent and control such fires are evaluated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14.6</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Alternative methods for maintaining heating if a boiler or economiser has to be shut down are determined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1</w:t>
            </w:r>
            <w:r w:rsidRPr="00637C3E">
              <w:rPr>
                <w:rStyle w:val="SpecialBold"/>
              </w:rPr>
              <w:t>5</w:t>
            </w:r>
          </w:p>
        </w:tc>
        <w:tc>
          <w:tcPr>
            <w:tcW w:w="2839"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Evaluate marine fuel systems</w:t>
            </w: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15.1</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Procedure to be adopted when boiler is severely contaminated from different sources is outlined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15.2</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Boiler fuel system, its components and maintenance procedure are detailed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15.3</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Combustion process, its monitoring system and requirements for good combustion are analysed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15.4</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Different types of burners are compared and contrasted and how atomisation is achieved is explained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15.5</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Operation of a burner management system that incorporates pressure and level control is explained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16</w:t>
            </w:r>
          </w:p>
        </w:tc>
        <w:tc>
          <w:tcPr>
            <w:tcW w:w="2839"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rPr>
                <w:rStyle w:val="SpecialBold"/>
              </w:rPr>
              <w:t>Evaluate marine boiler auxiliaries</w:t>
            </w: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16.1</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Construction, operating principles and maintenance requirements of a regenerative condenser are explained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16.2</w:t>
            </w:r>
          </w:p>
        </w:tc>
        <w:tc>
          <w:tcPr>
            <w:tcW w:w="5454"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t>Causes of loss of vacuum are identified and test procedure to identify leaks in a condenser is created</w:t>
            </w:r>
          </w:p>
        </w:tc>
      </w:tr>
      <w:tr w:rsidTr="00637C3E">
        <w:tblPrEx>
          <w:tblW w:w="9497" w:type="dxa"/>
          <w:tblLayout w:type="fixed"/>
          <w:tblCellMar>
            <w:left w:w="62" w:type="dxa"/>
            <w:right w:w="62" w:type="dxa"/>
          </w:tblCellMar>
          <w:tblLook w:val="0000"/>
        </w:tblPrEx>
        <w:tc>
          <w:tcPr>
            <w:tcW w:w="4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637C3E">
            <w:pPr>
              <w:pStyle w:val="BodyText"/>
              <w:keepLines w:val="0"/>
            </w:pPr>
          </w:p>
        </w:tc>
        <w:tc>
          <w:tcPr>
            <w:tcW w:w="721" w:type="dxa"/>
            <w:tcBorders>
              <w:top w:val="nil"/>
              <w:left w:val="nil"/>
              <w:bottom w:val="nil"/>
              <w:right w:val="nil"/>
            </w:tcBorders>
            <w:tcMar>
              <w:top w:w="0" w:type="dxa"/>
              <w:left w:w="62" w:type="dxa"/>
              <w:bottom w:w="0" w:type="dxa"/>
              <w:right w:w="62" w:type="dxa"/>
            </w:tcMar>
          </w:tcPr>
          <w:p w:rsidR="00000000" w:rsidP="00637C3E">
            <w:pPr>
              <w:pStyle w:val="BodyText"/>
              <w:rPr>
                <w:lang w:val="en-NZ"/>
              </w:rPr>
            </w:pPr>
            <w:r w:rsidRPr="00637C3E">
              <w:rPr>
                <w:rStyle w:val="SpecialBold"/>
              </w:rPr>
              <w:t>16.3</w:t>
            </w:r>
          </w:p>
        </w:tc>
        <w:tc>
          <w:tcPr>
            <w:tcW w:w="5454"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t>Construction and operation of air ejectors, drain coolers, vacuum pumps and extraction pumps are explained</w:t>
            </w:r>
          </w:p>
        </w:tc>
      </w:tr>
    </w:tbl>
    <w:p w:rsidR="00525B49" w:rsidP="00637C3E">
      <w:pPr>
        <w:pStyle w:val="NoPaddingFontSize1"/>
      </w:pPr>
    </w:p>
    <w:p w:rsidR="00525B49" w:rsidP="00637C3E">
      <w:pPr>
        <w:pStyle w:val="NoPaddingFontSize1"/>
      </w:pPr>
    </w:p>
    <w:p w:rsidR="00000000" w:rsidRPr="00637C3E" w:rsidP="00637C3E">
      <w:pPr>
        <w:pStyle w:val="Heading1"/>
      </w:pPr>
      <w:bookmarkStart w:id="7" w:name="O_1087813"/>
      <w:bookmarkEnd w:id="7"/>
      <w:r w:rsidRPr="00637C3E">
        <w:t>Foundation Skills</w:t>
      </w:r>
    </w:p>
    <w:tbl>
      <w:tblPr>
        <w:tblW w:w="9496" w:type="dxa"/>
        <w:tblLayout w:type="fixed"/>
        <w:tblCellMar>
          <w:left w:w="62" w:type="dxa"/>
          <w:right w:w="62" w:type="dxa"/>
        </w:tblCellMar>
        <w:tblLook w:val="0000"/>
      </w:tblPr>
      <w:tblGrid>
        <w:gridCol w:w="9496"/>
      </w:tblGrid>
      <w:tr w:rsidTr="00637C3E">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t xml:space="preserve">Foundation skills essential to performance are explicit in the performance criteria of this unit of </w:t>
            </w:r>
            <w:r w:rsidRPr="00637C3E">
              <w:t>competency.</w:t>
            </w:r>
          </w:p>
        </w:tc>
      </w:tr>
    </w:tbl>
    <w:p w:rsidR="00525B49" w:rsidP="00637C3E">
      <w:pPr>
        <w:pStyle w:val="NoPaddingFontSize1"/>
      </w:pPr>
    </w:p>
    <w:p w:rsidR="00525B49" w:rsidP="00637C3E">
      <w:pPr>
        <w:pStyle w:val="NoPaddingFontSize1"/>
      </w:pPr>
    </w:p>
    <w:p w:rsidR="00000000" w:rsidRPr="00637C3E" w:rsidP="00637C3E">
      <w:pPr>
        <w:pStyle w:val="Heading1"/>
      </w:pPr>
      <w:bookmarkStart w:id="8" w:name="O_1087814"/>
      <w:bookmarkEnd w:id="8"/>
      <w:r w:rsidRPr="00637C3E">
        <w:t>Range of Conditions</w:t>
      </w:r>
    </w:p>
    <w:tbl>
      <w:tblPr>
        <w:tblW w:w="9496" w:type="dxa"/>
        <w:tblLayout w:type="fixed"/>
        <w:tblCellMar>
          <w:left w:w="62" w:type="dxa"/>
          <w:right w:w="62" w:type="dxa"/>
        </w:tblCellMar>
        <w:tblLook w:val="0000"/>
      </w:tblPr>
      <w:tblGrid>
        <w:gridCol w:w="9496"/>
      </w:tblGrid>
      <w:tr w:rsidTr="00637C3E">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t>Range is restricted to essential operating conditions and any other variables essential to the work environment.</w:t>
            </w:r>
          </w:p>
        </w:tc>
      </w:tr>
    </w:tbl>
    <w:p w:rsidR="00525B49" w:rsidP="00637C3E">
      <w:pPr>
        <w:pStyle w:val="NoPaddingFontSize1"/>
      </w:pPr>
    </w:p>
    <w:p w:rsidR="00525B49" w:rsidP="00637C3E">
      <w:pPr>
        <w:pStyle w:val="NoPaddingFontSize1"/>
      </w:pPr>
    </w:p>
    <w:p w:rsidR="00000000" w:rsidRPr="00637C3E" w:rsidP="00637C3E">
      <w:pPr>
        <w:pStyle w:val="Heading1"/>
      </w:pPr>
      <w:bookmarkStart w:id="9" w:name="O_1087815"/>
      <w:bookmarkEnd w:id="9"/>
      <w:r w:rsidRPr="00637C3E">
        <w:t>Unit Mapping Information</w:t>
      </w:r>
    </w:p>
    <w:tbl>
      <w:tblPr>
        <w:tblW w:w="9496" w:type="dxa"/>
        <w:tblLayout w:type="fixed"/>
        <w:tblCellMar>
          <w:left w:w="62" w:type="dxa"/>
          <w:right w:w="62" w:type="dxa"/>
        </w:tblCellMar>
        <w:tblLook w:val="0000"/>
      </w:tblPr>
      <w:tblGrid>
        <w:gridCol w:w="9496"/>
      </w:tblGrid>
      <w:tr w:rsidTr="00637C3E">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637C3E" w:rsidP="00637C3E">
            <w:pPr>
              <w:pStyle w:val="BodyText"/>
            </w:pPr>
            <w:r w:rsidRPr="00637C3E">
              <w:t>This unit replaces and is not equivalent to MARL024 Demonstrate intermediate knowledge of marine</w:t>
            </w:r>
            <w:r w:rsidRPr="00637C3E">
              <w:t xml:space="preserve"> auxiliary boilers.</w:t>
            </w:r>
          </w:p>
          <w:p w:rsidR="00000000" w:rsidRPr="00637C3E" w:rsidP="00637C3E">
            <w:pPr>
              <w:pStyle w:val="BodyText"/>
            </w:pPr>
            <w:r w:rsidRPr="00637C3E">
              <w:t>This unit replaces and is equivalent to MARL030 Demonstrate advanced knowledge of marine auxiliary boilers.</w:t>
            </w:r>
          </w:p>
        </w:tc>
      </w:tr>
    </w:tbl>
    <w:p w:rsidR="00525B49" w:rsidP="00637C3E">
      <w:pPr>
        <w:pStyle w:val="NoPaddingFontSize1"/>
      </w:pPr>
    </w:p>
    <w:p w:rsidR="00525B49" w:rsidP="00637C3E">
      <w:pPr>
        <w:pStyle w:val="NoPaddingFontSize1"/>
      </w:pPr>
    </w:p>
    <w:p w:rsidR="00000000" w:rsidRPr="00637C3E" w:rsidP="00637C3E">
      <w:pPr>
        <w:pStyle w:val="Heading1"/>
      </w:pPr>
      <w:bookmarkStart w:id="10" w:name="O_1087822"/>
      <w:bookmarkEnd w:id="10"/>
      <w:r w:rsidRPr="00637C3E">
        <w:t>Links</w:t>
      </w:r>
    </w:p>
    <w:p w:rsidR="00000000" w:rsidRPr="00637C3E" w:rsidP="00525B49">
      <w:pPr>
        <w:pStyle w:val="BodyText"/>
      </w:pPr>
      <w:r w:rsidRPr="00637C3E">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93CCE">
        <w:rPr>
          <w:rStyle w:val="Hyperlink"/>
        </w:rPr>
        <w:t>https://vetnet.gov.au/Pages/TrainingDocs.aspx?q=772efb7b-4cce-47fe-9bbd-ee3b1d1eb4c2</w:t>
      </w:r>
      <w:r>
        <w:fldChar w:fldCharType="end"/>
      </w:r>
    </w:p>
    <w:p w:rsidR="00000000" w:rsidRPr="00637C3E" w:rsidP="00637C3E"/>
    <w:sectPr w:rsidSect="00637C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3E" w:rsidRPr="00525B49" w:rsidP="00525B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B49" w:rsidP="00637C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25B49" w:rsidP="00637C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25B49" w:rsidP="00637C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B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7C3E" w:rsidRPr="00525B49" w:rsidP="00525B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C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B49" w:rsidRPr="002D2AF8" w:rsidP="00637C3E">
    <w:pPr>
      <w:pStyle w:val="Header"/>
      <w:framePr w:wrap="around"/>
    </w:pPr>
    <w:r>
      <w:fldChar w:fldCharType="begin"/>
    </w:r>
    <w:r>
      <w:instrText xml:space="preserve"> TITLE   \* MERGEFORMAT </w:instrText>
    </w:r>
    <w:r>
      <w:fldChar w:fldCharType="separate"/>
    </w:r>
    <w:r>
      <w:t>MARL047 Demonstrate advanced knowledge of marine auxiliary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525B49" w:rsidP="00637C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1E9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89C2C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C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7C3E"/>
    <w:pPr>
      <w:spacing w:before="360" w:after="60"/>
      <w:outlineLvl w:val="0"/>
    </w:pPr>
    <w:rPr>
      <w:sz w:val="32"/>
    </w:rPr>
  </w:style>
  <w:style w:type="paragraph" w:styleId="Heading2">
    <w:name w:val="heading 2"/>
    <w:basedOn w:val="HeadingBase"/>
    <w:next w:val="BodyText"/>
    <w:link w:val="Heading2Char"/>
    <w:qFormat/>
    <w:rsid w:val="00637C3E"/>
    <w:pPr>
      <w:keepLines/>
      <w:spacing w:before="240" w:after="120"/>
      <w:outlineLvl w:val="1"/>
    </w:pPr>
    <w:rPr>
      <w:sz w:val="28"/>
      <w:szCs w:val="40"/>
    </w:rPr>
  </w:style>
  <w:style w:type="paragraph" w:styleId="Heading3">
    <w:name w:val="heading 3"/>
    <w:basedOn w:val="HeadingBase"/>
    <w:next w:val="BodyText"/>
    <w:link w:val="Heading3Char"/>
    <w:qFormat/>
    <w:rsid w:val="00637C3E"/>
    <w:pPr>
      <w:spacing w:before="180" w:after="120"/>
      <w:outlineLvl w:val="2"/>
    </w:pPr>
    <w:rPr>
      <w:spacing w:val="-10"/>
      <w:kern w:val="32"/>
    </w:rPr>
  </w:style>
  <w:style w:type="paragraph" w:styleId="Heading4">
    <w:name w:val="heading 4"/>
    <w:basedOn w:val="HeadingBase"/>
    <w:next w:val="BodyText"/>
    <w:link w:val="Heading4Char"/>
    <w:qFormat/>
    <w:rsid w:val="00637C3E"/>
    <w:pPr>
      <w:spacing w:before="160" w:after="120"/>
      <w:outlineLvl w:val="3"/>
    </w:pPr>
    <w:rPr>
      <w:sz w:val="22"/>
    </w:rPr>
  </w:style>
  <w:style w:type="paragraph" w:styleId="Heading5">
    <w:name w:val="heading 5"/>
    <w:basedOn w:val="HeadingBase"/>
    <w:next w:val="Normal"/>
    <w:link w:val="Heading5Char"/>
    <w:qFormat/>
    <w:rsid w:val="00637C3E"/>
    <w:pPr>
      <w:spacing w:before="80"/>
      <w:outlineLvl w:val="4"/>
    </w:pPr>
    <w:rPr>
      <w:color w:val="918585"/>
      <w:sz w:val="20"/>
    </w:rPr>
  </w:style>
  <w:style w:type="paragraph" w:styleId="Heading6">
    <w:name w:val="heading 6"/>
    <w:basedOn w:val="HeadingBase"/>
    <w:next w:val="Normal"/>
    <w:link w:val="Heading6Char"/>
    <w:qFormat/>
    <w:rsid w:val="00637C3E"/>
    <w:pPr>
      <w:spacing w:before="60"/>
      <w:outlineLvl w:val="5"/>
    </w:pPr>
    <w:rPr>
      <w:color w:val="918585"/>
      <w:sz w:val="20"/>
    </w:rPr>
  </w:style>
  <w:style w:type="paragraph" w:styleId="Heading7">
    <w:name w:val="heading 7"/>
    <w:basedOn w:val="Normal"/>
    <w:next w:val="Normal"/>
    <w:link w:val="Heading7Char"/>
    <w:qFormat/>
    <w:rsid w:val="00637C3E"/>
    <w:pPr>
      <w:ind w:left="720"/>
      <w:outlineLvl w:val="6"/>
    </w:pPr>
    <w:rPr>
      <w:i/>
    </w:rPr>
  </w:style>
  <w:style w:type="paragraph" w:styleId="Heading8">
    <w:name w:val="heading 8"/>
    <w:basedOn w:val="Normal"/>
    <w:next w:val="Normal"/>
    <w:link w:val="Heading8Char"/>
    <w:qFormat/>
    <w:rsid w:val="00637C3E"/>
    <w:pPr>
      <w:ind w:left="720"/>
      <w:outlineLvl w:val="7"/>
    </w:pPr>
    <w:rPr>
      <w:i/>
    </w:rPr>
  </w:style>
  <w:style w:type="paragraph" w:styleId="Heading9">
    <w:name w:val="heading 9"/>
    <w:basedOn w:val="Normal"/>
    <w:next w:val="Normal"/>
    <w:link w:val="Heading9Char"/>
    <w:qFormat/>
    <w:rsid w:val="00637C3E"/>
    <w:pPr>
      <w:ind w:left="720"/>
      <w:outlineLvl w:val="8"/>
    </w:pPr>
    <w:rPr>
      <w:i/>
    </w:rPr>
  </w:style>
  <w:style w:type="character" w:default="1" w:styleId="DefaultParagraphFont">
    <w:name w:val="Default Paragraph Font"/>
    <w:uiPriority w:val="1"/>
    <w:unhideWhenUsed/>
    <w:rsid w:val="00637C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C3E"/>
  </w:style>
  <w:style w:type="character" w:customStyle="1" w:styleId="Heading1Char">
    <w:name w:val="Heading 1 Char"/>
    <w:basedOn w:val="DefaultParagraphFont"/>
    <w:link w:val="Heading1"/>
    <w:rsid w:val="00637C3E"/>
    <w:rPr>
      <w:rFonts w:ascii="Times New Roman" w:eastAsia="Times New Roman" w:hAnsi="Times New Roman" w:cs="Times New Roman"/>
      <w:b/>
      <w:sz w:val="32"/>
      <w:szCs w:val="20"/>
      <w:lang w:eastAsia="en-US"/>
    </w:rPr>
  </w:style>
  <w:style w:type="paragraph" w:styleId="BodyText">
    <w:name w:val="Body Text"/>
    <w:basedOn w:val="Normal"/>
    <w:link w:val="BodyTextChar"/>
    <w:rsid w:val="00637C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7C3E"/>
    <w:rPr>
      <w:rFonts w:ascii="Times New Roman" w:eastAsia="Times New Roman" w:hAnsi="Times New Roman" w:cs="Times New Roman"/>
      <w:sz w:val="24"/>
      <w:lang w:eastAsia="en-US"/>
    </w:rPr>
  </w:style>
  <w:style w:type="character" w:customStyle="1" w:styleId="SpecialBold">
    <w:name w:val="Special Bold"/>
    <w:basedOn w:val="DefaultParagraphFont"/>
    <w:rsid w:val="00637C3E"/>
    <w:rPr>
      <w:b/>
      <w:spacing w:val="0"/>
    </w:rPr>
  </w:style>
  <w:style w:type="paragraph" w:styleId="ListBullet2">
    <w:name w:val="List Bullet 2"/>
    <w:basedOn w:val="List2"/>
    <w:rsid w:val="00637C3E"/>
    <w:pPr>
      <w:numPr>
        <w:numId w:val="12"/>
      </w:numPr>
      <w:tabs>
        <w:tab w:val="clear" w:pos="680"/>
      </w:tabs>
    </w:pPr>
  </w:style>
  <w:style w:type="paragraph" w:customStyle="1" w:styleId="SuperHeading">
    <w:name w:val="SuperHeading"/>
    <w:basedOn w:val="Normal"/>
    <w:rsid w:val="00637C3E"/>
    <w:pPr>
      <w:spacing w:before="240" w:after="120"/>
      <w:outlineLvl w:val="0"/>
    </w:pPr>
    <w:rPr>
      <w:rFonts w:ascii="Times New Roman" w:hAnsi="Times New Roman"/>
      <w:b/>
      <w:sz w:val="32"/>
    </w:rPr>
  </w:style>
  <w:style w:type="paragraph" w:customStyle="1" w:styleId="AllowPageBreak">
    <w:name w:val="AllowPageBreak"/>
    <w:rsid w:val="00637C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7C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C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C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C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C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C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7C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7C3E"/>
    <w:rPr>
      <w:rFonts w:ascii="Courier New" w:eastAsia="Times New Roman" w:hAnsi="Courier New" w:cs="Times New Roman"/>
      <w:i/>
      <w:szCs w:val="20"/>
      <w:lang w:eastAsia="en-US"/>
    </w:rPr>
  </w:style>
  <w:style w:type="paragraph" w:customStyle="1" w:styleId="HeadingBase">
    <w:name w:val="Heading Base"/>
    <w:rsid w:val="00637C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C3E"/>
    <w:pPr>
      <w:tabs>
        <w:tab w:val="right" w:leader="dot" w:pos="9072"/>
      </w:tabs>
      <w:ind w:left="567"/>
    </w:pPr>
    <w:rPr>
      <w:szCs w:val="22"/>
    </w:rPr>
  </w:style>
  <w:style w:type="paragraph" w:customStyle="1" w:styleId="TOCBase">
    <w:name w:val="TOC Base"/>
    <w:rsid w:val="00637C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C3E"/>
    <w:pPr>
      <w:tabs>
        <w:tab w:val="right" w:leader="dot" w:pos="9072"/>
      </w:tabs>
      <w:spacing w:before="40" w:after="40"/>
      <w:ind w:left="284"/>
    </w:pPr>
    <w:rPr>
      <w:rFonts w:ascii="Times New Roman" w:hAnsi="Times New Roman"/>
    </w:rPr>
  </w:style>
  <w:style w:type="paragraph" w:styleId="TOC1">
    <w:name w:val="toc 1"/>
    <w:basedOn w:val="TOCBase"/>
    <w:next w:val="Normal"/>
    <w:rsid w:val="00637C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7C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C3E"/>
    <w:rPr>
      <w:rFonts w:ascii="Times New Roman" w:eastAsia="Times New Roman" w:hAnsi="Times New Roman" w:cs="Times New Roman"/>
      <w:sz w:val="16"/>
      <w:lang w:eastAsia="en-US"/>
    </w:rPr>
  </w:style>
  <w:style w:type="paragraph" w:styleId="Title">
    <w:name w:val="Title"/>
    <w:basedOn w:val="HeadingBase"/>
    <w:link w:val="TitleChar"/>
    <w:qFormat/>
    <w:rsid w:val="00637C3E"/>
    <w:pPr>
      <w:spacing w:before="5040"/>
      <w:jc w:val="center"/>
    </w:pPr>
    <w:rPr>
      <w:sz w:val="48"/>
      <w:szCs w:val="72"/>
      <w:lang w:val="en-US"/>
    </w:rPr>
  </w:style>
  <w:style w:type="character" w:customStyle="1" w:styleId="TitleChar">
    <w:name w:val="Title Char"/>
    <w:basedOn w:val="DefaultParagraphFont"/>
    <w:link w:val="Title"/>
    <w:rsid w:val="00637C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C3E"/>
    <w:pPr>
      <w:tabs>
        <w:tab w:val="left" w:pos="3600"/>
        <w:tab w:val="left" w:pos="3958"/>
      </w:tabs>
    </w:pPr>
  </w:style>
  <w:style w:type="paragraph" w:styleId="List">
    <w:name w:val="List"/>
    <w:basedOn w:val="BodyText"/>
    <w:next w:val="BodyText"/>
    <w:rsid w:val="00637C3E"/>
    <w:pPr>
      <w:tabs>
        <w:tab w:val="left" w:pos="340"/>
      </w:tabs>
      <w:spacing w:before="60" w:after="60"/>
      <w:ind w:left="340" w:hanging="340"/>
    </w:pPr>
  </w:style>
  <w:style w:type="paragraph" w:styleId="ListBullet">
    <w:name w:val="List Bullet"/>
    <w:basedOn w:val="List"/>
    <w:rsid w:val="00637C3E"/>
    <w:pPr>
      <w:numPr>
        <w:numId w:val="11"/>
      </w:numPr>
      <w:tabs>
        <w:tab w:val="clear" w:pos="340"/>
      </w:tabs>
      <w:spacing w:before="40" w:after="40"/>
    </w:pPr>
  </w:style>
  <w:style w:type="paragraph" w:customStyle="1" w:styleId="Note">
    <w:name w:val="Note"/>
    <w:basedOn w:val="BodyText"/>
    <w:rsid w:val="00637C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7C3E"/>
    <w:pPr>
      <w:framePr w:wrap="auto" w:hAnchor="text" w:y="6049"/>
    </w:pPr>
    <w:rPr>
      <w:color w:val="000000"/>
      <w:sz w:val="40"/>
    </w:rPr>
  </w:style>
  <w:style w:type="paragraph" w:customStyle="1" w:styleId="TOCTitle">
    <w:name w:val="TOCTitle"/>
    <w:basedOn w:val="Heading1"/>
    <w:rsid w:val="00637C3E"/>
    <w:pPr>
      <w:spacing w:after="240"/>
      <w:jc w:val="center"/>
      <w:outlineLvl w:val="9"/>
    </w:pPr>
    <w:rPr>
      <w:caps/>
    </w:rPr>
  </w:style>
  <w:style w:type="paragraph" w:customStyle="1" w:styleId="Version">
    <w:name w:val="Version"/>
    <w:rsid w:val="00637C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7C3E"/>
    <w:pPr>
      <w:keepNext w:val="0"/>
      <w:tabs>
        <w:tab w:val="right" w:pos="4176"/>
      </w:tabs>
      <w:ind w:left="198" w:hanging="198"/>
    </w:pPr>
    <w:rPr>
      <w:rFonts w:ascii="Garamond" w:hAnsi="Garamond"/>
    </w:rPr>
  </w:style>
  <w:style w:type="paragraph" w:styleId="IndexHeading">
    <w:name w:val="index heading"/>
    <w:basedOn w:val="Normal"/>
    <w:next w:val="Index1"/>
    <w:semiHidden/>
    <w:rsid w:val="00637C3E"/>
    <w:pPr>
      <w:spacing w:before="120" w:after="120"/>
    </w:pPr>
    <w:rPr>
      <w:rFonts w:ascii="Arial" w:hAnsi="Arial"/>
      <w:b/>
      <w:color w:val="918585"/>
      <w:sz w:val="24"/>
    </w:rPr>
  </w:style>
  <w:style w:type="paragraph" w:styleId="Header">
    <w:name w:val="header"/>
    <w:basedOn w:val="Normal"/>
    <w:link w:val="HeaderChar"/>
    <w:rsid w:val="00637C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C3E"/>
    <w:rPr>
      <w:rFonts w:ascii="Times New Roman" w:eastAsia="Times New Roman" w:hAnsi="Times New Roman" w:cs="Times New Roman"/>
      <w:sz w:val="16"/>
      <w:szCs w:val="20"/>
      <w:lang w:val="en-GB" w:eastAsia="en-US"/>
    </w:rPr>
  </w:style>
  <w:style w:type="paragraph" w:customStyle="1" w:styleId="Chapter">
    <w:name w:val="Chapter"/>
    <w:basedOn w:val="Normal"/>
    <w:rsid w:val="00637C3E"/>
    <w:pPr>
      <w:spacing w:before="240"/>
    </w:pPr>
    <w:rPr>
      <w:rFonts w:ascii="Times New Roman" w:hAnsi="Times New Roman"/>
      <w:smallCaps/>
      <w:spacing w:val="80"/>
      <w:sz w:val="28"/>
    </w:rPr>
  </w:style>
  <w:style w:type="paragraph" w:customStyle="1" w:styleId="InChapter">
    <w:name w:val="InChapter"/>
    <w:basedOn w:val="Heading3"/>
    <w:rsid w:val="00637C3E"/>
    <w:pPr>
      <w:spacing w:after="240"/>
      <w:outlineLvl w:val="9"/>
    </w:pPr>
    <w:rPr>
      <w:noProof/>
    </w:rPr>
  </w:style>
  <w:style w:type="paragraph" w:styleId="Index2">
    <w:name w:val="index 2"/>
    <w:basedOn w:val="Normal"/>
    <w:next w:val="Normal"/>
    <w:semiHidden/>
    <w:rsid w:val="00637C3E"/>
    <w:pPr>
      <w:tabs>
        <w:tab w:val="right" w:pos="4176"/>
      </w:tabs>
      <w:ind w:left="568" w:hanging="284"/>
    </w:pPr>
    <w:rPr>
      <w:rFonts w:ascii="Garamond" w:hAnsi="Garamond"/>
    </w:rPr>
  </w:style>
  <w:style w:type="paragraph" w:customStyle="1" w:styleId="Byline">
    <w:name w:val="Byline"/>
    <w:rsid w:val="00637C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C3E"/>
    <w:pPr>
      <w:tabs>
        <w:tab w:val="clear" w:pos="3600"/>
        <w:tab w:val="clear" w:pos="3958"/>
      </w:tabs>
      <w:jc w:val="right"/>
    </w:pPr>
  </w:style>
  <w:style w:type="character" w:styleId="Emphasis">
    <w:name w:val="Emphasis"/>
    <w:basedOn w:val="DefaultParagraphFont"/>
    <w:qFormat/>
    <w:rsid w:val="00637C3E"/>
    <w:rPr>
      <w:i/>
    </w:rPr>
  </w:style>
  <w:style w:type="paragraph" w:styleId="Caption">
    <w:name w:val="caption"/>
    <w:basedOn w:val="BodyText"/>
    <w:next w:val="Normal"/>
    <w:qFormat/>
    <w:rsid w:val="00637C3E"/>
    <w:pPr>
      <w:framePr w:w="2268" w:hSpace="181" w:vSpace="181" w:wrap="around" w:vAnchor="text" w:hAnchor="page" w:x="1135" w:y="285" w:anchorLock="1"/>
    </w:pPr>
    <w:rPr>
      <w:i/>
    </w:rPr>
  </w:style>
  <w:style w:type="paragraph" w:customStyle="1" w:styleId="MiniTOCTitle">
    <w:name w:val="MiniTOCTitle"/>
    <w:basedOn w:val="Heading4"/>
    <w:rsid w:val="00637C3E"/>
    <w:pPr>
      <w:spacing w:before="240"/>
      <w:outlineLvl w:val="9"/>
    </w:pPr>
    <w:rPr>
      <w:noProof/>
      <w:sz w:val="24"/>
    </w:rPr>
  </w:style>
  <w:style w:type="paragraph" w:customStyle="1" w:styleId="MiniTOCItem">
    <w:name w:val="MiniTOCItem"/>
    <w:basedOn w:val="ListBullet"/>
    <w:rsid w:val="00637C3E"/>
    <w:pPr>
      <w:numPr>
        <w:numId w:val="0"/>
      </w:numPr>
      <w:tabs>
        <w:tab w:val="right" w:leader="dot" w:pos="6521"/>
      </w:tabs>
      <w:spacing w:before="0" w:after="0"/>
    </w:pPr>
  </w:style>
  <w:style w:type="paragraph" w:customStyle="1" w:styleId="TOFTitle">
    <w:name w:val="TOFTitle"/>
    <w:basedOn w:val="TOCTitle"/>
    <w:rsid w:val="00637C3E"/>
  </w:style>
  <w:style w:type="paragraph" w:styleId="TableofFigures">
    <w:name w:val="table of figures"/>
    <w:basedOn w:val="Normal"/>
    <w:next w:val="Normal"/>
    <w:semiHidden/>
    <w:rsid w:val="00637C3E"/>
    <w:pPr>
      <w:tabs>
        <w:tab w:val="right" w:leader="dot" w:pos="9072"/>
      </w:tabs>
      <w:ind w:left="970" w:hanging="403"/>
    </w:pPr>
    <w:rPr>
      <w:rFonts w:ascii="Times New Roman" w:hAnsi="Times New Roman"/>
      <w:b/>
    </w:rPr>
  </w:style>
  <w:style w:type="paragraph" w:styleId="ListNumber">
    <w:name w:val="List Number"/>
    <w:basedOn w:val="List"/>
    <w:rsid w:val="00637C3E"/>
    <w:pPr>
      <w:numPr>
        <w:numId w:val="14"/>
      </w:numPr>
      <w:tabs>
        <w:tab w:val="clear" w:pos="340"/>
      </w:tabs>
    </w:pPr>
  </w:style>
  <w:style w:type="character" w:customStyle="1" w:styleId="WingdingSymbols">
    <w:name w:val="Wingding Symbols"/>
    <w:rsid w:val="00637C3E"/>
    <w:rPr>
      <w:rFonts w:ascii="Wingdings" w:hAnsi="Wingdings"/>
    </w:rPr>
  </w:style>
  <w:style w:type="paragraph" w:customStyle="1" w:styleId="TableHeading">
    <w:name w:val="Table Heading"/>
    <w:basedOn w:val="HeadingBase"/>
    <w:rsid w:val="00637C3E"/>
    <w:pPr>
      <w:keepLines/>
      <w:pBdr>
        <w:bottom w:val="single" w:sz="6" w:space="1" w:color="918585"/>
      </w:pBdr>
      <w:spacing w:before="240"/>
    </w:pPr>
  </w:style>
  <w:style w:type="character" w:customStyle="1" w:styleId="HotSpot">
    <w:name w:val="HotSpot"/>
    <w:rsid w:val="00637C3E"/>
    <w:rPr>
      <w:color w:val="0033CC"/>
      <w:u w:val="none"/>
    </w:rPr>
  </w:style>
  <w:style w:type="paragraph" w:customStyle="1" w:styleId="BodyTextRight">
    <w:name w:val="Body Text Right"/>
    <w:basedOn w:val="BodyText"/>
    <w:rsid w:val="00637C3E"/>
    <w:pPr>
      <w:spacing w:before="0" w:after="0"/>
      <w:jc w:val="right"/>
    </w:pPr>
  </w:style>
  <w:style w:type="paragraph" w:styleId="Index3">
    <w:name w:val="index 3"/>
    <w:basedOn w:val="ListNumber2"/>
    <w:next w:val="Normal"/>
    <w:semiHidden/>
    <w:rsid w:val="00637C3E"/>
    <w:pPr>
      <w:numPr>
        <w:numId w:val="0"/>
      </w:numPr>
      <w:tabs>
        <w:tab w:val="right" w:leader="dot" w:pos="4176"/>
      </w:tabs>
    </w:pPr>
  </w:style>
  <w:style w:type="paragraph" w:styleId="ListNumber2">
    <w:name w:val="List Number 2"/>
    <w:basedOn w:val="List2"/>
    <w:rsid w:val="00637C3E"/>
    <w:pPr>
      <w:numPr>
        <w:numId w:val="9"/>
      </w:numPr>
      <w:tabs>
        <w:tab w:val="clear" w:pos="1060"/>
      </w:tabs>
    </w:pPr>
  </w:style>
  <w:style w:type="paragraph" w:customStyle="1" w:styleId="MarginNote">
    <w:name w:val="Margin Note"/>
    <w:basedOn w:val="BodyText"/>
    <w:rsid w:val="00637C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C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C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7C3E"/>
    <w:rPr>
      <w:sz w:val="32"/>
    </w:rPr>
  </w:style>
  <w:style w:type="paragraph" w:customStyle="1" w:styleId="HeadingProcedure">
    <w:name w:val="Heading Procedure"/>
    <w:basedOn w:val="HeadingBase"/>
    <w:next w:val="Normal"/>
    <w:rsid w:val="00637C3E"/>
    <w:pPr>
      <w:tabs>
        <w:tab w:val="left" w:pos="0"/>
      </w:tabs>
      <w:spacing w:before="120" w:after="60"/>
    </w:pPr>
    <w:rPr>
      <w:i/>
      <w:color w:val="918585"/>
      <w:sz w:val="22"/>
    </w:rPr>
  </w:style>
  <w:style w:type="paragraph" w:customStyle="1" w:styleId="TableBodyText">
    <w:name w:val="Table Body Text"/>
    <w:basedOn w:val="BodyText"/>
    <w:rsid w:val="00637C3E"/>
    <w:pPr>
      <w:spacing w:before="60" w:after="60"/>
    </w:pPr>
  </w:style>
  <w:style w:type="paragraph" w:styleId="ListContinue">
    <w:name w:val="List Continue"/>
    <w:basedOn w:val="List"/>
    <w:rsid w:val="00637C3E"/>
    <w:pPr>
      <w:ind w:firstLine="0"/>
    </w:pPr>
  </w:style>
  <w:style w:type="paragraph" w:customStyle="1" w:styleId="ListNote">
    <w:name w:val="List Note"/>
    <w:basedOn w:val="List"/>
    <w:rsid w:val="00637C3E"/>
    <w:pPr>
      <w:pBdr>
        <w:top w:val="single" w:sz="6" w:space="2" w:color="918585"/>
        <w:bottom w:val="single" w:sz="6" w:space="2" w:color="918585"/>
      </w:pBdr>
      <w:tabs>
        <w:tab w:val="left" w:pos="1021"/>
      </w:tabs>
      <w:ind w:firstLine="0"/>
    </w:pPr>
  </w:style>
  <w:style w:type="paragraph" w:customStyle="1" w:styleId="Warning">
    <w:name w:val="Warning"/>
    <w:basedOn w:val="BodyText"/>
    <w:rsid w:val="00637C3E"/>
    <w:pPr>
      <w:shd w:val="clear" w:color="auto" w:fill="D9D9D9"/>
      <w:tabs>
        <w:tab w:val="left" w:pos="992"/>
      </w:tabs>
      <w:ind w:left="119" w:right="119"/>
    </w:pPr>
    <w:rPr>
      <w:sz w:val="20"/>
    </w:rPr>
  </w:style>
  <w:style w:type="paragraph" w:customStyle="1" w:styleId="MarginIcons">
    <w:name w:val="Margin Icons"/>
    <w:basedOn w:val="BodyText"/>
    <w:rsid w:val="00637C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C3E"/>
    <w:rPr>
      <w:rFonts w:ascii="Courier New" w:hAnsi="Courier New"/>
    </w:rPr>
  </w:style>
  <w:style w:type="paragraph" w:customStyle="1" w:styleId="NoteBullet">
    <w:name w:val="Note Bullet"/>
    <w:basedOn w:val="Note"/>
    <w:rsid w:val="00637C3E"/>
    <w:pPr>
      <w:tabs>
        <w:tab w:val="clear" w:pos="680"/>
      </w:tabs>
      <w:spacing w:before="60" w:after="60"/>
    </w:pPr>
  </w:style>
  <w:style w:type="paragraph" w:customStyle="1" w:styleId="SubHeading2">
    <w:name w:val="SubHeading2"/>
    <w:basedOn w:val="HeadingBase"/>
    <w:rsid w:val="00637C3E"/>
    <w:pPr>
      <w:spacing w:before="240" w:after="60"/>
    </w:pPr>
    <w:rPr>
      <w:sz w:val="20"/>
    </w:rPr>
  </w:style>
  <w:style w:type="paragraph" w:customStyle="1" w:styleId="SubHeading1">
    <w:name w:val="SubHeading1"/>
    <w:basedOn w:val="HeadingBase"/>
    <w:rsid w:val="00637C3E"/>
    <w:pPr>
      <w:spacing w:before="240" w:after="60"/>
    </w:pPr>
    <w:rPr>
      <w:color w:val="918585"/>
      <w:sz w:val="22"/>
    </w:rPr>
  </w:style>
  <w:style w:type="paragraph" w:customStyle="1" w:styleId="SideHeading">
    <w:name w:val="Side Heading"/>
    <w:basedOn w:val="HeadingBase"/>
    <w:rsid w:val="00637C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C3E"/>
    <w:pPr>
      <w:numPr>
        <w:numId w:val="10"/>
      </w:numPr>
    </w:pPr>
  </w:style>
  <w:style w:type="paragraph" w:styleId="PlainText">
    <w:name w:val="Plain Text"/>
    <w:basedOn w:val="Normal"/>
    <w:link w:val="PlainTextChar"/>
    <w:rsid w:val="00637C3E"/>
    <w:rPr>
      <w:sz w:val="20"/>
    </w:rPr>
  </w:style>
  <w:style w:type="character" w:customStyle="1" w:styleId="PlainTextChar">
    <w:name w:val="Plain Text Char"/>
    <w:basedOn w:val="DefaultParagraphFont"/>
    <w:link w:val="PlainText"/>
    <w:rsid w:val="00637C3E"/>
    <w:rPr>
      <w:rFonts w:ascii="Courier New" w:eastAsia="Times New Roman" w:hAnsi="Courier New" w:cs="Times New Roman"/>
      <w:sz w:val="20"/>
      <w:szCs w:val="20"/>
      <w:lang w:eastAsia="en-US"/>
    </w:rPr>
  </w:style>
  <w:style w:type="character" w:customStyle="1" w:styleId="MenuOption">
    <w:name w:val="Menu Option"/>
    <w:basedOn w:val="DefaultParagraphFont"/>
    <w:rsid w:val="00637C3E"/>
    <w:rPr>
      <w:b/>
      <w:smallCaps/>
    </w:rPr>
  </w:style>
  <w:style w:type="paragraph" w:customStyle="1" w:styleId="TableListNumber">
    <w:name w:val="Table List Number"/>
    <w:basedOn w:val="ListNumber"/>
    <w:rsid w:val="00637C3E"/>
    <w:pPr>
      <w:numPr>
        <w:numId w:val="0"/>
      </w:numPr>
    </w:pPr>
  </w:style>
  <w:style w:type="paragraph" w:styleId="TOC4">
    <w:name w:val="toc 4"/>
    <w:basedOn w:val="TOCBase"/>
    <w:next w:val="Normal"/>
    <w:semiHidden/>
    <w:rsid w:val="00637C3E"/>
    <w:pPr>
      <w:tabs>
        <w:tab w:val="right" w:leader="dot" w:pos="9071"/>
      </w:tabs>
      <w:ind w:left="1701"/>
    </w:pPr>
  </w:style>
  <w:style w:type="paragraph" w:customStyle="1" w:styleId="ListAlpha">
    <w:name w:val="List Alpha"/>
    <w:basedOn w:val="List"/>
    <w:rsid w:val="00637C3E"/>
    <w:pPr>
      <w:numPr>
        <w:numId w:val="8"/>
      </w:numPr>
    </w:pPr>
  </w:style>
  <w:style w:type="paragraph" w:customStyle="1" w:styleId="ListAlpha2">
    <w:name w:val="List Alpha 2"/>
    <w:basedOn w:val="List2"/>
    <w:rsid w:val="00637C3E"/>
    <w:pPr>
      <w:numPr>
        <w:numId w:val="7"/>
      </w:numPr>
    </w:pPr>
  </w:style>
  <w:style w:type="paragraph" w:styleId="List2">
    <w:name w:val="List 2"/>
    <w:basedOn w:val="BodyText"/>
    <w:rsid w:val="00637C3E"/>
    <w:pPr>
      <w:tabs>
        <w:tab w:val="left" w:pos="680"/>
      </w:tabs>
      <w:spacing w:before="60" w:after="60"/>
      <w:ind w:left="680" w:hanging="340"/>
    </w:pPr>
  </w:style>
  <w:style w:type="paragraph" w:styleId="List3">
    <w:name w:val="List 3"/>
    <w:basedOn w:val="BodyText"/>
    <w:rsid w:val="00637C3E"/>
    <w:pPr>
      <w:tabs>
        <w:tab w:val="left" w:pos="1021"/>
      </w:tabs>
      <w:spacing w:before="60" w:after="60"/>
      <w:ind w:left="1020" w:hanging="340"/>
    </w:pPr>
  </w:style>
  <w:style w:type="paragraph" w:styleId="List4">
    <w:name w:val="List 4"/>
    <w:basedOn w:val="BodyText"/>
    <w:rsid w:val="00637C3E"/>
    <w:pPr>
      <w:tabs>
        <w:tab w:val="left" w:pos="1361"/>
      </w:tabs>
      <w:spacing w:before="60" w:after="60"/>
      <w:ind w:left="1361" w:hanging="340"/>
    </w:pPr>
  </w:style>
  <w:style w:type="paragraph" w:styleId="List5">
    <w:name w:val="List 5"/>
    <w:basedOn w:val="BodyText"/>
    <w:rsid w:val="00637C3E"/>
    <w:pPr>
      <w:tabs>
        <w:tab w:val="left" w:pos="1701"/>
      </w:tabs>
      <w:spacing w:before="60" w:after="60"/>
      <w:ind w:left="1701" w:hanging="340"/>
    </w:pPr>
  </w:style>
  <w:style w:type="paragraph" w:styleId="ListBullet3">
    <w:name w:val="List Bullet 3"/>
    <w:basedOn w:val="List3"/>
    <w:rsid w:val="00637C3E"/>
    <w:pPr>
      <w:numPr>
        <w:numId w:val="13"/>
      </w:numPr>
      <w:tabs>
        <w:tab w:val="clear" w:pos="1021"/>
      </w:tabs>
      <w:ind w:left="1037" w:hanging="357"/>
    </w:pPr>
  </w:style>
  <w:style w:type="paragraph" w:styleId="ListBullet4">
    <w:name w:val="List Bullet 4"/>
    <w:basedOn w:val="List4"/>
    <w:rsid w:val="00637C3E"/>
    <w:pPr>
      <w:numPr>
        <w:numId w:val="2"/>
      </w:numPr>
      <w:tabs>
        <w:tab w:val="clear" w:pos="1361"/>
      </w:tabs>
    </w:pPr>
  </w:style>
  <w:style w:type="paragraph" w:styleId="ListBullet5">
    <w:name w:val="List Bullet 5"/>
    <w:basedOn w:val="List5"/>
    <w:rsid w:val="00637C3E"/>
    <w:pPr>
      <w:numPr>
        <w:numId w:val="3"/>
      </w:numPr>
    </w:pPr>
  </w:style>
  <w:style w:type="paragraph" w:styleId="ListContinue2">
    <w:name w:val="List Continue 2"/>
    <w:basedOn w:val="List2"/>
    <w:rsid w:val="00637C3E"/>
    <w:pPr>
      <w:ind w:firstLine="0"/>
    </w:pPr>
  </w:style>
  <w:style w:type="paragraph" w:styleId="ListContinue3">
    <w:name w:val="List Continue 3"/>
    <w:basedOn w:val="List3"/>
    <w:rsid w:val="00637C3E"/>
    <w:pPr>
      <w:ind w:left="1021" w:firstLine="0"/>
    </w:pPr>
  </w:style>
  <w:style w:type="paragraph" w:styleId="ListContinue4">
    <w:name w:val="List Continue 4"/>
    <w:basedOn w:val="List4"/>
    <w:rsid w:val="00637C3E"/>
    <w:pPr>
      <w:ind w:firstLine="0"/>
    </w:pPr>
  </w:style>
  <w:style w:type="paragraph" w:styleId="ListContinue5">
    <w:name w:val="List Continue 5"/>
    <w:basedOn w:val="List5"/>
    <w:rsid w:val="00637C3E"/>
    <w:pPr>
      <w:ind w:firstLine="0"/>
    </w:pPr>
  </w:style>
  <w:style w:type="paragraph" w:styleId="ListNumber3">
    <w:name w:val="List Number 3"/>
    <w:basedOn w:val="List3"/>
    <w:rsid w:val="00637C3E"/>
    <w:pPr>
      <w:numPr>
        <w:numId w:val="4"/>
      </w:numPr>
    </w:pPr>
  </w:style>
  <w:style w:type="paragraph" w:styleId="ListNumber4">
    <w:name w:val="List Number 4"/>
    <w:basedOn w:val="List4"/>
    <w:rsid w:val="00637C3E"/>
    <w:pPr>
      <w:numPr>
        <w:numId w:val="5"/>
      </w:numPr>
    </w:pPr>
  </w:style>
  <w:style w:type="paragraph" w:styleId="ListNumber5">
    <w:name w:val="List Number 5"/>
    <w:basedOn w:val="List5"/>
    <w:rsid w:val="00637C3E"/>
    <w:pPr>
      <w:numPr>
        <w:numId w:val="6"/>
      </w:numPr>
    </w:pPr>
  </w:style>
  <w:style w:type="paragraph" w:styleId="BlockText">
    <w:name w:val="Block Text"/>
    <w:basedOn w:val="Normal"/>
    <w:rsid w:val="00637C3E"/>
    <w:pPr>
      <w:spacing w:after="120"/>
      <w:ind w:left="1440" w:right="1440"/>
    </w:pPr>
  </w:style>
  <w:style w:type="character" w:customStyle="1" w:styleId="Subscript">
    <w:name w:val="Subscript"/>
    <w:basedOn w:val="DefaultParagraphFont"/>
    <w:rsid w:val="00637C3E"/>
    <w:rPr>
      <w:sz w:val="16"/>
      <w:vertAlign w:val="subscript"/>
    </w:rPr>
  </w:style>
  <w:style w:type="character" w:customStyle="1" w:styleId="Superscript">
    <w:name w:val="Superscript"/>
    <w:basedOn w:val="DefaultParagraphFont"/>
    <w:rsid w:val="00637C3E"/>
    <w:rPr>
      <w:sz w:val="16"/>
      <w:vertAlign w:val="superscript"/>
    </w:rPr>
  </w:style>
  <w:style w:type="character" w:customStyle="1" w:styleId="Symbols">
    <w:name w:val="Symbols"/>
    <w:basedOn w:val="DefaultParagraphFont"/>
    <w:rsid w:val="00637C3E"/>
    <w:rPr>
      <w:rFonts w:ascii="Symbol" w:hAnsi="Symbol"/>
    </w:rPr>
  </w:style>
  <w:style w:type="character" w:customStyle="1" w:styleId="MenuOptions">
    <w:name w:val="Menu Options"/>
    <w:basedOn w:val="DefaultParagraphFont"/>
    <w:rsid w:val="00637C3E"/>
    <w:rPr>
      <w:rFonts w:ascii="Arial Narrow" w:hAnsi="Arial Narrow"/>
      <w:smallCaps/>
    </w:rPr>
  </w:style>
  <w:style w:type="character" w:customStyle="1" w:styleId="Buttons">
    <w:name w:val="Buttons"/>
    <w:basedOn w:val="DefaultParagraphFont"/>
    <w:rsid w:val="00637C3E"/>
    <w:rPr>
      <w:b/>
    </w:rPr>
  </w:style>
  <w:style w:type="character" w:customStyle="1" w:styleId="Underlined">
    <w:name w:val="Underlined"/>
    <w:basedOn w:val="DefaultParagraphFont"/>
    <w:rsid w:val="00637C3E"/>
    <w:rPr>
      <w:u w:val="single"/>
    </w:rPr>
  </w:style>
  <w:style w:type="paragraph" w:customStyle="1" w:styleId="TableBodyTextRight">
    <w:name w:val="Table Body Text Right"/>
    <w:basedOn w:val="TableBodyText"/>
    <w:rsid w:val="00637C3E"/>
    <w:pPr>
      <w:widowControl w:val="0"/>
      <w:autoSpaceDE w:val="0"/>
      <w:autoSpaceDN w:val="0"/>
      <w:adjustRightInd w:val="0"/>
      <w:jc w:val="right"/>
    </w:pPr>
    <w:rPr>
      <w:rFonts w:cs="Arial"/>
      <w:szCs w:val="18"/>
    </w:rPr>
  </w:style>
  <w:style w:type="paragraph" w:customStyle="1" w:styleId="CopyrightText">
    <w:name w:val="Copyright Text"/>
    <w:basedOn w:val="BodyText"/>
    <w:rsid w:val="00637C3E"/>
    <w:rPr>
      <w:sz w:val="18"/>
    </w:rPr>
  </w:style>
  <w:style w:type="paragraph" w:customStyle="1" w:styleId="BodySmallRight">
    <w:name w:val="Body Small Right"/>
    <w:basedOn w:val="BodyTextRight"/>
    <w:rsid w:val="00637C3E"/>
    <w:rPr>
      <w:sz w:val="18"/>
      <w:szCs w:val="18"/>
    </w:rPr>
  </w:style>
  <w:style w:type="paragraph" w:customStyle="1" w:styleId="MarginEdition">
    <w:name w:val="Margin Edition"/>
    <w:basedOn w:val="MarginNote"/>
    <w:rsid w:val="00637C3E"/>
    <w:pPr>
      <w:spacing w:before="0" w:after="0"/>
    </w:pPr>
    <w:rPr>
      <w:rFonts w:ascii="Times New Roman" w:hAnsi="Times New Roman"/>
      <w:color w:val="999999"/>
    </w:rPr>
  </w:style>
  <w:style w:type="paragraph" w:customStyle="1" w:styleId="Spacer">
    <w:name w:val="Spacer"/>
    <w:basedOn w:val="Normal"/>
    <w:rsid w:val="00637C3E"/>
    <w:rPr>
      <w:sz w:val="2"/>
      <w:szCs w:val="2"/>
    </w:rPr>
  </w:style>
  <w:style w:type="character" w:customStyle="1" w:styleId="Small">
    <w:name w:val="Small"/>
    <w:basedOn w:val="DefaultParagraphFont"/>
    <w:rsid w:val="00637C3E"/>
    <w:rPr>
      <w:sz w:val="16"/>
    </w:rPr>
  </w:style>
  <w:style w:type="paragraph" w:customStyle="1" w:styleId="WideTable">
    <w:name w:val="Wide Table"/>
    <w:basedOn w:val="Normal"/>
    <w:rsid w:val="00637C3E"/>
    <w:pPr>
      <w:ind w:left="-1418"/>
    </w:pPr>
    <w:rPr>
      <w:sz w:val="2"/>
      <w:szCs w:val="2"/>
    </w:rPr>
  </w:style>
  <w:style w:type="character" w:styleId="PageNumber">
    <w:name w:val="page number"/>
    <w:basedOn w:val="DefaultParagraphFont"/>
    <w:rsid w:val="00637C3E"/>
  </w:style>
  <w:style w:type="paragraph" w:styleId="Quote">
    <w:name w:val="Quote"/>
    <w:basedOn w:val="Heading1"/>
    <w:link w:val="QuoteChar"/>
    <w:qFormat/>
    <w:rsid w:val="00637C3E"/>
    <w:rPr>
      <w:b w:val="0"/>
      <w:sz w:val="72"/>
      <w:szCs w:val="72"/>
      <w:lang w:val="en-NZ"/>
    </w:rPr>
  </w:style>
  <w:style w:type="character" w:customStyle="1" w:styleId="QuoteChar">
    <w:name w:val="Quote Char"/>
    <w:basedOn w:val="DefaultParagraphFont"/>
    <w:link w:val="Quote"/>
    <w:rsid w:val="00637C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C3E"/>
    <w:pPr>
      <w:pageBreakBefore/>
    </w:pPr>
  </w:style>
  <w:style w:type="paragraph" w:customStyle="1" w:styleId="Border">
    <w:name w:val="Border"/>
    <w:basedOn w:val="Normal"/>
    <w:qFormat/>
    <w:rsid w:val="00637C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C3E"/>
    <w:rPr>
      <w:b/>
      <w:bCs/>
      <w:i/>
      <w:iCs/>
      <w:color w:val="auto"/>
    </w:rPr>
  </w:style>
  <w:style w:type="paragraph" w:styleId="IntenseQuote">
    <w:name w:val="Intense Quote"/>
    <w:basedOn w:val="Normal"/>
    <w:next w:val="Normal"/>
    <w:link w:val="IntenseQuoteChar"/>
    <w:uiPriority w:val="30"/>
    <w:qFormat/>
    <w:rsid w:val="00637C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C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7C3E"/>
    <w:rPr>
      <w:smallCaps/>
      <w:color w:val="auto"/>
      <w:u w:val="single"/>
    </w:rPr>
  </w:style>
  <w:style w:type="character" w:styleId="IntenseReference">
    <w:name w:val="Intense Reference"/>
    <w:basedOn w:val="DefaultParagraphFont"/>
    <w:uiPriority w:val="32"/>
    <w:qFormat/>
    <w:rsid w:val="00637C3E"/>
    <w:rPr>
      <w:b/>
      <w:bCs/>
      <w:smallCaps/>
      <w:color w:val="auto"/>
      <w:spacing w:val="5"/>
      <w:u w:val="single"/>
    </w:rPr>
  </w:style>
  <w:style w:type="paragraph" w:customStyle="1" w:styleId="2ColumnHeading">
    <w:name w:val="2Column Heading"/>
    <w:basedOn w:val="BodyText"/>
    <w:qFormat/>
    <w:rsid w:val="00637C3E"/>
    <w:pPr>
      <w:spacing w:after="60"/>
      <w:ind w:left="-2268"/>
    </w:pPr>
    <w:rPr>
      <w:b/>
    </w:rPr>
  </w:style>
  <w:style w:type="paragraph" w:customStyle="1" w:styleId="Heading1TOC">
    <w:name w:val="Heading1 TOC"/>
    <w:basedOn w:val="Normal"/>
    <w:qFormat/>
    <w:rsid w:val="00637C3E"/>
    <w:pPr>
      <w:spacing w:before="240" w:after="120"/>
    </w:pPr>
    <w:rPr>
      <w:rFonts w:ascii="Times New Roman" w:hAnsi="Times New Roman"/>
      <w:b/>
      <w:sz w:val="32"/>
    </w:rPr>
  </w:style>
  <w:style w:type="paragraph" w:customStyle="1" w:styleId="Heading2TOC">
    <w:name w:val="Heading2 TOC"/>
    <w:basedOn w:val="Normal"/>
    <w:qFormat/>
    <w:rsid w:val="00637C3E"/>
    <w:pPr>
      <w:spacing w:before="240" w:after="60"/>
    </w:pPr>
    <w:rPr>
      <w:rFonts w:ascii="Times New Roman" w:hAnsi="Times New Roman"/>
      <w:b/>
      <w:sz w:val="28"/>
    </w:rPr>
  </w:style>
  <w:style w:type="character" w:customStyle="1" w:styleId="Underline">
    <w:name w:val="Underline"/>
    <w:basedOn w:val="DefaultParagraphFont"/>
    <w:qFormat/>
    <w:rsid w:val="00637C3E"/>
    <w:rPr>
      <w:u w:val="single"/>
    </w:rPr>
  </w:style>
  <w:style w:type="character" w:customStyle="1" w:styleId="BoldandItalics">
    <w:name w:val="Bold and Italics"/>
    <w:qFormat/>
    <w:rsid w:val="00637C3E"/>
    <w:rPr>
      <w:b/>
      <w:i/>
      <w:u w:val="none"/>
    </w:rPr>
  </w:style>
  <w:style w:type="paragraph" w:styleId="BalloonText">
    <w:name w:val="Balloon Text"/>
    <w:basedOn w:val="Normal"/>
    <w:link w:val="BalloonTextChar"/>
    <w:rsid w:val="00637C3E"/>
    <w:rPr>
      <w:rFonts w:ascii="Tahoma" w:hAnsi="Tahoma" w:cs="Tahoma"/>
      <w:sz w:val="16"/>
      <w:szCs w:val="16"/>
    </w:rPr>
  </w:style>
  <w:style w:type="character" w:customStyle="1" w:styleId="BalloonTextChar">
    <w:name w:val="Balloon Text Char"/>
    <w:basedOn w:val="DefaultParagraphFont"/>
    <w:link w:val="BalloonText"/>
    <w:rsid w:val="00637C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7C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7C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7C3E"/>
    <w:rPr>
      <w:b/>
      <w:color w:val="660033"/>
      <w:spacing w:val="0"/>
    </w:rPr>
  </w:style>
  <w:style w:type="paragraph" w:customStyle="1" w:styleId="Nameditemlist">
    <w:name w:val="Named item list"/>
    <w:basedOn w:val="BodyText"/>
    <w:qFormat/>
    <w:rsid w:val="00637C3E"/>
    <w:pPr>
      <w:tabs>
        <w:tab w:val="left" w:pos="2835"/>
      </w:tabs>
      <w:ind w:left="2835" w:hanging="2835"/>
    </w:pPr>
  </w:style>
  <w:style w:type="paragraph" w:customStyle="1" w:styleId="BodyTextnopadding">
    <w:name w:val="Body Text no padding"/>
    <w:basedOn w:val="BodyText"/>
    <w:qFormat/>
    <w:rsid w:val="00637C3E"/>
    <w:pPr>
      <w:spacing w:before="0" w:after="0"/>
    </w:pPr>
  </w:style>
  <w:style w:type="paragraph" w:customStyle="1" w:styleId="BodyTextBold">
    <w:name w:val="Body Text Bold"/>
    <w:basedOn w:val="BodyText"/>
    <w:qFormat/>
    <w:rsid w:val="00637C3E"/>
    <w:rPr>
      <w:b/>
    </w:rPr>
  </w:style>
  <w:style w:type="character" w:styleId="Hyperlink">
    <w:name w:val="Hyperlink"/>
    <w:basedOn w:val="DefaultParagraphFont"/>
    <w:uiPriority w:val="99"/>
    <w:unhideWhenUsed/>
    <w:rsid w:val="00525B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1574</Words>
  <Characters>9356</Characters>
  <Application>Microsoft Office Word</Application>
  <DocSecurity>0</DocSecurity>
  <Lines>492</Lines>
  <Paragraphs>237</Paragraphs>
  <ScaleCrop>false</ScaleCrop>
  <Company>Author-it Software Corporation Ltd.</Company>
  <LinksUpToDate>false</LinksUpToDate>
  <CharactersWithSpaces>10693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MARL047 Demonstrate advanced knowledge of marine auxiliary boilers</dc:title>
  <dc:subject>Approved</dc:subject>
  <dc:creator>Industry Skills Australia</dc:creator>
  <cp:keywords>Release: 1</cp:keywords>
  <dc:description>Review Date: 12 April 2008</dc:description>
  <cp:lastModifiedBy>HSD_TPCMSd.prod</cp:lastModifiedBy>
  <cp:revision>3</cp:revision>
  <dcterms:created xsi:type="dcterms:W3CDTF">2024-11-22T07:58:00Z</dcterms:created>
  <dcterms:modified xsi:type="dcterms:W3CDTF">2024-11-22T07:58:00Z</dcterms:modified>
</cp:coreProperties>
</file>