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1814" w:rsidP="00E91814">
      <w:pPr>
        <w:pStyle w:val="Title"/>
      </w:pPr>
      <w:r>
        <w:fldChar w:fldCharType="begin"/>
      </w:r>
      <w:r>
        <w:instrText xml:space="preserve"> TITLE   \* MERGEFORMAT </w:instrText>
      </w:r>
      <w:r>
        <w:fldChar w:fldCharType="separate"/>
      </w:r>
      <w:r>
        <w:t>Assessment Requirements for MARL042 Apply basic principles of marine electrotechnology</w:t>
      </w:r>
      <w:r>
        <w:fldChar w:fldCharType="end"/>
      </w:r>
    </w:p>
    <w:p w:rsidR="00E91814" w:rsidP="00E91814">
      <w:pPr>
        <w:pStyle w:val="Version"/>
        <w:sectPr w:rsidSect="008A0A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0A1A" w:rsidP="008A0A1A">
      <w:pPr>
        <w:pStyle w:val="SuperHeading"/>
      </w:pPr>
      <w:r w:rsidRPr="008A0A1A">
        <w:t>Assessment Requirements for MARL042 Apply basic principles of marine electrotechnology</w:t>
      </w:r>
    </w:p>
    <w:p w:rsidR="00000000" w:rsidRPr="008A0A1A" w:rsidP="008A0A1A">
      <w:pPr>
        <w:pStyle w:val="Heading1"/>
      </w:pPr>
      <w:bookmarkStart w:id="1" w:name="O_1087722"/>
      <w:bookmarkEnd w:id="1"/>
      <w:r w:rsidRPr="008A0A1A">
        <w:t>Modification History</w:t>
      </w:r>
    </w:p>
    <w:tbl>
      <w:tblPr>
        <w:tblW w:w="9497" w:type="dxa"/>
        <w:tblLayout w:type="fixed"/>
        <w:tblCellMar>
          <w:left w:w="62" w:type="dxa"/>
          <w:right w:w="62" w:type="dxa"/>
        </w:tblCellMar>
        <w:tblLook w:val="0000"/>
      </w:tblPr>
      <w:tblGrid>
        <w:gridCol w:w="9497"/>
      </w:tblGrid>
      <w:tr w:rsidTr="008A0A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0A1A" w:rsidP="008A0A1A">
            <w:pPr>
              <w:pStyle w:val="BodyText"/>
            </w:pPr>
            <w:r w:rsidRPr="008A0A1A">
              <w:t>Release 1. This is the first release of this unit of competency in the MAR Maritime Training Package.</w:t>
            </w:r>
          </w:p>
        </w:tc>
      </w:tr>
    </w:tbl>
    <w:p w:rsidR="00E91814" w:rsidP="008A0A1A">
      <w:pPr>
        <w:pStyle w:val="NoPaddingFontSize1"/>
      </w:pPr>
    </w:p>
    <w:p w:rsidR="00E91814" w:rsidP="008A0A1A">
      <w:pPr>
        <w:pStyle w:val="NoPaddingFontSize1"/>
      </w:pPr>
    </w:p>
    <w:p w:rsidR="00000000" w:rsidRPr="008A0A1A" w:rsidP="008A0A1A">
      <w:pPr>
        <w:pStyle w:val="Heading1"/>
      </w:pPr>
      <w:bookmarkStart w:id="2" w:name="O_1087723"/>
      <w:bookmarkEnd w:id="2"/>
      <w:r w:rsidRPr="008A0A1A">
        <w:t>Performance Evidence</w:t>
      </w:r>
    </w:p>
    <w:tbl>
      <w:tblPr>
        <w:tblW w:w="9497" w:type="dxa"/>
        <w:tblLayout w:type="fixed"/>
        <w:tblCellMar>
          <w:left w:w="62" w:type="dxa"/>
          <w:right w:w="62" w:type="dxa"/>
        </w:tblCellMar>
        <w:tblLook w:val="0000"/>
      </w:tblPr>
      <w:tblGrid>
        <w:gridCol w:w="9497"/>
      </w:tblGrid>
      <w:tr w:rsidTr="008A0A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0A1A" w:rsidP="008A0A1A">
            <w:pPr>
              <w:pStyle w:val="NoPaddingFontSize1"/>
            </w:pPr>
            <w:r w:rsidRPr="008A0A1A">
              <w:t>Evidence required to demonstrate competence in this unit must be relevant to and satisfy all of the requirements of the elements and performance criteria on at least one occasion and include:</w:t>
            </w:r>
          </w:p>
          <w:p w:rsidR="00000000" w:rsidRPr="008A0A1A" w:rsidP="008A0A1A">
            <w:pPr>
              <w:pStyle w:val="ListBullet"/>
            </w:pPr>
            <w:r w:rsidRPr="008A0A1A">
              <w:t>assessing own work outcomes and maintainin</w:t>
            </w:r>
            <w:r w:rsidRPr="008A0A1A">
              <w:t>g knowledge of current codes, standards, regulations and industry practices</w:t>
            </w:r>
          </w:p>
          <w:p w:rsidR="00000000" w:rsidRPr="008A0A1A" w:rsidP="008A0A1A">
            <w:pPr>
              <w:pStyle w:val="ListBullet"/>
            </w:pPr>
            <w:r w:rsidRPr="008A0A1A">
              <w:t>identifying and applying relevant mathematical formulas and techniques to solve basic problems related to marine electrotechnology</w:t>
            </w:r>
          </w:p>
          <w:p w:rsidR="00000000" w:rsidRPr="008A0A1A" w:rsidP="008A0A1A">
            <w:pPr>
              <w:pStyle w:val="ListBullet"/>
            </w:pPr>
            <w:r w:rsidRPr="008A0A1A">
              <w:t>identifying and interpreting numerical and graphi</w:t>
            </w:r>
            <w:r w:rsidRPr="008A0A1A">
              <w:t>cal information, and performing mathematical calculations, such as resistance of electrical conductors, power output and efficiency in direct current (DC) motors, and driving torque in induction motors</w:t>
            </w:r>
          </w:p>
          <w:p w:rsidR="00000000" w:rsidRPr="008A0A1A" w:rsidP="008A0A1A">
            <w:pPr>
              <w:pStyle w:val="ListBullet"/>
            </w:pPr>
            <w:r w:rsidRPr="008A0A1A">
              <w:t>identifying, collating and processing information requ</w:t>
            </w:r>
            <w:r w:rsidRPr="008A0A1A">
              <w:t>ired to perform basic calculations related to marine electrotechnology</w:t>
            </w:r>
          </w:p>
          <w:p w:rsidR="00000000" w:rsidRPr="008A0A1A" w:rsidP="008A0A1A">
            <w:pPr>
              <w:pStyle w:val="ListBullet"/>
            </w:pPr>
            <w:r w:rsidRPr="008A0A1A">
              <w:t>performing accurate and reliable calculations</w:t>
            </w:r>
          </w:p>
          <w:p w:rsidR="00000000" w:rsidRPr="008A0A1A" w:rsidP="008A0A1A">
            <w:pPr>
              <w:pStyle w:val="ListBullet"/>
            </w:pPr>
            <w:r w:rsidRPr="008A0A1A">
              <w:t>reading and interpreting written information needed to perform basic electrical calculations</w:t>
            </w:r>
          </w:p>
          <w:p w:rsidR="00000000" w:rsidRPr="008A0A1A" w:rsidP="008A0A1A">
            <w:pPr>
              <w:pStyle w:val="ListBullet"/>
            </w:pPr>
            <w:r w:rsidRPr="008A0A1A">
              <w:t>solving problems using appropriate laws and principles.</w:t>
            </w:r>
          </w:p>
        </w:tc>
      </w:tr>
    </w:tbl>
    <w:p w:rsidR="00000000" w:rsidRPr="008A0A1A" w:rsidP="008A0A1A">
      <w:pPr>
        <w:pStyle w:val="BodyText"/>
      </w:pPr>
    </w:p>
    <w:p w:rsidR="00000000" w:rsidRPr="008A0A1A" w:rsidP="008A0A1A">
      <w:pPr>
        <w:pStyle w:val="AllowPageBreak"/>
      </w:pPr>
    </w:p>
    <w:p w:rsidR="00000000" w:rsidRPr="008A0A1A" w:rsidP="008A0A1A">
      <w:pPr>
        <w:pStyle w:val="Heading1"/>
      </w:pPr>
      <w:bookmarkStart w:id="3" w:name="O_1087724"/>
      <w:bookmarkEnd w:id="3"/>
      <w:r w:rsidRPr="008A0A1A">
        <w:t>Knowledge Evidence</w:t>
      </w:r>
    </w:p>
    <w:tbl>
      <w:tblPr>
        <w:tblW w:w="9497" w:type="dxa"/>
        <w:tblLayout w:type="fixed"/>
        <w:tblCellMar>
          <w:left w:w="62" w:type="dxa"/>
          <w:right w:w="62" w:type="dxa"/>
        </w:tblCellMar>
        <w:tblLook w:val="0000"/>
      </w:tblPr>
      <w:tblGrid>
        <w:gridCol w:w="9497"/>
      </w:tblGrid>
      <w:tr w:rsidTr="008A0A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0A1A" w:rsidP="008A0A1A">
            <w:pPr>
              <w:pStyle w:val="BodyText"/>
            </w:pPr>
            <w:r w:rsidRPr="008A0A1A">
              <w:t>Evidence required to demonstrate competence in this unit must be relevant to and satisfy all of the requirements of the elements and performance criteria and in</w:t>
            </w:r>
            <w:r w:rsidRPr="008A0A1A">
              <w:t>clude knowledge of:</w:t>
            </w:r>
          </w:p>
          <w:p w:rsidR="00000000" w:rsidRPr="008A0A1A" w:rsidP="008A0A1A">
            <w:pPr>
              <w:pStyle w:val="ListBullet"/>
            </w:pPr>
            <w:r w:rsidRPr="008A0A1A">
              <w:t>basic principles of marine electrotechnology</w:t>
            </w:r>
          </w:p>
          <w:p w:rsidR="00000000" w:rsidRPr="008A0A1A" w:rsidP="008A0A1A">
            <w:pPr>
              <w:pStyle w:val="ListBullet"/>
            </w:pPr>
            <w:r w:rsidRPr="008A0A1A">
              <w:t>batteries</w:t>
            </w:r>
          </w:p>
          <w:p w:rsidR="00000000" w:rsidRPr="008A0A1A" w:rsidP="008A0A1A">
            <w:pPr>
              <w:pStyle w:val="ListBullet"/>
            </w:pPr>
            <w:r w:rsidRPr="008A0A1A">
              <w:t>cables</w:t>
            </w:r>
          </w:p>
          <w:p w:rsidR="00000000" w:rsidRPr="008A0A1A" w:rsidP="008A0A1A">
            <w:pPr>
              <w:pStyle w:val="ListBullet"/>
            </w:pPr>
            <w:r w:rsidRPr="008A0A1A">
              <w:t>circuit breakers</w:t>
            </w:r>
          </w:p>
          <w:p w:rsidR="00000000" w:rsidRPr="008A0A1A" w:rsidP="008A0A1A">
            <w:pPr>
              <w:pStyle w:val="ListBullet"/>
            </w:pPr>
            <w:r w:rsidRPr="008A0A1A">
              <w:t>coupling, load sharing and changing over generators, including:</w:t>
            </w:r>
          </w:p>
          <w:p w:rsidR="00000000" w:rsidRPr="008A0A1A" w:rsidP="008A0A1A">
            <w:pPr>
              <w:pStyle w:val="ListBullet2"/>
            </w:pPr>
            <w:r w:rsidRPr="008A0A1A">
              <w:t>conditions for automatic start of emergency generator and starting methods</w:t>
            </w:r>
          </w:p>
          <w:p w:rsidR="00000000" w:rsidRPr="008A0A1A" w:rsidP="008A0A1A">
            <w:pPr>
              <w:pStyle w:val="ListBullet2"/>
            </w:pPr>
            <w:r w:rsidRPr="008A0A1A">
              <w:t>control systems for distribution for active and reactive power</w:t>
            </w:r>
          </w:p>
          <w:p w:rsidR="00000000" w:rsidRPr="008A0A1A" w:rsidP="008A0A1A">
            <w:pPr>
              <w:pStyle w:val="ListBullet2"/>
            </w:pPr>
            <w:r w:rsidRPr="008A0A1A">
              <w:t>excitation systems of generators</w:t>
            </w:r>
          </w:p>
          <w:p w:rsidR="00000000" w:rsidRPr="008A0A1A" w:rsidP="008A0A1A">
            <w:pPr>
              <w:pStyle w:val="ListBullet2"/>
            </w:pPr>
            <w:r w:rsidRPr="008A0A1A">
              <w:t>methods of synchronisation</w:t>
            </w:r>
          </w:p>
          <w:p w:rsidR="00000000" w:rsidRPr="008A0A1A" w:rsidP="008A0A1A">
            <w:pPr>
              <w:pStyle w:val="ListBullet2"/>
            </w:pPr>
            <w:r w:rsidRPr="008A0A1A">
              <w:t>power factor</w:t>
            </w:r>
          </w:p>
          <w:p w:rsidR="00000000" w:rsidRPr="008A0A1A" w:rsidP="008A0A1A">
            <w:pPr>
              <w:pStyle w:val="ListBullet2"/>
            </w:pPr>
            <w:r w:rsidRPr="008A0A1A">
              <w:t>principles of power management, including:</w:t>
            </w:r>
          </w:p>
          <w:p w:rsidR="00000000" w:rsidRPr="008A0A1A" w:rsidP="008A0A1A">
            <w:pPr>
              <w:pStyle w:val="ListBullet3"/>
            </w:pPr>
            <w:r w:rsidRPr="008A0A1A">
              <w:t>control of start-release of big consumers directly supplied from main switch</w:t>
            </w:r>
            <w:r w:rsidRPr="008A0A1A">
              <w:t>board</w:t>
            </w:r>
          </w:p>
          <w:p w:rsidR="00000000" w:rsidRPr="008A0A1A" w:rsidP="008A0A1A">
            <w:pPr>
              <w:pStyle w:val="ListBullet3"/>
            </w:pPr>
            <w:r w:rsidRPr="008A0A1A">
              <w:t>automatic three-step disconnection of non-essential power consumers</w:t>
            </w:r>
          </w:p>
          <w:p w:rsidR="00000000" w:rsidRPr="008A0A1A" w:rsidP="008A0A1A">
            <w:pPr>
              <w:pStyle w:val="ListBullet3"/>
            </w:pPr>
            <w:r w:rsidRPr="008A0A1A">
              <w:t>load depending start and stop of generator and automatic load sharing</w:t>
            </w:r>
          </w:p>
          <w:p w:rsidR="00000000" w:rsidRPr="008A0A1A" w:rsidP="008A0A1A">
            <w:pPr>
              <w:pStyle w:val="ListBullet2"/>
            </w:pPr>
            <w:r w:rsidRPr="008A0A1A">
              <w:t>protections for generators and diesel engines, including:</w:t>
            </w:r>
          </w:p>
          <w:p w:rsidR="00000000" w:rsidRPr="008A0A1A" w:rsidP="008A0A1A">
            <w:pPr>
              <w:pStyle w:val="ListBullet3"/>
            </w:pPr>
            <w:r w:rsidRPr="008A0A1A">
              <w:t>asymmetrical voltage and current</w:t>
            </w:r>
          </w:p>
          <w:p w:rsidR="00000000" w:rsidRPr="008A0A1A" w:rsidP="008A0A1A">
            <w:pPr>
              <w:pStyle w:val="ListBullet3"/>
            </w:pPr>
            <w:r w:rsidRPr="008A0A1A">
              <w:t>frequency and volta</w:t>
            </w:r>
            <w:r w:rsidRPr="008A0A1A">
              <w:t>ge stabilisation of shaft generators</w:t>
            </w:r>
          </w:p>
          <w:p w:rsidR="00000000" w:rsidRPr="008A0A1A" w:rsidP="008A0A1A">
            <w:pPr>
              <w:pStyle w:val="ListBullet3"/>
            </w:pPr>
            <w:r w:rsidRPr="008A0A1A">
              <w:t>open circuit, wire fault and earth-fault monitoring</w:t>
            </w:r>
          </w:p>
          <w:p w:rsidR="00000000" w:rsidRPr="008A0A1A" w:rsidP="008A0A1A">
            <w:pPr>
              <w:pStyle w:val="ListBullet3"/>
            </w:pPr>
            <w:r w:rsidRPr="008A0A1A">
              <w:t>overload</w:t>
            </w:r>
          </w:p>
          <w:p w:rsidR="00000000" w:rsidRPr="008A0A1A" w:rsidP="008A0A1A">
            <w:pPr>
              <w:pStyle w:val="ListBullet3"/>
            </w:pPr>
            <w:r w:rsidRPr="008A0A1A">
              <w:t>reverse power</w:t>
            </w:r>
          </w:p>
          <w:p w:rsidR="00000000" w:rsidRPr="008A0A1A" w:rsidP="008A0A1A">
            <w:pPr>
              <w:pStyle w:val="ListBullet3"/>
            </w:pPr>
            <w:r w:rsidRPr="008A0A1A">
              <w:t>short circuit</w:t>
            </w:r>
          </w:p>
          <w:p w:rsidR="00000000" w:rsidRPr="008A0A1A" w:rsidP="008A0A1A">
            <w:pPr>
              <w:pStyle w:val="ListBullet3"/>
            </w:pPr>
            <w:r w:rsidRPr="008A0A1A">
              <w:t>under and overvoltage</w:t>
            </w:r>
          </w:p>
          <w:p w:rsidR="00000000" w:rsidRPr="008A0A1A" w:rsidP="008A0A1A">
            <w:pPr>
              <w:pStyle w:val="ListBullet3"/>
            </w:pPr>
            <w:r w:rsidRPr="008A0A1A">
              <w:t>under and over frequency</w:t>
            </w:r>
          </w:p>
          <w:p w:rsidR="00000000" w:rsidRPr="008A0A1A" w:rsidP="008A0A1A">
            <w:pPr>
              <w:pStyle w:val="ListBullet2"/>
            </w:pPr>
            <w:r w:rsidRPr="008A0A1A">
              <w:t>safety systems of generators</w:t>
            </w:r>
          </w:p>
          <w:p w:rsidR="00000000" w:rsidRPr="008A0A1A" w:rsidP="008A0A1A">
            <w:pPr>
              <w:pStyle w:val="ListBullet2"/>
            </w:pPr>
            <w:r w:rsidRPr="008A0A1A">
              <w:t>voltage and frequency control systems</w:t>
            </w:r>
          </w:p>
          <w:p w:rsidR="00000000" w:rsidRPr="008A0A1A" w:rsidP="008A0A1A">
            <w:pPr>
              <w:pStyle w:val="ListBullet"/>
            </w:pPr>
            <w:r w:rsidRPr="008A0A1A">
              <w:t>DC motors and rotating machinery</w:t>
            </w:r>
          </w:p>
          <w:p w:rsidR="00000000" w:rsidRPr="008A0A1A" w:rsidP="008A0A1A">
            <w:pPr>
              <w:pStyle w:val="ListBullet"/>
            </w:pPr>
            <w:r w:rsidRPr="008A0A1A">
              <w:t>difference between alternating current (AC) and DC</w:t>
            </w:r>
          </w:p>
          <w:p w:rsidR="00000000" w:rsidRPr="008A0A1A" w:rsidP="008A0A1A">
            <w:pPr>
              <w:pStyle w:val="ListBullet"/>
            </w:pPr>
            <w:r w:rsidRPr="008A0A1A">
              <w:t>distribution panels</w:t>
            </w:r>
          </w:p>
          <w:p w:rsidR="00000000" w:rsidRPr="008A0A1A" w:rsidP="008A0A1A">
            <w:pPr>
              <w:pStyle w:val="ListBullet"/>
            </w:pPr>
            <w:r w:rsidRPr="008A0A1A">
              <w:t>electrical:</w:t>
            </w:r>
          </w:p>
          <w:p w:rsidR="00000000" w:rsidRPr="008A0A1A" w:rsidP="008A0A1A">
            <w:pPr>
              <w:pStyle w:val="ListBullet2"/>
            </w:pPr>
            <w:r w:rsidRPr="008A0A1A">
              <w:t>current</w:t>
            </w:r>
          </w:p>
          <w:p w:rsidR="00000000" w:rsidRPr="008A0A1A" w:rsidP="008A0A1A">
            <w:pPr>
              <w:pStyle w:val="ListBullet2"/>
            </w:pPr>
            <w:r w:rsidRPr="008A0A1A">
              <w:t>power</w:t>
            </w:r>
          </w:p>
          <w:p w:rsidR="00000000" w:rsidRPr="008A0A1A" w:rsidP="008A0A1A">
            <w:pPr>
              <w:pStyle w:val="ListBullet2"/>
            </w:pPr>
            <w:r w:rsidRPr="008A0A1A">
              <w:t>safety</w:t>
            </w:r>
          </w:p>
          <w:p w:rsidR="00000000" w:rsidRPr="008A0A1A" w:rsidP="008A0A1A">
            <w:pPr>
              <w:pStyle w:val="ListBullet2"/>
            </w:pPr>
            <w:r w:rsidRPr="008A0A1A">
              <w:t>units of measurement</w:t>
            </w:r>
          </w:p>
          <w:p w:rsidR="00000000" w:rsidRPr="008A0A1A" w:rsidP="008A0A1A">
            <w:pPr>
              <w:pStyle w:val="ListBullet"/>
            </w:pPr>
            <w:r w:rsidRPr="008A0A1A">
              <w:t>electromagnetic:</w:t>
            </w:r>
          </w:p>
          <w:p w:rsidR="00000000" w:rsidRPr="008A0A1A" w:rsidP="008A0A1A">
            <w:pPr>
              <w:pStyle w:val="ListBullet2"/>
            </w:pPr>
            <w:r w:rsidRPr="008A0A1A">
              <w:t>force</w:t>
            </w:r>
          </w:p>
          <w:p w:rsidR="00000000" w:rsidRPr="008A0A1A" w:rsidP="008A0A1A">
            <w:pPr>
              <w:pStyle w:val="ListBullet2"/>
            </w:pPr>
            <w:r w:rsidRPr="008A0A1A">
              <w:t>induction</w:t>
            </w:r>
          </w:p>
          <w:p w:rsidR="00000000" w:rsidRPr="008A0A1A" w:rsidP="008A0A1A">
            <w:pPr>
              <w:pStyle w:val="ListBullet"/>
            </w:pPr>
            <w:r w:rsidRPr="008A0A1A">
              <w:t>effective verbal, written and visual communication techniques</w:t>
            </w:r>
          </w:p>
          <w:p w:rsidR="00000000" w:rsidRPr="008A0A1A" w:rsidP="008A0A1A">
            <w:pPr>
              <w:pStyle w:val="ListBullet"/>
            </w:pPr>
            <w:r w:rsidRPr="008A0A1A">
              <w:t>electrical theory, including:</w:t>
            </w:r>
          </w:p>
          <w:p w:rsidR="00000000" w:rsidRPr="008A0A1A" w:rsidP="008A0A1A">
            <w:pPr>
              <w:pStyle w:val="ListBullet2"/>
            </w:pPr>
            <w:r w:rsidRPr="008A0A1A">
              <w:t>electrical circuits</w:t>
            </w:r>
          </w:p>
          <w:p w:rsidR="00000000" w:rsidRPr="008A0A1A" w:rsidP="008A0A1A">
            <w:pPr>
              <w:pStyle w:val="ListBullet2"/>
            </w:pPr>
            <w:r w:rsidRPr="008A0A1A">
              <w:t>impedance and inductance</w:t>
            </w:r>
          </w:p>
          <w:p w:rsidR="00000000" w:rsidRPr="008A0A1A" w:rsidP="008A0A1A">
            <w:pPr>
              <w:pStyle w:val="ListBullet2"/>
            </w:pPr>
            <w:r w:rsidRPr="008A0A1A">
              <w:t>Kirchhoff</w:t>
            </w:r>
            <w:r>
              <w:t>’</w:t>
            </w:r>
            <w:r w:rsidRPr="008A0A1A">
              <w:t>s Law</w:t>
            </w:r>
          </w:p>
          <w:p w:rsidR="00000000" w:rsidRPr="008A0A1A" w:rsidP="008A0A1A">
            <w:pPr>
              <w:pStyle w:val="ListBullet2"/>
            </w:pPr>
            <w:r w:rsidRPr="008A0A1A">
              <w:t>Ohm’s Law</w:t>
            </w:r>
          </w:p>
          <w:p w:rsidR="00000000" w:rsidRPr="008A0A1A" w:rsidP="008A0A1A">
            <w:pPr>
              <w:pStyle w:val="ListBullet"/>
            </w:pPr>
            <w:r w:rsidRPr="008A0A1A">
              <w:t>electrical motors including:</w:t>
            </w:r>
          </w:p>
          <w:p w:rsidR="00000000" w:rsidRPr="008A0A1A" w:rsidP="008A0A1A">
            <w:pPr>
              <w:pStyle w:val="ListBullet2"/>
            </w:pPr>
            <w:r w:rsidRPr="008A0A1A">
              <w:t>AC motor</w:t>
            </w:r>
          </w:p>
          <w:p w:rsidR="00000000" w:rsidRPr="008A0A1A" w:rsidP="008A0A1A">
            <w:pPr>
              <w:pStyle w:val="ListBullet2"/>
            </w:pPr>
            <w:r w:rsidRPr="008A0A1A">
              <w:t>DC motor</w:t>
            </w:r>
          </w:p>
          <w:p w:rsidR="00000000" w:rsidRPr="008A0A1A" w:rsidP="008A0A1A">
            <w:pPr>
              <w:pStyle w:val="ListBullet"/>
            </w:pPr>
            <w:r w:rsidRPr="008A0A1A">
              <w:t xml:space="preserve">electrical motor starting methodologies </w:t>
            </w:r>
          </w:p>
          <w:p w:rsidR="00000000" w:rsidRPr="008A0A1A" w:rsidP="008A0A1A">
            <w:pPr>
              <w:pStyle w:val="ListBullet"/>
            </w:pPr>
            <w:r w:rsidRPr="008A0A1A">
              <w:t>emergency switchboard</w:t>
            </w:r>
          </w:p>
          <w:p w:rsidR="00000000" w:rsidRPr="008A0A1A" w:rsidP="008A0A1A">
            <w:pPr>
              <w:pStyle w:val="ListBullet"/>
            </w:pPr>
            <w:r w:rsidRPr="008A0A1A">
              <w:t>fundamentals of AC, including:</w:t>
            </w:r>
          </w:p>
          <w:p w:rsidR="00000000" w:rsidRPr="008A0A1A" w:rsidP="008A0A1A">
            <w:pPr>
              <w:pStyle w:val="ListBullet2"/>
            </w:pPr>
            <w:r w:rsidRPr="008A0A1A">
              <w:t>principles</w:t>
            </w:r>
          </w:p>
          <w:p w:rsidR="00000000" w:rsidRPr="008A0A1A" w:rsidP="008A0A1A">
            <w:pPr>
              <w:pStyle w:val="ListBullet2"/>
            </w:pPr>
            <w:r w:rsidRPr="008A0A1A">
              <w:t>rotating machinery</w:t>
            </w:r>
          </w:p>
          <w:p w:rsidR="00000000" w:rsidRPr="008A0A1A" w:rsidP="008A0A1A">
            <w:pPr>
              <w:pStyle w:val="ListBullet"/>
            </w:pPr>
            <w:r w:rsidRPr="008A0A1A">
              <w:t>high voltage (HV)</w:t>
            </w:r>
          </w:p>
          <w:p w:rsidR="00000000" w:rsidRPr="008A0A1A" w:rsidP="008A0A1A">
            <w:pPr>
              <w:pStyle w:val="ListBullet"/>
            </w:pPr>
            <w:r w:rsidRPr="008A0A1A">
              <w:t>lighting</w:t>
            </w:r>
          </w:p>
          <w:p w:rsidR="00000000" w:rsidRPr="008A0A1A" w:rsidP="008A0A1A">
            <w:pPr>
              <w:pStyle w:val="ListBullet"/>
            </w:pPr>
            <w:r w:rsidRPr="008A0A1A">
              <w:t>main switchboard</w:t>
            </w:r>
          </w:p>
          <w:p w:rsidR="00000000" w:rsidRPr="008A0A1A" w:rsidP="008A0A1A">
            <w:pPr>
              <w:pStyle w:val="ListBullet"/>
            </w:pPr>
            <w:r w:rsidRPr="008A0A1A">
              <w:t>measuring instruments for switchboards</w:t>
            </w:r>
          </w:p>
          <w:p w:rsidR="00000000" w:rsidRPr="008A0A1A" w:rsidP="008A0A1A">
            <w:pPr>
              <w:pStyle w:val="ListBullet"/>
            </w:pPr>
            <w:r w:rsidRPr="008A0A1A">
              <w:t>operational parameters of DC motors, including:</w:t>
            </w:r>
          </w:p>
          <w:p w:rsidR="00000000" w:rsidRPr="008A0A1A" w:rsidP="008A0A1A">
            <w:pPr>
              <w:pStyle w:val="ListBullet2"/>
            </w:pPr>
            <w:r w:rsidRPr="008A0A1A">
              <w:t>current</w:t>
            </w:r>
          </w:p>
          <w:p w:rsidR="00000000" w:rsidRPr="008A0A1A" w:rsidP="008A0A1A">
            <w:pPr>
              <w:pStyle w:val="ListBullet2"/>
            </w:pPr>
            <w:r w:rsidRPr="008A0A1A">
              <w:t>flux density</w:t>
            </w:r>
          </w:p>
          <w:p w:rsidR="00000000" w:rsidRPr="008A0A1A" w:rsidP="008A0A1A">
            <w:pPr>
              <w:pStyle w:val="ListBullet2"/>
            </w:pPr>
            <w:r w:rsidRPr="008A0A1A">
              <w:t>torque</w:t>
            </w:r>
          </w:p>
          <w:p w:rsidR="00000000" w:rsidRPr="008A0A1A" w:rsidP="008A0A1A">
            <w:pPr>
              <w:pStyle w:val="ListBullet2"/>
            </w:pPr>
            <w:r w:rsidRPr="008A0A1A">
              <w:t>voltage</w:t>
            </w:r>
          </w:p>
          <w:p w:rsidR="00000000" w:rsidRPr="008A0A1A" w:rsidP="008A0A1A">
            <w:pPr>
              <w:pStyle w:val="ListBullet"/>
            </w:pPr>
            <w:r w:rsidRPr="008A0A1A">
              <w:t>parallel circuits</w:t>
            </w:r>
          </w:p>
          <w:p w:rsidR="00000000" w:rsidRPr="008A0A1A" w:rsidP="008A0A1A">
            <w:pPr>
              <w:pStyle w:val="ListBullet"/>
            </w:pPr>
            <w:r w:rsidRPr="008A0A1A">
              <w:t>power distribution systems, including:</w:t>
            </w:r>
          </w:p>
          <w:p w:rsidR="00000000" w:rsidRPr="008A0A1A" w:rsidP="008A0A1A">
            <w:pPr>
              <w:pStyle w:val="ListBullet2"/>
            </w:pPr>
            <w:r w:rsidRPr="008A0A1A">
              <w:t>distribution</w:t>
            </w:r>
          </w:p>
          <w:p w:rsidR="00000000" w:rsidRPr="008A0A1A" w:rsidP="008A0A1A">
            <w:pPr>
              <w:pStyle w:val="ListBullet2"/>
            </w:pPr>
            <w:r w:rsidRPr="008A0A1A">
              <w:t>insulation</w:t>
            </w:r>
          </w:p>
          <w:p w:rsidR="00000000" w:rsidRPr="008A0A1A" w:rsidP="008A0A1A">
            <w:pPr>
              <w:pStyle w:val="ListBullet2"/>
            </w:pPr>
            <w:r w:rsidRPr="008A0A1A">
              <w:t>transformers</w:t>
            </w:r>
          </w:p>
          <w:p w:rsidR="00000000" w:rsidRPr="008A0A1A" w:rsidP="008A0A1A">
            <w:pPr>
              <w:pStyle w:val="ListBullet"/>
            </w:pPr>
            <w:r w:rsidRPr="008A0A1A">
              <w:t>principles of electromagnetism and electrolytic action</w:t>
            </w:r>
          </w:p>
          <w:p w:rsidR="00000000" w:rsidRPr="008A0A1A" w:rsidP="008A0A1A">
            <w:pPr>
              <w:pStyle w:val="ListBullet"/>
            </w:pPr>
            <w:r w:rsidRPr="008A0A1A">
              <w:t>resistance</w:t>
            </w:r>
          </w:p>
          <w:p w:rsidR="00000000" w:rsidRPr="008A0A1A" w:rsidP="008A0A1A">
            <w:pPr>
              <w:pStyle w:val="ListBullet"/>
            </w:pPr>
            <w:r w:rsidRPr="008A0A1A">
              <w:t>series circuits</w:t>
            </w:r>
          </w:p>
          <w:p w:rsidR="00000000" w:rsidRPr="008A0A1A" w:rsidP="008A0A1A">
            <w:pPr>
              <w:pStyle w:val="ListBullet"/>
            </w:pPr>
            <w:r w:rsidRPr="008A0A1A">
              <w:t>shore connection</w:t>
            </w:r>
          </w:p>
          <w:p w:rsidR="00000000" w:rsidRPr="008A0A1A" w:rsidP="008A0A1A">
            <w:pPr>
              <w:pStyle w:val="ListBullet"/>
            </w:pPr>
            <w:r w:rsidRPr="008A0A1A">
              <w:t>work health and safety (WHS)/occupational health and safety (OHS) requirements and work practices.</w:t>
            </w:r>
          </w:p>
        </w:tc>
      </w:tr>
    </w:tbl>
    <w:p w:rsidR="00000000" w:rsidRPr="008A0A1A" w:rsidP="008A0A1A">
      <w:pPr>
        <w:pStyle w:val="NoPaddingFontSize1"/>
      </w:pPr>
    </w:p>
    <w:p w:rsidR="00000000" w:rsidRPr="008A0A1A" w:rsidP="008A0A1A">
      <w:pPr>
        <w:pStyle w:val="AllowPageBreak"/>
      </w:pPr>
    </w:p>
    <w:p w:rsidR="00000000" w:rsidRPr="008A0A1A" w:rsidP="008A0A1A">
      <w:pPr>
        <w:pStyle w:val="Heading1"/>
      </w:pPr>
      <w:bookmarkStart w:id="4" w:name="O_1087725"/>
      <w:bookmarkEnd w:id="4"/>
      <w:r w:rsidRPr="008A0A1A">
        <w:t>Assessment Conditions</w:t>
      </w:r>
    </w:p>
    <w:tbl>
      <w:tblPr>
        <w:tblW w:w="9497" w:type="dxa"/>
        <w:tblLayout w:type="fixed"/>
        <w:tblCellMar>
          <w:left w:w="62" w:type="dxa"/>
          <w:right w:w="62" w:type="dxa"/>
        </w:tblCellMar>
        <w:tblLook w:val="0000"/>
      </w:tblPr>
      <w:tblGrid>
        <w:gridCol w:w="9497"/>
      </w:tblGrid>
      <w:tr w:rsidTr="008A0A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0A1A" w:rsidP="008A0A1A">
            <w:pPr>
              <w:pStyle w:val="BodyText"/>
            </w:pPr>
            <w:r w:rsidRPr="008A0A1A">
              <w:t>Assessors must hold credentials specified within the Standards for Registered Training Organisations current at the time of assessment.</w:t>
            </w:r>
          </w:p>
          <w:p w:rsidR="00000000" w:rsidRPr="008A0A1A" w:rsidP="008A0A1A">
            <w:pPr>
              <w:pStyle w:val="BodyText"/>
            </w:pPr>
            <w:r w:rsidRPr="008A0A1A">
              <w:t>Assessment must satisfy the Principles of Assessment and Rules of Evidence and all regula</w:t>
            </w:r>
            <w:r w:rsidRPr="008A0A1A">
              <w:t xml:space="preserve">tory requirements included within the Standards for Registered Training Organisations current at the time of assessment.  </w:t>
            </w:r>
          </w:p>
          <w:p w:rsidR="00000000" w:rsidRPr="008A0A1A" w:rsidP="008A0A1A">
            <w:pPr>
              <w:pStyle w:val="BodyText"/>
            </w:pPr>
            <w:r w:rsidRPr="008A0A1A">
              <w:t>Assessment processes and techniques must be appropriate to the language, literacy and numeracy requirements of the work being perform</w:t>
            </w:r>
            <w:r w:rsidRPr="008A0A1A">
              <w:t>ed and the needs of the candidate.</w:t>
            </w:r>
          </w:p>
          <w:p w:rsidR="00000000" w:rsidRPr="008A0A1A" w:rsidP="008A0A1A">
            <w:pPr>
              <w:pStyle w:val="BodyText"/>
            </w:pPr>
            <w:r w:rsidRPr="008A0A1A">
              <w:t xml:space="preserve">Practical assessment must occur in a workplace, or realistic industry approved marine operations site or simulated workplace, under the normal range of workplace conditions.  </w:t>
            </w:r>
          </w:p>
          <w:p w:rsidR="00000000" w:rsidRPr="008A0A1A" w:rsidP="008A0A1A">
            <w:pPr>
              <w:pStyle w:val="BodyText"/>
            </w:pPr>
            <w:r w:rsidRPr="008A0A1A">
              <w:t>Simulations and scenarios may be used where s</w:t>
            </w:r>
            <w:r w:rsidRPr="008A0A1A">
              <w:t xml:space="preserve">ituations cannot be provided in the workplace or may occur only rarely, in particular for situations relating to emergency procedures and adverse weather conditions where assessment would be unsafe, impractical or may lead to environmental damage.  </w:t>
            </w:r>
          </w:p>
          <w:p w:rsidR="00000000" w:rsidRPr="008A0A1A" w:rsidP="008A0A1A">
            <w:pPr>
              <w:pStyle w:val="BodyText"/>
            </w:pPr>
            <w:r w:rsidRPr="008A0A1A">
              <w:t>Resour</w:t>
            </w:r>
            <w:r w:rsidRPr="008A0A1A">
              <w:t>ces for assessment must include access to:</w:t>
            </w:r>
          </w:p>
          <w:p w:rsidR="00000000" w:rsidRPr="008A0A1A" w:rsidP="008A0A1A">
            <w:pPr>
              <w:pStyle w:val="ListBullet"/>
            </w:pPr>
            <w:r w:rsidRPr="008A0A1A">
              <w:t>applicable documentation, such as legislation, regulations, codes of practice, workplace procedures and operational manuals</w:t>
            </w:r>
          </w:p>
          <w:p w:rsidR="00000000" w:rsidRPr="008A0A1A" w:rsidP="008A0A1A">
            <w:pPr>
              <w:pStyle w:val="ListBullet"/>
            </w:pPr>
            <w:r w:rsidRPr="008A0A1A">
              <w:t xml:space="preserve">tools, equipment, machinery, materials and relevant personal protective equipment (PPE) </w:t>
            </w:r>
            <w:r w:rsidRPr="008A0A1A">
              <w:t>currently used in industry.</w:t>
            </w:r>
          </w:p>
        </w:tc>
      </w:tr>
    </w:tbl>
    <w:p w:rsidR="00E91814" w:rsidP="008A0A1A">
      <w:pPr>
        <w:pStyle w:val="NoPaddingFontSize1"/>
      </w:pPr>
    </w:p>
    <w:p w:rsidR="00E91814" w:rsidP="008A0A1A">
      <w:pPr>
        <w:pStyle w:val="NoPaddingFontSize1"/>
      </w:pPr>
    </w:p>
    <w:p w:rsidR="00000000" w:rsidRPr="008A0A1A" w:rsidP="008A0A1A">
      <w:pPr>
        <w:pStyle w:val="Heading1"/>
      </w:pPr>
      <w:bookmarkStart w:id="5" w:name="O_1087728"/>
      <w:bookmarkEnd w:id="5"/>
      <w:r w:rsidRPr="008A0A1A">
        <w:t>Links</w:t>
      </w:r>
    </w:p>
    <w:p w:rsidR="00000000" w:rsidRPr="008A0A1A" w:rsidP="00E91814">
      <w:pPr>
        <w:pStyle w:val="BodyText"/>
      </w:pPr>
      <w:r w:rsidRPr="008A0A1A">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626E8D">
        <w:rPr>
          <w:rStyle w:val="Hyperlink"/>
        </w:rPr>
        <w:t>https://vetnet.gov.au/Pages/TrainingDocs.aspx?q=772efb7b-4cce-47fe-9bbd-ee3b1d1eb4c2</w:t>
      </w:r>
      <w:r>
        <w:fldChar w:fldCharType="end"/>
      </w:r>
    </w:p>
    <w:p w:rsidR="00000000" w:rsidRPr="008A0A1A" w:rsidP="008A0A1A"/>
    <w:sectPr w:rsidSect="008A0A1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A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A1A" w:rsidRPr="00E91814" w:rsidP="00E918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A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814" w:rsidP="008A0A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1814" w:rsidP="008A0A1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91814" w:rsidP="008A0A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A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8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0A1A" w:rsidRPr="00E91814" w:rsidP="00E918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A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814" w:rsidRPr="002D2AF8" w:rsidP="008A0A1A">
    <w:pPr>
      <w:pStyle w:val="Header"/>
      <w:framePr w:wrap="around"/>
    </w:pPr>
    <w:r>
      <w:fldChar w:fldCharType="begin"/>
    </w:r>
    <w:r>
      <w:instrText xml:space="preserve"> TITLE   \* MERGEFORMAT </w:instrText>
    </w:r>
    <w:r>
      <w:fldChar w:fldCharType="separate"/>
    </w:r>
    <w:r>
      <w:t>Assessment Requirements for MARL042 Apply basic principles of marine electrotechnology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E91814" w:rsidP="008A0A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5038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6653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1437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A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0A1A"/>
    <w:pPr>
      <w:spacing w:before="360" w:after="60"/>
      <w:outlineLvl w:val="0"/>
    </w:pPr>
    <w:rPr>
      <w:sz w:val="32"/>
    </w:rPr>
  </w:style>
  <w:style w:type="paragraph" w:styleId="Heading2">
    <w:name w:val="heading 2"/>
    <w:basedOn w:val="HeadingBase"/>
    <w:next w:val="BodyText"/>
    <w:link w:val="Heading2Char"/>
    <w:qFormat/>
    <w:rsid w:val="008A0A1A"/>
    <w:pPr>
      <w:keepLines/>
      <w:spacing w:before="240" w:after="120"/>
      <w:outlineLvl w:val="1"/>
    </w:pPr>
    <w:rPr>
      <w:sz w:val="28"/>
      <w:szCs w:val="40"/>
    </w:rPr>
  </w:style>
  <w:style w:type="paragraph" w:styleId="Heading3">
    <w:name w:val="heading 3"/>
    <w:basedOn w:val="HeadingBase"/>
    <w:next w:val="BodyText"/>
    <w:link w:val="Heading3Char"/>
    <w:qFormat/>
    <w:rsid w:val="008A0A1A"/>
    <w:pPr>
      <w:spacing w:before="180" w:after="120"/>
      <w:outlineLvl w:val="2"/>
    </w:pPr>
    <w:rPr>
      <w:spacing w:val="-10"/>
      <w:kern w:val="32"/>
    </w:rPr>
  </w:style>
  <w:style w:type="paragraph" w:styleId="Heading4">
    <w:name w:val="heading 4"/>
    <w:basedOn w:val="HeadingBase"/>
    <w:next w:val="BodyText"/>
    <w:link w:val="Heading4Char"/>
    <w:qFormat/>
    <w:rsid w:val="008A0A1A"/>
    <w:pPr>
      <w:spacing w:before="160" w:after="120"/>
      <w:outlineLvl w:val="3"/>
    </w:pPr>
    <w:rPr>
      <w:sz w:val="22"/>
    </w:rPr>
  </w:style>
  <w:style w:type="paragraph" w:styleId="Heading5">
    <w:name w:val="heading 5"/>
    <w:basedOn w:val="HeadingBase"/>
    <w:next w:val="Normal"/>
    <w:link w:val="Heading5Char"/>
    <w:qFormat/>
    <w:rsid w:val="008A0A1A"/>
    <w:pPr>
      <w:spacing w:before="80"/>
      <w:outlineLvl w:val="4"/>
    </w:pPr>
    <w:rPr>
      <w:color w:val="918585"/>
      <w:sz w:val="20"/>
    </w:rPr>
  </w:style>
  <w:style w:type="paragraph" w:styleId="Heading6">
    <w:name w:val="heading 6"/>
    <w:basedOn w:val="HeadingBase"/>
    <w:next w:val="Normal"/>
    <w:link w:val="Heading6Char"/>
    <w:qFormat/>
    <w:rsid w:val="008A0A1A"/>
    <w:pPr>
      <w:spacing w:before="60"/>
      <w:outlineLvl w:val="5"/>
    </w:pPr>
    <w:rPr>
      <w:color w:val="918585"/>
      <w:sz w:val="20"/>
    </w:rPr>
  </w:style>
  <w:style w:type="paragraph" w:styleId="Heading7">
    <w:name w:val="heading 7"/>
    <w:basedOn w:val="Normal"/>
    <w:next w:val="Normal"/>
    <w:link w:val="Heading7Char"/>
    <w:qFormat/>
    <w:rsid w:val="008A0A1A"/>
    <w:pPr>
      <w:ind w:left="720"/>
      <w:outlineLvl w:val="6"/>
    </w:pPr>
    <w:rPr>
      <w:i/>
    </w:rPr>
  </w:style>
  <w:style w:type="paragraph" w:styleId="Heading8">
    <w:name w:val="heading 8"/>
    <w:basedOn w:val="Normal"/>
    <w:next w:val="Normal"/>
    <w:link w:val="Heading8Char"/>
    <w:qFormat/>
    <w:rsid w:val="008A0A1A"/>
    <w:pPr>
      <w:ind w:left="720"/>
      <w:outlineLvl w:val="7"/>
    </w:pPr>
    <w:rPr>
      <w:i/>
    </w:rPr>
  </w:style>
  <w:style w:type="paragraph" w:styleId="Heading9">
    <w:name w:val="heading 9"/>
    <w:basedOn w:val="Normal"/>
    <w:next w:val="Normal"/>
    <w:link w:val="Heading9Char"/>
    <w:qFormat/>
    <w:rsid w:val="008A0A1A"/>
    <w:pPr>
      <w:ind w:left="720"/>
      <w:outlineLvl w:val="8"/>
    </w:pPr>
    <w:rPr>
      <w:i/>
    </w:rPr>
  </w:style>
  <w:style w:type="character" w:default="1" w:styleId="DefaultParagraphFont">
    <w:name w:val="Default Paragraph Font"/>
    <w:uiPriority w:val="1"/>
    <w:unhideWhenUsed/>
    <w:rsid w:val="008A0A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0A1A"/>
  </w:style>
  <w:style w:type="character" w:customStyle="1" w:styleId="Heading1Char">
    <w:name w:val="Heading 1 Char"/>
    <w:basedOn w:val="DefaultParagraphFont"/>
    <w:link w:val="Heading1"/>
    <w:rsid w:val="008A0A1A"/>
    <w:rPr>
      <w:rFonts w:ascii="Times New Roman" w:eastAsia="Times New Roman" w:hAnsi="Times New Roman" w:cs="Times New Roman"/>
      <w:b/>
      <w:sz w:val="32"/>
      <w:szCs w:val="20"/>
      <w:lang w:eastAsia="en-US"/>
    </w:rPr>
  </w:style>
  <w:style w:type="paragraph" w:styleId="BodyText">
    <w:name w:val="Body Text"/>
    <w:basedOn w:val="Normal"/>
    <w:link w:val="BodyTextChar"/>
    <w:rsid w:val="008A0A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0A1A"/>
    <w:rPr>
      <w:rFonts w:ascii="Times New Roman" w:eastAsia="Times New Roman" w:hAnsi="Times New Roman" w:cs="Times New Roman"/>
      <w:sz w:val="24"/>
      <w:lang w:eastAsia="en-US"/>
    </w:rPr>
  </w:style>
  <w:style w:type="paragraph" w:styleId="ListBullet">
    <w:name w:val="List Bullet"/>
    <w:basedOn w:val="List"/>
    <w:rsid w:val="008A0A1A"/>
    <w:pPr>
      <w:numPr>
        <w:numId w:val="13"/>
      </w:numPr>
      <w:tabs>
        <w:tab w:val="clear" w:pos="340"/>
      </w:tabs>
      <w:spacing w:before="40" w:after="40"/>
    </w:pPr>
  </w:style>
  <w:style w:type="paragraph" w:styleId="ListBullet2">
    <w:name w:val="List Bullet 2"/>
    <w:basedOn w:val="List2"/>
    <w:rsid w:val="008A0A1A"/>
    <w:pPr>
      <w:numPr>
        <w:numId w:val="14"/>
      </w:numPr>
      <w:tabs>
        <w:tab w:val="clear" w:pos="680"/>
      </w:tabs>
    </w:pPr>
  </w:style>
  <w:style w:type="paragraph" w:customStyle="1" w:styleId="SuperHeading">
    <w:name w:val="SuperHeading"/>
    <w:basedOn w:val="Normal"/>
    <w:rsid w:val="008A0A1A"/>
    <w:pPr>
      <w:spacing w:before="240" w:after="120"/>
      <w:outlineLvl w:val="0"/>
    </w:pPr>
    <w:rPr>
      <w:rFonts w:ascii="Times New Roman" w:hAnsi="Times New Roman"/>
      <w:b/>
      <w:sz w:val="32"/>
    </w:rPr>
  </w:style>
  <w:style w:type="paragraph" w:customStyle="1" w:styleId="AllowPageBreak">
    <w:name w:val="AllowPageBreak"/>
    <w:rsid w:val="008A0A1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A0A1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A0A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0A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0A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0A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0A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0A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0A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0A1A"/>
    <w:rPr>
      <w:rFonts w:ascii="Courier New" w:eastAsia="Times New Roman" w:hAnsi="Courier New" w:cs="Times New Roman"/>
      <w:i/>
      <w:szCs w:val="20"/>
      <w:lang w:eastAsia="en-US"/>
    </w:rPr>
  </w:style>
  <w:style w:type="paragraph" w:customStyle="1" w:styleId="HeadingBase">
    <w:name w:val="Heading Base"/>
    <w:rsid w:val="008A0A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0A1A"/>
    <w:pPr>
      <w:tabs>
        <w:tab w:val="right" w:leader="dot" w:pos="9072"/>
      </w:tabs>
      <w:ind w:left="567"/>
    </w:pPr>
    <w:rPr>
      <w:szCs w:val="22"/>
    </w:rPr>
  </w:style>
  <w:style w:type="paragraph" w:customStyle="1" w:styleId="TOCBase">
    <w:name w:val="TOC Base"/>
    <w:rsid w:val="008A0A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0A1A"/>
    <w:pPr>
      <w:tabs>
        <w:tab w:val="right" w:leader="dot" w:pos="9072"/>
      </w:tabs>
      <w:spacing w:before="40" w:after="40"/>
      <w:ind w:left="284"/>
    </w:pPr>
    <w:rPr>
      <w:rFonts w:ascii="Times New Roman" w:hAnsi="Times New Roman"/>
    </w:rPr>
  </w:style>
  <w:style w:type="paragraph" w:styleId="TOC1">
    <w:name w:val="toc 1"/>
    <w:basedOn w:val="TOCBase"/>
    <w:next w:val="Normal"/>
    <w:rsid w:val="008A0A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0A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0A1A"/>
    <w:rPr>
      <w:rFonts w:ascii="Times New Roman" w:eastAsia="Times New Roman" w:hAnsi="Times New Roman" w:cs="Times New Roman"/>
      <w:sz w:val="16"/>
      <w:lang w:eastAsia="en-US"/>
    </w:rPr>
  </w:style>
  <w:style w:type="paragraph" w:styleId="Title">
    <w:name w:val="Title"/>
    <w:basedOn w:val="HeadingBase"/>
    <w:link w:val="TitleChar"/>
    <w:qFormat/>
    <w:rsid w:val="008A0A1A"/>
    <w:pPr>
      <w:spacing w:before="5040"/>
      <w:jc w:val="center"/>
    </w:pPr>
    <w:rPr>
      <w:sz w:val="48"/>
      <w:szCs w:val="72"/>
      <w:lang w:val="en-US"/>
    </w:rPr>
  </w:style>
  <w:style w:type="character" w:customStyle="1" w:styleId="TitleChar">
    <w:name w:val="Title Char"/>
    <w:basedOn w:val="DefaultParagraphFont"/>
    <w:link w:val="Title"/>
    <w:rsid w:val="008A0A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0A1A"/>
    <w:pPr>
      <w:tabs>
        <w:tab w:val="left" w:pos="3600"/>
        <w:tab w:val="left" w:pos="3958"/>
      </w:tabs>
    </w:pPr>
  </w:style>
  <w:style w:type="paragraph" w:styleId="List">
    <w:name w:val="List"/>
    <w:basedOn w:val="BodyText"/>
    <w:next w:val="BodyText"/>
    <w:rsid w:val="008A0A1A"/>
    <w:pPr>
      <w:tabs>
        <w:tab w:val="left" w:pos="340"/>
      </w:tabs>
      <w:spacing w:before="60" w:after="60"/>
      <w:ind w:left="340" w:hanging="340"/>
    </w:pPr>
  </w:style>
  <w:style w:type="paragraph" w:customStyle="1" w:styleId="Note">
    <w:name w:val="Note"/>
    <w:basedOn w:val="BodyText"/>
    <w:rsid w:val="008A0A1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A0A1A"/>
    <w:rPr>
      <w:b/>
      <w:spacing w:val="0"/>
    </w:rPr>
  </w:style>
  <w:style w:type="paragraph" w:customStyle="1" w:styleId="SuperTitle">
    <w:name w:val="SuperTitle"/>
    <w:basedOn w:val="Title"/>
    <w:rsid w:val="008A0A1A"/>
    <w:pPr>
      <w:framePr w:wrap="auto" w:hAnchor="text" w:y="6049"/>
    </w:pPr>
    <w:rPr>
      <w:color w:val="000000"/>
      <w:sz w:val="40"/>
    </w:rPr>
  </w:style>
  <w:style w:type="paragraph" w:customStyle="1" w:styleId="TOCTitle">
    <w:name w:val="TOCTitle"/>
    <w:basedOn w:val="Heading1"/>
    <w:rsid w:val="008A0A1A"/>
    <w:pPr>
      <w:spacing w:after="240"/>
      <w:jc w:val="center"/>
      <w:outlineLvl w:val="9"/>
    </w:pPr>
    <w:rPr>
      <w:caps/>
    </w:rPr>
  </w:style>
  <w:style w:type="paragraph" w:customStyle="1" w:styleId="Version">
    <w:name w:val="Version"/>
    <w:rsid w:val="008A0A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0A1A"/>
    <w:pPr>
      <w:keepNext w:val="0"/>
      <w:tabs>
        <w:tab w:val="right" w:pos="4176"/>
      </w:tabs>
      <w:ind w:left="198" w:hanging="198"/>
    </w:pPr>
    <w:rPr>
      <w:rFonts w:ascii="Garamond" w:hAnsi="Garamond"/>
    </w:rPr>
  </w:style>
  <w:style w:type="paragraph" w:styleId="IndexHeading">
    <w:name w:val="index heading"/>
    <w:basedOn w:val="Normal"/>
    <w:next w:val="Index1"/>
    <w:semiHidden/>
    <w:rsid w:val="008A0A1A"/>
    <w:pPr>
      <w:spacing w:before="120" w:after="120"/>
    </w:pPr>
    <w:rPr>
      <w:rFonts w:ascii="Arial" w:hAnsi="Arial"/>
      <w:b/>
      <w:color w:val="918585"/>
      <w:sz w:val="24"/>
    </w:rPr>
  </w:style>
  <w:style w:type="paragraph" w:styleId="Header">
    <w:name w:val="header"/>
    <w:basedOn w:val="Normal"/>
    <w:link w:val="HeaderChar"/>
    <w:rsid w:val="008A0A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0A1A"/>
    <w:rPr>
      <w:rFonts w:ascii="Times New Roman" w:eastAsia="Times New Roman" w:hAnsi="Times New Roman" w:cs="Times New Roman"/>
      <w:sz w:val="16"/>
      <w:szCs w:val="20"/>
      <w:lang w:val="en-GB" w:eastAsia="en-US"/>
    </w:rPr>
  </w:style>
  <w:style w:type="paragraph" w:customStyle="1" w:styleId="Chapter">
    <w:name w:val="Chapter"/>
    <w:basedOn w:val="Normal"/>
    <w:rsid w:val="008A0A1A"/>
    <w:pPr>
      <w:spacing w:before="240"/>
    </w:pPr>
    <w:rPr>
      <w:rFonts w:ascii="Times New Roman" w:hAnsi="Times New Roman"/>
      <w:smallCaps/>
      <w:spacing w:val="80"/>
      <w:sz w:val="28"/>
    </w:rPr>
  </w:style>
  <w:style w:type="paragraph" w:customStyle="1" w:styleId="InChapter">
    <w:name w:val="InChapter"/>
    <w:basedOn w:val="Heading3"/>
    <w:rsid w:val="008A0A1A"/>
    <w:pPr>
      <w:spacing w:after="240"/>
      <w:outlineLvl w:val="9"/>
    </w:pPr>
    <w:rPr>
      <w:noProof/>
    </w:rPr>
  </w:style>
  <w:style w:type="paragraph" w:styleId="Index2">
    <w:name w:val="index 2"/>
    <w:basedOn w:val="Normal"/>
    <w:next w:val="Normal"/>
    <w:semiHidden/>
    <w:rsid w:val="008A0A1A"/>
    <w:pPr>
      <w:tabs>
        <w:tab w:val="right" w:pos="4176"/>
      </w:tabs>
      <w:ind w:left="568" w:hanging="284"/>
    </w:pPr>
    <w:rPr>
      <w:rFonts w:ascii="Garamond" w:hAnsi="Garamond"/>
    </w:rPr>
  </w:style>
  <w:style w:type="paragraph" w:customStyle="1" w:styleId="Byline">
    <w:name w:val="Byline"/>
    <w:rsid w:val="008A0A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0A1A"/>
    <w:pPr>
      <w:tabs>
        <w:tab w:val="clear" w:pos="3600"/>
        <w:tab w:val="clear" w:pos="3958"/>
      </w:tabs>
      <w:jc w:val="right"/>
    </w:pPr>
  </w:style>
  <w:style w:type="character" w:styleId="Emphasis">
    <w:name w:val="Emphasis"/>
    <w:basedOn w:val="DefaultParagraphFont"/>
    <w:qFormat/>
    <w:rsid w:val="008A0A1A"/>
    <w:rPr>
      <w:i/>
    </w:rPr>
  </w:style>
  <w:style w:type="paragraph" w:styleId="Caption">
    <w:name w:val="caption"/>
    <w:basedOn w:val="BodyText"/>
    <w:next w:val="Normal"/>
    <w:qFormat/>
    <w:rsid w:val="008A0A1A"/>
    <w:pPr>
      <w:framePr w:w="2268" w:hSpace="181" w:vSpace="181" w:wrap="around" w:vAnchor="text" w:hAnchor="page" w:x="1135" w:y="285" w:anchorLock="1"/>
    </w:pPr>
    <w:rPr>
      <w:i/>
    </w:rPr>
  </w:style>
  <w:style w:type="paragraph" w:customStyle="1" w:styleId="MiniTOCTitle">
    <w:name w:val="MiniTOCTitle"/>
    <w:basedOn w:val="Heading4"/>
    <w:rsid w:val="008A0A1A"/>
    <w:pPr>
      <w:spacing w:before="240"/>
      <w:outlineLvl w:val="9"/>
    </w:pPr>
    <w:rPr>
      <w:noProof/>
      <w:sz w:val="24"/>
    </w:rPr>
  </w:style>
  <w:style w:type="paragraph" w:customStyle="1" w:styleId="MiniTOCItem">
    <w:name w:val="MiniTOCItem"/>
    <w:basedOn w:val="ListBullet"/>
    <w:rsid w:val="008A0A1A"/>
    <w:pPr>
      <w:numPr>
        <w:numId w:val="0"/>
      </w:numPr>
      <w:tabs>
        <w:tab w:val="right" w:leader="dot" w:pos="6521"/>
      </w:tabs>
      <w:spacing w:before="0" w:after="0"/>
    </w:pPr>
  </w:style>
  <w:style w:type="paragraph" w:customStyle="1" w:styleId="TOFTitle">
    <w:name w:val="TOFTitle"/>
    <w:basedOn w:val="TOCTitle"/>
    <w:rsid w:val="008A0A1A"/>
  </w:style>
  <w:style w:type="paragraph" w:styleId="TableofFigures">
    <w:name w:val="table of figures"/>
    <w:basedOn w:val="Normal"/>
    <w:next w:val="Normal"/>
    <w:semiHidden/>
    <w:rsid w:val="008A0A1A"/>
    <w:pPr>
      <w:tabs>
        <w:tab w:val="right" w:leader="dot" w:pos="9072"/>
      </w:tabs>
      <w:ind w:left="970" w:hanging="403"/>
    </w:pPr>
    <w:rPr>
      <w:rFonts w:ascii="Times New Roman" w:hAnsi="Times New Roman"/>
      <w:b/>
    </w:rPr>
  </w:style>
  <w:style w:type="paragraph" w:styleId="ListNumber">
    <w:name w:val="List Number"/>
    <w:basedOn w:val="List"/>
    <w:rsid w:val="008A0A1A"/>
    <w:pPr>
      <w:numPr>
        <w:numId w:val="16"/>
      </w:numPr>
      <w:tabs>
        <w:tab w:val="clear" w:pos="340"/>
      </w:tabs>
    </w:pPr>
  </w:style>
  <w:style w:type="character" w:customStyle="1" w:styleId="WingdingSymbols">
    <w:name w:val="Wingding Symbols"/>
    <w:rsid w:val="008A0A1A"/>
    <w:rPr>
      <w:rFonts w:ascii="Wingdings" w:hAnsi="Wingdings"/>
    </w:rPr>
  </w:style>
  <w:style w:type="paragraph" w:customStyle="1" w:styleId="TableHeading">
    <w:name w:val="Table Heading"/>
    <w:basedOn w:val="HeadingBase"/>
    <w:rsid w:val="008A0A1A"/>
    <w:pPr>
      <w:keepLines/>
      <w:pBdr>
        <w:bottom w:val="single" w:sz="6" w:space="1" w:color="918585"/>
      </w:pBdr>
      <w:spacing w:before="240"/>
    </w:pPr>
  </w:style>
  <w:style w:type="character" w:customStyle="1" w:styleId="HotSpot">
    <w:name w:val="HotSpot"/>
    <w:rsid w:val="008A0A1A"/>
    <w:rPr>
      <w:color w:val="0033CC"/>
      <w:u w:val="none"/>
    </w:rPr>
  </w:style>
  <w:style w:type="paragraph" w:customStyle="1" w:styleId="BodyTextRight">
    <w:name w:val="Body Text Right"/>
    <w:basedOn w:val="BodyText"/>
    <w:rsid w:val="008A0A1A"/>
    <w:pPr>
      <w:spacing w:before="0" w:after="0"/>
      <w:jc w:val="right"/>
    </w:pPr>
  </w:style>
  <w:style w:type="paragraph" w:styleId="Index3">
    <w:name w:val="index 3"/>
    <w:basedOn w:val="ListNumber2"/>
    <w:next w:val="Normal"/>
    <w:semiHidden/>
    <w:rsid w:val="008A0A1A"/>
    <w:pPr>
      <w:numPr>
        <w:numId w:val="0"/>
      </w:numPr>
      <w:tabs>
        <w:tab w:val="right" w:leader="dot" w:pos="4176"/>
      </w:tabs>
    </w:pPr>
  </w:style>
  <w:style w:type="paragraph" w:styleId="ListNumber2">
    <w:name w:val="List Number 2"/>
    <w:basedOn w:val="List2"/>
    <w:rsid w:val="008A0A1A"/>
    <w:pPr>
      <w:numPr>
        <w:numId w:val="11"/>
      </w:numPr>
      <w:tabs>
        <w:tab w:val="clear" w:pos="1060"/>
      </w:tabs>
    </w:pPr>
  </w:style>
  <w:style w:type="paragraph" w:customStyle="1" w:styleId="MarginNote">
    <w:name w:val="Margin Note"/>
    <w:basedOn w:val="BodyText"/>
    <w:rsid w:val="008A0A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0A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0A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0A1A"/>
    <w:rPr>
      <w:sz w:val="32"/>
    </w:rPr>
  </w:style>
  <w:style w:type="paragraph" w:customStyle="1" w:styleId="HeadingProcedure">
    <w:name w:val="Heading Procedure"/>
    <w:basedOn w:val="HeadingBase"/>
    <w:next w:val="Normal"/>
    <w:rsid w:val="008A0A1A"/>
    <w:pPr>
      <w:tabs>
        <w:tab w:val="left" w:pos="0"/>
      </w:tabs>
      <w:spacing w:before="120" w:after="60"/>
    </w:pPr>
    <w:rPr>
      <w:i/>
      <w:color w:val="918585"/>
      <w:sz w:val="22"/>
    </w:rPr>
  </w:style>
  <w:style w:type="paragraph" w:customStyle="1" w:styleId="TableBodyText">
    <w:name w:val="Table Body Text"/>
    <w:basedOn w:val="BodyText"/>
    <w:rsid w:val="008A0A1A"/>
    <w:pPr>
      <w:spacing w:before="60" w:after="60"/>
    </w:pPr>
  </w:style>
  <w:style w:type="paragraph" w:styleId="ListContinue">
    <w:name w:val="List Continue"/>
    <w:basedOn w:val="List"/>
    <w:rsid w:val="008A0A1A"/>
    <w:pPr>
      <w:ind w:firstLine="0"/>
    </w:pPr>
  </w:style>
  <w:style w:type="paragraph" w:customStyle="1" w:styleId="ListNote">
    <w:name w:val="List Note"/>
    <w:basedOn w:val="List"/>
    <w:rsid w:val="008A0A1A"/>
    <w:pPr>
      <w:pBdr>
        <w:top w:val="single" w:sz="6" w:space="2" w:color="918585"/>
        <w:bottom w:val="single" w:sz="6" w:space="2" w:color="918585"/>
      </w:pBdr>
      <w:tabs>
        <w:tab w:val="left" w:pos="1021"/>
      </w:tabs>
      <w:ind w:firstLine="0"/>
    </w:pPr>
  </w:style>
  <w:style w:type="paragraph" w:customStyle="1" w:styleId="Warning">
    <w:name w:val="Warning"/>
    <w:basedOn w:val="BodyText"/>
    <w:rsid w:val="008A0A1A"/>
    <w:pPr>
      <w:shd w:val="clear" w:color="auto" w:fill="D9D9D9"/>
      <w:tabs>
        <w:tab w:val="left" w:pos="992"/>
      </w:tabs>
      <w:ind w:left="119" w:right="119"/>
    </w:pPr>
    <w:rPr>
      <w:sz w:val="20"/>
    </w:rPr>
  </w:style>
  <w:style w:type="paragraph" w:customStyle="1" w:styleId="MarginIcons">
    <w:name w:val="Margin Icons"/>
    <w:basedOn w:val="BodyText"/>
    <w:rsid w:val="008A0A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0A1A"/>
    <w:rPr>
      <w:rFonts w:ascii="Courier New" w:hAnsi="Courier New"/>
    </w:rPr>
  </w:style>
  <w:style w:type="paragraph" w:customStyle="1" w:styleId="NoteBullet">
    <w:name w:val="Note Bullet"/>
    <w:basedOn w:val="Note"/>
    <w:rsid w:val="008A0A1A"/>
    <w:pPr>
      <w:tabs>
        <w:tab w:val="clear" w:pos="680"/>
      </w:tabs>
      <w:spacing w:before="60" w:after="60"/>
    </w:pPr>
  </w:style>
  <w:style w:type="paragraph" w:customStyle="1" w:styleId="SubHeading2">
    <w:name w:val="SubHeading2"/>
    <w:basedOn w:val="HeadingBase"/>
    <w:rsid w:val="008A0A1A"/>
    <w:pPr>
      <w:spacing w:before="240" w:after="60"/>
    </w:pPr>
    <w:rPr>
      <w:sz w:val="20"/>
    </w:rPr>
  </w:style>
  <w:style w:type="paragraph" w:customStyle="1" w:styleId="SubHeading1">
    <w:name w:val="SubHeading1"/>
    <w:basedOn w:val="HeadingBase"/>
    <w:rsid w:val="008A0A1A"/>
    <w:pPr>
      <w:spacing w:before="240" w:after="60"/>
    </w:pPr>
    <w:rPr>
      <w:color w:val="918585"/>
      <w:sz w:val="22"/>
    </w:rPr>
  </w:style>
  <w:style w:type="paragraph" w:customStyle="1" w:styleId="SideHeading">
    <w:name w:val="Side Heading"/>
    <w:basedOn w:val="HeadingBase"/>
    <w:rsid w:val="008A0A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0A1A"/>
    <w:pPr>
      <w:numPr>
        <w:numId w:val="12"/>
      </w:numPr>
    </w:pPr>
  </w:style>
  <w:style w:type="paragraph" w:styleId="PlainText">
    <w:name w:val="Plain Text"/>
    <w:basedOn w:val="Normal"/>
    <w:link w:val="PlainTextChar"/>
    <w:rsid w:val="008A0A1A"/>
    <w:rPr>
      <w:sz w:val="20"/>
    </w:rPr>
  </w:style>
  <w:style w:type="character" w:customStyle="1" w:styleId="PlainTextChar">
    <w:name w:val="Plain Text Char"/>
    <w:basedOn w:val="DefaultParagraphFont"/>
    <w:link w:val="PlainText"/>
    <w:rsid w:val="008A0A1A"/>
    <w:rPr>
      <w:rFonts w:ascii="Courier New" w:eastAsia="Times New Roman" w:hAnsi="Courier New" w:cs="Times New Roman"/>
      <w:sz w:val="20"/>
      <w:szCs w:val="20"/>
      <w:lang w:eastAsia="en-US"/>
    </w:rPr>
  </w:style>
  <w:style w:type="character" w:customStyle="1" w:styleId="MenuOption">
    <w:name w:val="Menu Option"/>
    <w:basedOn w:val="DefaultParagraphFont"/>
    <w:rsid w:val="008A0A1A"/>
    <w:rPr>
      <w:b/>
      <w:smallCaps/>
    </w:rPr>
  </w:style>
  <w:style w:type="paragraph" w:customStyle="1" w:styleId="TableListNumber">
    <w:name w:val="Table List Number"/>
    <w:basedOn w:val="ListNumber"/>
    <w:rsid w:val="008A0A1A"/>
    <w:pPr>
      <w:numPr>
        <w:numId w:val="0"/>
      </w:numPr>
    </w:pPr>
  </w:style>
  <w:style w:type="paragraph" w:styleId="TOC4">
    <w:name w:val="toc 4"/>
    <w:basedOn w:val="TOCBase"/>
    <w:next w:val="Normal"/>
    <w:semiHidden/>
    <w:rsid w:val="008A0A1A"/>
    <w:pPr>
      <w:tabs>
        <w:tab w:val="right" w:leader="dot" w:pos="9071"/>
      </w:tabs>
      <w:ind w:left="1701"/>
    </w:pPr>
  </w:style>
  <w:style w:type="paragraph" w:customStyle="1" w:styleId="ListAlpha">
    <w:name w:val="List Alpha"/>
    <w:basedOn w:val="List"/>
    <w:rsid w:val="008A0A1A"/>
    <w:pPr>
      <w:numPr>
        <w:numId w:val="10"/>
      </w:numPr>
    </w:pPr>
  </w:style>
  <w:style w:type="paragraph" w:customStyle="1" w:styleId="ListAlpha2">
    <w:name w:val="List Alpha 2"/>
    <w:basedOn w:val="List2"/>
    <w:rsid w:val="008A0A1A"/>
    <w:pPr>
      <w:numPr>
        <w:numId w:val="9"/>
      </w:numPr>
    </w:pPr>
  </w:style>
  <w:style w:type="paragraph" w:styleId="List2">
    <w:name w:val="List 2"/>
    <w:basedOn w:val="BodyText"/>
    <w:rsid w:val="008A0A1A"/>
    <w:pPr>
      <w:tabs>
        <w:tab w:val="left" w:pos="680"/>
      </w:tabs>
      <w:spacing w:before="60" w:after="60"/>
      <w:ind w:left="680" w:hanging="340"/>
    </w:pPr>
  </w:style>
  <w:style w:type="paragraph" w:styleId="List3">
    <w:name w:val="List 3"/>
    <w:basedOn w:val="BodyText"/>
    <w:rsid w:val="008A0A1A"/>
    <w:pPr>
      <w:tabs>
        <w:tab w:val="left" w:pos="1021"/>
      </w:tabs>
      <w:spacing w:before="60" w:after="60"/>
      <w:ind w:left="1020" w:hanging="340"/>
    </w:pPr>
  </w:style>
  <w:style w:type="paragraph" w:styleId="List4">
    <w:name w:val="List 4"/>
    <w:basedOn w:val="BodyText"/>
    <w:rsid w:val="008A0A1A"/>
    <w:pPr>
      <w:tabs>
        <w:tab w:val="left" w:pos="1361"/>
      </w:tabs>
      <w:spacing w:before="60" w:after="60"/>
      <w:ind w:left="1361" w:hanging="340"/>
    </w:pPr>
  </w:style>
  <w:style w:type="paragraph" w:styleId="List5">
    <w:name w:val="List 5"/>
    <w:basedOn w:val="BodyText"/>
    <w:rsid w:val="008A0A1A"/>
    <w:pPr>
      <w:tabs>
        <w:tab w:val="left" w:pos="1701"/>
      </w:tabs>
      <w:spacing w:before="60" w:after="60"/>
      <w:ind w:left="1701" w:hanging="340"/>
    </w:pPr>
  </w:style>
  <w:style w:type="paragraph" w:styleId="ListBullet4">
    <w:name w:val="List Bullet 4"/>
    <w:basedOn w:val="List4"/>
    <w:rsid w:val="008A0A1A"/>
    <w:pPr>
      <w:numPr>
        <w:numId w:val="4"/>
      </w:numPr>
      <w:tabs>
        <w:tab w:val="clear" w:pos="1361"/>
      </w:tabs>
    </w:pPr>
  </w:style>
  <w:style w:type="paragraph" w:styleId="ListBullet5">
    <w:name w:val="List Bullet 5"/>
    <w:basedOn w:val="List5"/>
    <w:rsid w:val="008A0A1A"/>
    <w:pPr>
      <w:numPr>
        <w:numId w:val="5"/>
      </w:numPr>
    </w:pPr>
  </w:style>
  <w:style w:type="paragraph" w:styleId="ListContinue2">
    <w:name w:val="List Continue 2"/>
    <w:basedOn w:val="List2"/>
    <w:rsid w:val="008A0A1A"/>
    <w:pPr>
      <w:ind w:firstLine="0"/>
    </w:pPr>
  </w:style>
  <w:style w:type="paragraph" w:styleId="ListContinue3">
    <w:name w:val="List Continue 3"/>
    <w:basedOn w:val="List3"/>
    <w:rsid w:val="008A0A1A"/>
    <w:pPr>
      <w:ind w:left="1021" w:firstLine="0"/>
    </w:pPr>
  </w:style>
  <w:style w:type="paragraph" w:styleId="ListContinue4">
    <w:name w:val="List Continue 4"/>
    <w:basedOn w:val="List4"/>
    <w:rsid w:val="008A0A1A"/>
    <w:pPr>
      <w:ind w:firstLine="0"/>
    </w:pPr>
  </w:style>
  <w:style w:type="paragraph" w:styleId="ListContinue5">
    <w:name w:val="List Continue 5"/>
    <w:basedOn w:val="List5"/>
    <w:rsid w:val="008A0A1A"/>
    <w:pPr>
      <w:ind w:firstLine="0"/>
    </w:pPr>
  </w:style>
  <w:style w:type="paragraph" w:styleId="ListNumber3">
    <w:name w:val="List Number 3"/>
    <w:basedOn w:val="List3"/>
    <w:rsid w:val="008A0A1A"/>
    <w:pPr>
      <w:numPr>
        <w:numId w:val="6"/>
      </w:numPr>
    </w:pPr>
  </w:style>
  <w:style w:type="paragraph" w:styleId="ListNumber4">
    <w:name w:val="List Number 4"/>
    <w:basedOn w:val="List4"/>
    <w:rsid w:val="008A0A1A"/>
    <w:pPr>
      <w:numPr>
        <w:numId w:val="7"/>
      </w:numPr>
    </w:pPr>
  </w:style>
  <w:style w:type="paragraph" w:styleId="ListNumber5">
    <w:name w:val="List Number 5"/>
    <w:basedOn w:val="List5"/>
    <w:rsid w:val="008A0A1A"/>
    <w:pPr>
      <w:numPr>
        <w:numId w:val="8"/>
      </w:numPr>
    </w:pPr>
  </w:style>
  <w:style w:type="paragraph" w:styleId="BlockText">
    <w:name w:val="Block Text"/>
    <w:basedOn w:val="Normal"/>
    <w:rsid w:val="008A0A1A"/>
    <w:pPr>
      <w:spacing w:after="120"/>
      <w:ind w:left="1440" w:right="1440"/>
    </w:pPr>
  </w:style>
  <w:style w:type="character" w:customStyle="1" w:styleId="Subscript">
    <w:name w:val="Subscript"/>
    <w:basedOn w:val="DefaultParagraphFont"/>
    <w:rsid w:val="008A0A1A"/>
    <w:rPr>
      <w:sz w:val="16"/>
      <w:vertAlign w:val="subscript"/>
    </w:rPr>
  </w:style>
  <w:style w:type="character" w:customStyle="1" w:styleId="Superscript">
    <w:name w:val="Superscript"/>
    <w:basedOn w:val="DefaultParagraphFont"/>
    <w:rsid w:val="008A0A1A"/>
    <w:rPr>
      <w:sz w:val="16"/>
      <w:vertAlign w:val="superscript"/>
    </w:rPr>
  </w:style>
  <w:style w:type="character" w:customStyle="1" w:styleId="Symbols">
    <w:name w:val="Symbols"/>
    <w:basedOn w:val="DefaultParagraphFont"/>
    <w:rsid w:val="008A0A1A"/>
    <w:rPr>
      <w:rFonts w:ascii="Symbol" w:hAnsi="Symbol"/>
    </w:rPr>
  </w:style>
  <w:style w:type="character" w:customStyle="1" w:styleId="MenuOptions">
    <w:name w:val="Menu Options"/>
    <w:basedOn w:val="DefaultParagraphFont"/>
    <w:rsid w:val="008A0A1A"/>
    <w:rPr>
      <w:rFonts w:ascii="Arial Narrow" w:hAnsi="Arial Narrow"/>
      <w:smallCaps/>
    </w:rPr>
  </w:style>
  <w:style w:type="character" w:customStyle="1" w:styleId="Buttons">
    <w:name w:val="Buttons"/>
    <w:basedOn w:val="DefaultParagraphFont"/>
    <w:rsid w:val="008A0A1A"/>
    <w:rPr>
      <w:b/>
    </w:rPr>
  </w:style>
  <w:style w:type="character" w:customStyle="1" w:styleId="Underlined">
    <w:name w:val="Underlined"/>
    <w:basedOn w:val="DefaultParagraphFont"/>
    <w:rsid w:val="008A0A1A"/>
    <w:rPr>
      <w:u w:val="single"/>
    </w:rPr>
  </w:style>
  <w:style w:type="paragraph" w:customStyle="1" w:styleId="TableBodyTextRight">
    <w:name w:val="Table Body Text Right"/>
    <w:basedOn w:val="TableBodyText"/>
    <w:rsid w:val="008A0A1A"/>
    <w:pPr>
      <w:widowControl w:val="0"/>
      <w:autoSpaceDE w:val="0"/>
      <w:autoSpaceDN w:val="0"/>
      <w:adjustRightInd w:val="0"/>
      <w:jc w:val="right"/>
    </w:pPr>
    <w:rPr>
      <w:rFonts w:cs="Arial"/>
      <w:szCs w:val="18"/>
    </w:rPr>
  </w:style>
  <w:style w:type="paragraph" w:customStyle="1" w:styleId="CopyrightText">
    <w:name w:val="Copyright Text"/>
    <w:basedOn w:val="BodyText"/>
    <w:rsid w:val="008A0A1A"/>
    <w:rPr>
      <w:sz w:val="18"/>
    </w:rPr>
  </w:style>
  <w:style w:type="paragraph" w:customStyle="1" w:styleId="BodySmallRight">
    <w:name w:val="Body Small Right"/>
    <w:basedOn w:val="BodyTextRight"/>
    <w:rsid w:val="008A0A1A"/>
    <w:rPr>
      <w:sz w:val="18"/>
      <w:szCs w:val="18"/>
    </w:rPr>
  </w:style>
  <w:style w:type="paragraph" w:customStyle="1" w:styleId="MarginEdition">
    <w:name w:val="Margin Edition"/>
    <w:basedOn w:val="MarginNote"/>
    <w:rsid w:val="008A0A1A"/>
    <w:pPr>
      <w:spacing w:before="0" w:after="0"/>
    </w:pPr>
    <w:rPr>
      <w:rFonts w:ascii="Times New Roman" w:hAnsi="Times New Roman"/>
      <w:color w:val="999999"/>
    </w:rPr>
  </w:style>
  <w:style w:type="paragraph" w:customStyle="1" w:styleId="Spacer">
    <w:name w:val="Spacer"/>
    <w:basedOn w:val="Normal"/>
    <w:rsid w:val="008A0A1A"/>
    <w:rPr>
      <w:sz w:val="2"/>
      <w:szCs w:val="2"/>
    </w:rPr>
  </w:style>
  <w:style w:type="character" w:customStyle="1" w:styleId="Small">
    <w:name w:val="Small"/>
    <w:basedOn w:val="DefaultParagraphFont"/>
    <w:rsid w:val="008A0A1A"/>
    <w:rPr>
      <w:sz w:val="16"/>
    </w:rPr>
  </w:style>
  <w:style w:type="paragraph" w:customStyle="1" w:styleId="WideTable">
    <w:name w:val="Wide Table"/>
    <w:basedOn w:val="Normal"/>
    <w:rsid w:val="008A0A1A"/>
    <w:pPr>
      <w:ind w:left="-1418"/>
    </w:pPr>
    <w:rPr>
      <w:sz w:val="2"/>
      <w:szCs w:val="2"/>
    </w:rPr>
  </w:style>
  <w:style w:type="character" w:styleId="PageNumber">
    <w:name w:val="page number"/>
    <w:basedOn w:val="DefaultParagraphFont"/>
    <w:rsid w:val="008A0A1A"/>
  </w:style>
  <w:style w:type="paragraph" w:styleId="Quote">
    <w:name w:val="Quote"/>
    <w:basedOn w:val="Heading1"/>
    <w:link w:val="QuoteChar"/>
    <w:qFormat/>
    <w:rsid w:val="008A0A1A"/>
    <w:rPr>
      <w:b w:val="0"/>
      <w:sz w:val="72"/>
      <w:szCs w:val="72"/>
      <w:lang w:val="en-NZ"/>
    </w:rPr>
  </w:style>
  <w:style w:type="character" w:customStyle="1" w:styleId="QuoteChar">
    <w:name w:val="Quote Char"/>
    <w:basedOn w:val="DefaultParagraphFont"/>
    <w:link w:val="Quote"/>
    <w:rsid w:val="008A0A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0A1A"/>
    <w:pPr>
      <w:pageBreakBefore/>
    </w:pPr>
  </w:style>
  <w:style w:type="paragraph" w:customStyle="1" w:styleId="Border">
    <w:name w:val="Border"/>
    <w:basedOn w:val="Normal"/>
    <w:qFormat/>
    <w:rsid w:val="008A0A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0A1A"/>
    <w:rPr>
      <w:b/>
      <w:bCs/>
      <w:i/>
      <w:iCs/>
      <w:color w:val="auto"/>
    </w:rPr>
  </w:style>
  <w:style w:type="paragraph" w:styleId="IntenseQuote">
    <w:name w:val="Intense Quote"/>
    <w:basedOn w:val="Normal"/>
    <w:next w:val="Normal"/>
    <w:link w:val="IntenseQuoteChar"/>
    <w:uiPriority w:val="30"/>
    <w:qFormat/>
    <w:rsid w:val="008A0A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0A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0A1A"/>
    <w:rPr>
      <w:smallCaps/>
      <w:color w:val="auto"/>
      <w:u w:val="single"/>
    </w:rPr>
  </w:style>
  <w:style w:type="character" w:styleId="IntenseReference">
    <w:name w:val="Intense Reference"/>
    <w:basedOn w:val="DefaultParagraphFont"/>
    <w:uiPriority w:val="32"/>
    <w:qFormat/>
    <w:rsid w:val="008A0A1A"/>
    <w:rPr>
      <w:b/>
      <w:bCs/>
      <w:smallCaps/>
      <w:color w:val="auto"/>
      <w:spacing w:val="5"/>
      <w:u w:val="single"/>
    </w:rPr>
  </w:style>
  <w:style w:type="paragraph" w:customStyle="1" w:styleId="2ColumnHeading">
    <w:name w:val="2Column Heading"/>
    <w:basedOn w:val="BodyText"/>
    <w:qFormat/>
    <w:rsid w:val="008A0A1A"/>
    <w:pPr>
      <w:spacing w:after="60"/>
      <w:ind w:left="-2268"/>
    </w:pPr>
    <w:rPr>
      <w:b/>
    </w:rPr>
  </w:style>
  <w:style w:type="paragraph" w:customStyle="1" w:styleId="Heading1TOC">
    <w:name w:val="Heading1 TOC"/>
    <w:basedOn w:val="Normal"/>
    <w:qFormat/>
    <w:rsid w:val="008A0A1A"/>
    <w:pPr>
      <w:spacing w:before="240" w:after="120"/>
    </w:pPr>
    <w:rPr>
      <w:rFonts w:ascii="Times New Roman" w:hAnsi="Times New Roman"/>
      <w:b/>
      <w:sz w:val="32"/>
    </w:rPr>
  </w:style>
  <w:style w:type="paragraph" w:customStyle="1" w:styleId="Heading2TOC">
    <w:name w:val="Heading2 TOC"/>
    <w:basedOn w:val="Normal"/>
    <w:qFormat/>
    <w:rsid w:val="008A0A1A"/>
    <w:pPr>
      <w:spacing w:before="240" w:after="60"/>
    </w:pPr>
    <w:rPr>
      <w:rFonts w:ascii="Times New Roman" w:hAnsi="Times New Roman"/>
      <w:b/>
      <w:sz w:val="28"/>
    </w:rPr>
  </w:style>
  <w:style w:type="character" w:customStyle="1" w:styleId="Underline">
    <w:name w:val="Underline"/>
    <w:basedOn w:val="DefaultParagraphFont"/>
    <w:qFormat/>
    <w:rsid w:val="008A0A1A"/>
    <w:rPr>
      <w:u w:val="single"/>
    </w:rPr>
  </w:style>
  <w:style w:type="character" w:customStyle="1" w:styleId="BoldandItalics">
    <w:name w:val="Bold and Italics"/>
    <w:qFormat/>
    <w:rsid w:val="008A0A1A"/>
    <w:rPr>
      <w:b/>
      <w:i/>
      <w:u w:val="none"/>
    </w:rPr>
  </w:style>
  <w:style w:type="paragraph" w:styleId="BalloonText">
    <w:name w:val="Balloon Text"/>
    <w:basedOn w:val="Normal"/>
    <w:link w:val="BalloonTextChar"/>
    <w:rsid w:val="008A0A1A"/>
    <w:rPr>
      <w:rFonts w:ascii="Tahoma" w:hAnsi="Tahoma" w:cs="Tahoma"/>
      <w:sz w:val="16"/>
      <w:szCs w:val="16"/>
    </w:rPr>
  </w:style>
  <w:style w:type="character" w:customStyle="1" w:styleId="BalloonTextChar">
    <w:name w:val="Balloon Text Char"/>
    <w:basedOn w:val="DefaultParagraphFont"/>
    <w:link w:val="BalloonText"/>
    <w:rsid w:val="008A0A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0A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0A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0A1A"/>
    <w:rPr>
      <w:b/>
      <w:color w:val="660033"/>
      <w:spacing w:val="0"/>
    </w:rPr>
  </w:style>
  <w:style w:type="paragraph" w:customStyle="1" w:styleId="Nameditemlist">
    <w:name w:val="Named item list"/>
    <w:basedOn w:val="BodyText"/>
    <w:qFormat/>
    <w:rsid w:val="008A0A1A"/>
    <w:pPr>
      <w:tabs>
        <w:tab w:val="left" w:pos="2835"/>
      </w:tabs>
      <w:ind w:left="2835" w:hanging="2835"/>
    </w:pPr>
  </w:style>
  <w:style w:type="paragraph" w:customStyle="1" w:styleId="BodyTextnopadding">
    <w:name w:val="Body Text no padding"/>
    <w:basedOn w:val="BodyText"/>
    <w:qFormat/>
    <w:rsid w:val="008A0A1A"/>
    <w:pPr>
      <w:spacing w:before="0" w:after="0"/>
    </w:pPr>
  </w:style>
  <w:style w:type="paragraph" w:customStyle="1" w:styleId="BodyTextBold">
    <w:name w:val="Body Text Bold"/>
    <w:basedOn w:val="BodyText"/>
    <w:qFormat/>
    <w:rsid w:val="008A0A1A"/>
    <w:rPr>
      <w:b/>
    </w:rPr>
  </w:style>
  <w:style w:type="character" w:styleId="Hyperlink">
    <w:name w:val="Hyperlink"/>
    <w:basedOn w:val="DefaultParagraphFont"/>
    <w:uiPriority w:val="99"/>
    <w:unhideWhenUsed/>
    <w:rsid w:val="00E918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649</Words>
  <Characters>4477</Characters>
  <Application>Microsoft Office Word</Application>
  <DocSecurity>0</DocSecurity>
  <Lines>131</Lines>
  <Paragraphs>111</Paragraphs>
  <ScaleCrop>false</ScaleCrop>
  <Company>Author-it Software Corporation Ltd.</Company>
  <LinksUpToDate>false</LinksUpToDate>
  <CharactersWithSpaces>5015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MARL042 Apply basic principles of marine electrotechnology</dc:title>
  <dc:subject>Approved</dc:subject>
  <dc:creator>Industry Skills Australia</dc:creator>
  <cp:keywords>Release: 1</cp:keywords>
  <dc:description>Review Date: 12 April 2008</dc:description>
  <cp:lastModifiedBy>HSD_TPCMSd.prod</cp:lastModifiedBy>
  <cp:revision>3</cp:revision>
  <dcterms:created xsi:type="dcterms:W3CDTF">2024-11-22T07:59:00Z</dcterms:created>
  <dcterms:modified xsi:type="dcterms:W3CDTF">2024-11-22T07:59:00Z</dcterms:modified>
</cp:coreProperties>
</file>