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2E1" w:rsidP="005E42E1">
      <w:pPr>
        <w:pStyle w:val="Title"/>
      </w:pPr>
      <w:r>
        <w:fldChar w:fldCharType="begin"/>
      </w:r>
      <w:r>
        <w:instrText xml:space="preserve"> TITLE   \* MERGEFORMAT </w:instrText>
      </w:r>
      <w:r>
        <w:fldChar w:fldCharType="separate"/>
      </w:r>
      <w:r>
        <w:t>MARL039 Apply advanced principles of marine engineering thermodynamics</w:t>
      </w:r>
      <w:r>
        <w:fldChar w:fldCharType="end"/>
      </w:r>
    </w:p>
    <w:p w:rsidR="005E42E1" w:rsidP="005E42E1">
      <w:pPr>
        <w:pStyle w:val="Version"/>
        <w:sectPr w:rsidSect="003B5B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B29" w:rsidP="003B5B29">
      <w:pPr>
        <w:pStyle w:val="SuperHeading"/>
      </w:pPr>
      <w:r w:rsidRPr="003B5B29">
        <w:t>MARL039 Apply advanced principles of marine engineering thermodynamics</w:t>
      </w:r>
    </w:p>
    <w:p w:rsidR="00000000" w:rsidRPr="003B5B29" w:rsidP="003B5B29">
      <w:pPr>
        <w:pStyle w:val="Heading1"/>
      </w:pPr>
      <w:bookmarkStart w:id="1" w:name="O_1087655"/>
      <w:bookmarkEnd w:id="1"/>
      <w:r w:rsidRPr="003B5B29">
        <w:t>Modification History</w:t>
      </w:r>
    </w:p>
    <w:tbl>
      <w:tblPr>
        <w:tblW w:w="9496" w:type="dxa"/>
        <w:tblLayout w:type="fixed"/>
        <w:tblCellMar>
          <w:left w:w="62" w:type="dxa"/>
          <w:right w:w="62" w:type="dxa"/>
        </w:tblCellMar>
        <w:tblLook w:val="0000"/>
      </w:tblPr>
      <w:tblGrid>
        <w:gridCol w:w="9496"/>
      </w:tblGrid>
      <w:tr w:rsidTr="003B5B2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Release 1. This is the first release of this unit of competency in the MAR Maritime Training Package.</w:t>
            </w:r>
          </w:p>
        </w:tc>
      </w:tr>
    </w:tbl>
    <w:p w:rsidR="005E42E1" w:rsidP="003B5B29">
      <w:pPr>
        <w:pStyle w:val="NoPaddingFontSize1"/>
      </w:pPr>
    </w:p>
    <w:p w:rsidR="005E42E1" w:rsidP="003B5B29">
      <w:pPr>
        <w:pStyle w:val="NoPaddingFontSize1"/>
      </w:pPr>
    </w:p>
    <w:p w:rsidR="00000000" w:rsidRPr="003B5B29" w:rsidP="003B5B29">
      <w:pPr>
        <w:pStyle w:val="Heading1"/>
      </w:pPr>
      <w:bookmarkStart w:id="2" w:name="O_1087656"/>
      <w:bookmarkEnd w:id="2"/>
      <w:r w:rsidRPr="003B5B29">
        <w:t>Application</w:t>
      </w:r>
    </w:p>
    <w:tbl>
      <w:tblPr>
        <w:tblW w:w="9496" w:type="dxa"/>
        <w:tblLayout w:type="fixed"/>
        <w:tblCellMar>
          <w:left w:w="62" w:type="dxa"/>
          <w:right w:w="62" w:type="dxa"/>
        </w:tblCellMar>
        <w:tblLook w:val="0000"/>
      </w:tblPr>
      <w:tblGrid>
        <w:gridCol w:w="9496"/>
      </w:tblGrid>
      <w:tr w:rsidTr="003B5B2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This unit involves the skills and knowledge required to apply advanced principles of engineering thermodynamics to perform calculations and to explain the operation of marine machinery, including internal combustion and gas turbine engines, air compressors</w:t>
            </w:r>
            <w:r w:rsidRPr="003B5B29">
              <w:t>, steam condensers and refrigeration units.</w:t>
            </w:r>
          </w:p>
          <w:p w:rsidR="00000000" w:rsidRPr="003B5B29" w:rsidP="003B5B29">
            <w:pPr>
              <w:pStyle w:val="BodyText"/>
            </w:pPr>
            <w:r w:rsidRPr="003B5B29">
              <w:t>This unit applies to people working in the maritime industry in the capacity of:</w:t>
            </w:r>
          </w:p>
          <w:p w:rsidR="00000000" w:rsidRPr="003B5B29" w:rsidP="003B5B29">
            <w:pPr>
              <w:pStyle w:val="ListBullet"/>
            </w:pPr>
            <w:r w:rsidRPr="003B5B29">
              <w:t>Engineer Class 1 (STCW Chief Engineer Unlimited)</w:t>
            </w:r>
          </w:p>
          <w:p w:rsidR="00000000" w:rsidRPr="003B5B29" w:rsidP="003B5B29">
            <w:pPr>
              <w:pStyle w:val="ListBullet"/>
            </w:pPr>
            <w:r w:rsidRPr="003B5B29">
              <w:t>Engineer Class 2 (STCW Second Engineer Unlimited).</w:t>
            </w:r>
          </w:p>
          <w:p w:rsidR="00000000" w:rsidRPr="003B5B29" w:rsidP="003B5B29">
            <w:pPr>
              <w:pStyle w:val="BodyText"/>
            </w:pPr>
            <w:r w:rsidRPr="003B5B29">
              <w:rPr>
                <w:rStyle w:val="SpecialBold"/>
              </w:rPr>
              <w:t>Licensing/Regulatory Informati</w:t>
            </w:r>
            <w:r w:rsidRPr="003B5B29">
              <w:rPr>
                <w:rStyle w:val="SpecialBold"/>
              </w:rPr>
              <w:t>on</w:t>
            </w:r>
          </w:p>
          <w:p w:rsidR="00000000" w:rsidRPr="003B5B29" w:rsidP="003B5B29">
            <w:pPr>
              <w:pStyle w:val="BodyText"/>
            </w:pPr>
            <w:r w:rsidRPr="003B5B29">
              <w:t xml:space="preserve">Legislative and regulatory requirements are applicable to this unit.  </w:t>
            </w:r>
          </w:p>
          <w:p w:rsidR="00000000" w:rsidRPr="003B5B29" w:rsidP="003B5B29">
            <w:pPr>
              <w:pStyle w:val="ListBullet"/>
            </w:pPr>
            <w:r w:rsidRPr="003B5B29">
              <w:t>This unit is one of the requirements to obtain Australian Maritime Safety Authority (AMSA) certification as an Engineer Class 1 (STCW Chief Engineer Unlimited) or Engineer Class 2 (</w:t>
            </w:r>
            <w:r w:rsidRPr="003B5B29">
              <w:t>STCW Second Engineer Unlimited) and to meet regulatory requirements this unit must be delivered consistent with Marine Orders and with the relevant sections of the International Convention on Standards of Training, Certification and Watchkeeping for Seafar</w:t>
            </w:r>
            <w:r w:rsidRPr="003B5B29">
              <w:t>ers (STCW).</w:t>
            </w:r>
          </w:p>
          <w:p w:rsidR="00000000" w:rsidRPr="003B5B29" w:rsidP="003B5B29">
            <w:pPr>
              <w:pStyle w:val="ListBullet"/>
            </w:pPr>
            <w:r w:rsidRPr="003B5B29">
              <w:t>Those regulatory requirements include STCW International Maritime Organization (IMO) model course competencies and areas of knowledge, understanding and proficiency, together with the estimated total hours required for lectures and practical exercises. Tea</w:t>
            </w:r>
            <w:r w:rsidRPr="003B5B29">
              <w:t>ching staff should note that timings are suggestions only and should be adapted to suit individual groups of trainees depending on their experience, ability, equipment and staff available for training.</w:t>
            </w:r>
          </w:p>
        </w:tc>
      </w:tr>
    </w:tbl>
    <w:p w:rsidR="005E42E1" w:rsidP="003B5B29">
      <w:pPr>
        <w:pStyle w:val="NoPaddingFontSize1"/>
      </w:pPr>
    </w:p>
    <w:p w:rsidR="005E42E1" w:rsidP="003B5B29">
      <w:pPr>
        <w:pStyle w:val="NoPaddingFontSize1"/>
      </w:pPr>
    </w:p>
    <w:p w:rsidR="00000000" w:rsidRPr="003B5B29" w:rsidP="003B5B29">
      <w:pPr>
        <w:pStyle w:val="Heading1"/>
      </w:pPr>
      <w:bookmarkStart w:id="3" w:name="O_1087657"/>
      <w:bookmarkEnd w:id="3"/>
      <w:r w:rsidRPr="003B5B29">
        <w:t>Pre-requisite Unit</w:t>
      </w:r>
    </w:p>
    <w:tbl>
      <w:tblPr>
        <w:tblW w:w="9496" w:type="dxa"/>
        <w:tblLayout w:type="fixed"/>
        <w:tblCellMar>
          <w:left w:w="62" w:type="dxa"/>
          <w:right w:w="62" w:type="dxa"/>
        </w:tblCellMar>
        <w:tblLook w:val="0000"/>
      </w:tblPr>
      <w:tblGrid>
        <w:gridCol w:w="9496"/>
      </w:tblGrid>
      <w:tr w:rsidTr="003B5B2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Not applicabl</w:t>
            </w:r>
            <w:r w:rsidRPr="003B5B29">
              <w:t>e.</w:t>
            </w:r>
          </w:p>
        </w:tc>
      </w:tr>
    </w:tbl>
    <w:p w:rsidR="005E42E1" w:rsidP="003B5B29">
      <w:pPr>
        <w:pStyle w:val="NoPaddingFontSize1"/>
      </w:pPr>
    </w:p>
    <w:p w:rsidR="005E42E1" w:rsidP="003B5B29">
      <w:pPr>
        <w:pStyle w:val="NoPaddingFontSize1"/>
      </w:pPr>
    </w:p>
    <w:p w:rsidR="00000000" w:rsidRPr="003B5B29" w:rsidP="003B5B29">
      <w:pPr>
        <w:pStyle w:val="Heading1"/>
      </w:pPr>
      <w:bookmarkStart w:id="4" w:name="O_1087658"/>
      <w:bookmarkEnd w:id="4"/>
      <w:r w:rsidRPr="003B5B29">
        <w:t>Competency Field</w:t>
      </w:r>
    </w:p>
    <w:tbl>
      <w:tblPr>
        <w:tblW w:w="9496" w:type="dxa"/>
        <w:tblLayout w:type="fixed"/>
        <w:tblCellMar>
          <w:left w:w="62" w:type="dxa"/>
          <w:right w:w="62" w:type="dxa"/>
        </w:tblCellMar>
        <w:tblLook w:val="0000"/>
      </w:tblPr>
      <w:tblGrid>
        <w:gridCol w:w="9496"/>
      </w:tblGrid>
      <w:tr w:rsidTr="003B5B2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L – Engineering</w:t>
            </w:r>
          </w:p>
        </w:tc>
      </w:tr>
    </w:tbl>
    <w:p w:rsidR="005E42E1" w:rsidP="003B5B29">
      <w:pPr>
        <w:pStyle w:val="NoPaddingFontSize1"/>
      </w:pPr>
    </w:p>
    <w:p w:rsidR="005E42E1" w:rsidP="003B5B29">
      <w:pPr>
        <w:pStyle w:val="NoPaddingFontSize1"/>
      </w:pPr>
    </w:p>
    <w:p w:rsidR="00000000" w:rsidRPr="003B5B29" w:rsidP="003B5B29">
      <w:pPr>
        <w:pStyle w:val="Heading1"/>
      </w:pPr>
      <w:bookmarkStart w:id="5" w:name="O_1087659"/>
      <w:bookmarkEnd w:id="5"/>
      <w:r w:rsidRPr="003B5B29">
        <w:t>Unit Sector</w:t>
      </w:r>
    </w:p>
    <w:tbl>
      <w:tblPr>
        <w:tblW w:w="9496" w:type="dxa"/>
        <w:tblLayout w:type="fixed"/>
        <w:tblCellMar>
          <w:left w:w="62" w:type="dxa"/>
          <w:right w:w="62" w:type="dxa"/>
        </w:tblCellMar>
        <w:tblLook w:val="0000"/>
      </w:tblPr>
      <w:tblGrid>
        <w:gridCol w:w="9496"/>
      </w:tblGrid>
      <w:tr w:rsidTr="003B5B2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Not applicable.</w:t>
            </w:r>
          </w:p>
        </w:tc>
      </w:tr>
    </w:tbl>
    <w:p w:rsidR="005E42E1" w:rsidP="003B5B29">
      <w:pPr>
        <w:pStyle w:val="NoPaddingFontSize1"/>
      </w:pPr>
    </w:p>
    <w:p w:rsidR="005E42E1" w:rsidP="003B5B29">
      <w:pPr>
        <w:pStyle w:val="NoPaddingFontSize1"/>
      </w:pPr>
    </w:p>
    <w:p w:rsidR="00000000" w:rsidRPr="003B5B29" w:rsidP="003B5B29">
      <w:pPr>
        <w:pStyle w:val="Heading1"/>
      </w:pPr>
      <w:bookmarkStart w:id="6" w:name="O_1087660"/>
      <w:bookmarkEnd w:id="6"/>
      <w:r w:rsidRPr="003B5B29">
        <w:t>Elements and Performance Criteria</w:t>
      </w:r>
    </w:p>
    <w:tbl>
      <w:tblPr>
        <w:tblW w:w="9498" w:type="dxa"/>
        <w:tblLayout w:type="fixed"/>
        <w:tblCellMar>
          <w:left w:w="62" w:type="dxa"/>
          <w:right w:w="62" w:type="dxa"/>
        </w:tblCellMar>
        <w:tblLook w:val="0000"/>
      </w:tblPr>
      <w:tblGrid>
        <w:gridCol w:w="535"/>
        <w:gridCol w:w="3037"/>
        <w:gridCol w:w="22"/>
        <w:gridCol w:w="20"/>
        <w:gridCol w:w="760"/>
        <w:gridCol w:w="22"/>
        <w:gridCol w:w="5102"/>
      </w:tblGrid>
      <w:tr w:rsidTr="003B5B29">
        <w:tblPrEx>
          <w:tblW w:w="9498" w:type="dxa"/>
          <w:tblLayout w:type="fixed"/>
          <w:tblCellMar>
            <w:left w:w="62" w:type="dxa"/>
            <w:right w:w="62" w:type="dxa"/>
          </w:tblCellMar>
          <w:tblLook w:val="0000"/>
        </w:tblPrEx>
        <w:tc>
          <w:tcPr>
            <w:tcW w:w="3594" w:type="dxa"/>
            <w:gridSpan w:val="3"/>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ELEMENTS</w:t>
            </w:r>
          </w:p>
        </w:tc>
        <w:tc>
          <w:tcPr>
            <w:tcW w:w="5904" w:type="dxa"/>
            <w:gridSpan w:val="4"/>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PERFORMANCE CRITERIA</w:t>
            </w:r>
          </w:p>
        </w:tc>
      </w:tr>
      <w:tr w:rsidTr="003B5B29">
        <w:tblPrEx>
          <w:tblW w:w="9498" w:type="dxa"/>
          <w:tblLayout w:type="fixed"/>
          <w:tblCellMar>
            <w:left w:w="62" w:type="dxa"/>
            <w:right w:w="62" w:type="dxa"/>
          </w:tblCellMar>
          <w:tblLook w:val="0000"/>
        </w:tblPrEx>
        <w:tc>
          <w:tcPr>
            <w:tcW w:w="3594"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Elements describe the essential outcomes.</w:t>
            </w:r>
          </w:p>
        </w:tc>
        <w:tc>
          <w:tcPr>
            <w:tcW w:w="5904" w:type="dxa"/>
            <w:gridSpan w:val="4"/>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Performance criteria describe the performance needed to demonstrate achievement of the element.</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 xml:space="preserve">1 </w:t>
            </w:r>
          </w:p>
        </w:tc>
        <w:tc>
          <w:tcPr>
            <w:tcW w:w="3059" w:type="dxa"/>
            <w:gridSpan w:val="2"/>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Calculate heat mixtures involving water equivalent, change of phase and feed heating</w:t>
            </w:r>
          </w:p>
        </w:tc>
        <w:tc>
          <w:tcPr>
            <w:tcW w:w="780"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Key terms associated with heat transmission are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H</w:t>
            </w:r>
            <w:r w:rsidRPr="003B5B29">
              <w:t>eat transfer is calculated between liquids and solids using water equivalent</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Flow is differentiated from non-flow heating and cooling processes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Effects of superheating and sub-cooling on steam plant efficiency are outlined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1.5</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Enthalpy is applied to heat mixture calculations with or without phase change</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1.6</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Enthalpy is applied to calculate resultant conditions of hot wells involving multiple returns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1.7</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Steam conditions in a system when using throttling devices and separators are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1.8</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Entropy is distinguished from enthalpy</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1.9</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Entropy values are determined from standard tables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0" w:type="dxa"/>
            <w:gridSpan w:val="2"/>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1.10</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Mass balance throughout a steam plant cycle is const</w:t>
            </w:r>
            <w:r w:rsidRPr="003B5B29">
              <w:t>ructed and effects of pressure and temperature on cycle efficiency are analysed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2</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Determine fluid properties of steam</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2.1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Relationship between saturated and superheated steam, including dryness fraction, is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2.2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Tables and/or diagrams are used to find enthalpy and entropy values for liquid, part liquid-part vapour and vapour states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2.3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Carnot cycle is outlined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2.4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Rankine cycle is outlined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2.5</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Isentropic efficiency is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2.6</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Problems are solved involving the efficiency of steam turbines operating in the Rankine cycle</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3</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Calculate boiler efficiency and boiler water density</w:t>
            </w:r>
          </w:p>
        </w:tc>
        <w:tc>
          <w:tcPr>
            <w:tcW w:w="802" w:type="dxa"/>
            <w:gridSpan w:val="3"/>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3.1</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Concept of parts per million for density of boiler water is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3.2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Changes in boiler water density due to contaminated feed are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3.3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How acceptable dissolved solids and water levels may be maintained in a boiler is shown</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p>
          <w:p w:rsidR="00000000" w:rsidRPr="003B5B29" w:rsidP="003B5B29">
            <w:pPr>
              <w:pStyle w:val="BodyText"/>
            </w:pPr>
            <w:r w:rsidRPr="003B5B29">
              <w:rPr>
                <w:rStyle w:val="SpecialBold"/>
              </w:rPr>
              <w:t>4</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Apply Dalton’s Law of partial pressures to steam condensers</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4.1</w:t>
            </w:r>
            <w:r w:rsidRPr="003B5B29">
              <w:br/>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Dalton’s Law is appl</w:t>
            </w:r>
            <w:r w:rsidRPr="003B5B29">
              <w:t>ied to calculate air and condensate extraction from condensers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4.2</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Problems are solved involving cooling water mass flow and cooling water pump work</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p>
          <w:p w:rsidR="00000000" w:rsidRPr="003B5B29" w:rsidP="003B5B29">
            <w:pPr>
              <w:pStyle w:val="BodyText"/>
            </w:pPr>
            <w:r w:rsidRPr="003B5B29">
              <w:rPr>
                <w:rStyle w:val="SpecialBold"/>
              </w:rPr>
              <w:t>5</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Apply chemical equations for complete and incomplete combustion</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5.1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Atomic and molecular weights and kilogram-mole (kg-mol) are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5.2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Elements and compounds present in fuel and the products of combustion are evaluated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5.3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Calorific value of a fuel is calculated by chemical formula</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5.4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 xml:space="preserve">Mass of air required </w:t>
            </w:r>
            <w:r w:rsidRPr="003B5B29">
              <w:t>for stoichiometric combustion is calculated by gravimetric and volumetric analysis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5.5</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Chemical equations for combustion elements and compounds are developed and elements of combustion are analysed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5.6</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Air/fuel ratio, gravimetric and volumetric analysis are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5.7</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Air/fuel ratio is determined when supplied with composition of fuel and exhaust gas analysis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5.8</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Bomb calorimeter is used to find calorific value of a fuel</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6.</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Calculate thermal ex</w:t>
            </w:r>
            <w:r w:rsidRPr="003B5B29">
              <w:rPr>
                <w:rStyle w:val="SpecialBold"/>
              </w:rPr>
              <w:t>pansion</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6.1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Coefficient of linear expansion and its significance to different materials is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6.2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Clearances and shrunk fit allowances are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6.3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Stresses generated with restricted expansion are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6.4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Volumetric expansion of solid and liquids, and allowance required for fluid expansion in tanks and systems is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7</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Calculate gas conditions, work and thermal efficiency of internal combustion engines</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Compression and pressure ratio is explained</w:t>
            </w:r>
            <w:r w:rsidRPr="003B5B29">
              <w:t xml:space="preserve"> and related to combined gas law equation</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Combined gas law equation is applied to constant volume and constant pressure processes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Specific gas constant of a gas or mixture of gases is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Universal gas constant from Avogadro’</w:t>
            </w:r>
            <w:r w:rsidRPr="003B5B29">
              <w:t>s hypothesis is determined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7.5</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Differentiation is made between specific heat of gases, ratio of specific heats, work and change in internal energy</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7.6</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Changes in internal energy associated with specific heat of gases, ratio of specific heats and work</w:t>
            </w:r>
            <w:r w:rsidRPr="003B5B29">
              <w:t xml:space="preserve"> are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7.7</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First law of thermodynamics is applied to thermodynamic processes in a closed system</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7.8</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Second law of thermodynamics is applied to find thermal efficiency of Carnot cycle</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7.9</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Mathematical formula is applied to solve problems related to ideal constant volume air standard cycle</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7.10</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Mathematical formula is applied to solve problems related to diesel and dual cycles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8</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Calculate performance of internal combustion and gas turbine engines</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Processes associated with expansion and compression of gases are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Gas conditions and index of compression at end of each process are determined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 xml:space="preserve">Work formula is </w:t>
            </w:r>
            <w:r w:rsidRPr="003B5B29">
              <w:t>derived for each process and derived formula is applied to calculate work and power per cycle</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Air standard cycle is applied to determine amount of fuel consumed and work produced by an internal combustion engine</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8.5</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Differentiation is made between air standard efficiency and thermal efficiency</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8.6</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Pressure/volume (P/V) and out-of-phase engine indicator diagrams are analysed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8.7</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Work, power, mean effective pressure and thermal efficiency of internal combustion en</w:t>
            </w:r>
            <w:r w:rsidRPr="003B5B29">
              <w:t>gine cycles are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8.8</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Heat transfer to jacket cooling systems is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8.9</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Open and closed systems for gas turbines are outlined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8.10</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Temperature/entropy diagrams are applied to illustrate gas turbine cycles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8.11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Power, isentrop</w:t>
            </w:r>
            <w:r w:rsidRPr="003B5B29">
              <w:t xml:space="preserve">ic efficiencies, thermal efficiency, work and fuel consumption for gas turbine cycles are </w:t>
            </w:r>
            <w:r w:rsidRPr="003B5B29">
              <w:t>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8.12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Methods to increase efficiency of gas turbines are specified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8.13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Reheaters and intercoolers and how they improve efficiency is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9</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Ana</w:t>
            </w:r>
            <w:r w:rsidRPr="003B5B29">
              <w:rPr>
                <w:rStyle w:val="SpecialBold"/>
              </w:rPr>
              <w:t>lyse air compressor performance</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Compressor types are classified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P/V diagram is applied to describe operating cycle of reciprocating compressors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Work done by constant pressure, isothermal processes and polytropic processes in reciprocating compressors is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Effect of clearance volume on efficiency of reciprocating compressors is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9.5</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Volumetric efficiency at free air cond</w:t>
            </w:r>
            <w:r w:rsidRPr="003B5B29">
              <w:t>itions is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9.6</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Volume, mass flow and temperature are calculated at completion of each process in reciprocating compressors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9.7</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Intercooling and after-cooling effects on overall efficiency of reciprocating compressors is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9.8</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Heat transfer to air or cooling water from an air compressor is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9.9</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Work is calculated for isothermal and adiabatic compression, and effect of clearance for reciprocating compressor</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9.10</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Formula to calculate work and efficiency of centrifugal compressors is derived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9.11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Pressure ratio for compressor types is analysed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p>
          <w:p w:rsidR="00000000" w:rsidRPr="003B5B29" w:rsidP="003B5B29">
            <w:pPr>
              <w:pStyle w:val="BodyText"/>
            </w:pPr>
            <w:r w:rsidRPr="003B5B29">
              <w:rPr>
                <w:rStyle w:val="SpecialBold"/>
              </w:rPr>
              <w:t>10</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Analyse vapour compression refrigeration cycles</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10.1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Design parameters for a vapour compression cycle are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10.2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Pressure/enthalpy diagram is prepared for a refrigeration cycle</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10.3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Heat rejected, work done and coefficient of performance (COP) for a basic cycle is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10.4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Effect of subcooling and superheating is shown on a temperature/entropy diagram</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10.5</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COP is calculated with evaporators operating at two different pressures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10.6</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 xml:space="preserve">Properties and hazards of refrigerants used in refrigeration and air conditioning (RAC) </w:t>
            </w:r>
            <w:r w:rsidRPr="003B5B29">
              <w:t>systems are identified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10.7</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Basic air conditioning cycles are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p>
          <w:p w:rsidR="00000000" w:rsidRPr="003B5B29" w:rsidP="003B5B29">
            <w:pPr>
              <w:pStyle w:val="BodyText"/>
            </w:pPr>
            <w:r w:rsidRPr="003B5B29">
              <w:rPr>
                <w:rStyle w:val="SpecialBold"/>
              </w:rPr>
              <w:t>11</w:t>
            </w:r>
          </w:p>
        </w:tc>
        <w:tc>
          <w:tcPr>
            <w:tcW w:w="3037"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Apply psychrometric principles to solve air conditioning problems</w:t>
            </w:r>
          </w:p>
        </w:tc>
        <w:tc>
          <w:tcPr>
            <w:tcW w:w="802" w:type="dxa"/>
            <w:gridSpan w:val="3"/>
            <w:tcBorders>
              <w:top w:val="nil"/>
              <w:left w:val="nil"/>
              <w:bottom w:val="nil"/>
              <w:right w:val="nil"/>
            </w:tcBorders>
            <w:tcMar>
              <w:top w:w="0" w:type="dxa"/>
              <w:left w:w="62" w:type="dxa"/>
              <w:bottom w:w="0" w:type="dxa"/>
              <w:right w:w="62" w:type="dxa"/>
            </w:tcMar>
          </w:tcPr>
          <w:p w:rsidR="00000000" w:rsidRPr="003B5B29" w:rsidP="003B5B29">
            <w:pPr>
              <w:pStyle w:val="BodyText"/>
            </w:pPr>
          </w:p>
          <w:p w:rsidR="00000000" w:rsidP="003B5B29">
            <w:pPr>
              <w:pStyle w:val="BodyText"/>
              <w:rPr>
                <w:lang w:val="en-NZ"/>
              </w:rPr>
            </w:pPr>
            <w:r w:rsidRPr="003B5B29">
              <w:rPr>
                <w:rStyle w:val="SpecialBold"/>
              </w:rPr>
              <w:t>11.1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Comfort conditions for air conditioning systems are defined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11.2</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Key parameters used in defining air condition are illustrated on a psychrometric chart</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11.3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Cooling loads are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11.4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Problems associated with air delivering and distribution methods are analysed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11.5</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Methods of controlling noise and vibration in air conditioning systems are analysed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12</w:t>
            </w:r>
          </w:p>
        </w:tc>
        <w:tc>
          <w:tcPr>
            <w:tcW w:w="3037"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Analyse different methods of heat transfer</w:t>
            </w: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12.1</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Different forms of heat transfer are identified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12.2</w:t>
            </w:r>
          </w:p>
          <w:p w:rsidR="00000000">
            <w:pPr>
              <w:pStyle w:val="BodyText"/>
              <w:keepLines w:val="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Heat flow through composite divisions is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12.3</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Insulation dimensions and interface temperatures are determined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12.4</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Problems relating to radiated energy are solved by applying Stefan-Boltzmann Law</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12.5</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 xml:space="preserve">Relative efficiency of contra-flow heat exchange is determined </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12.6</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Problems in heat exchangers are solved by applying log mean temperature difference</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802" w:type="dxa"/>
            <w:gridSpan w:val="3"/>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12.7</w:t>
            </w:r>
          </w:p>
        </w:tc>
        <w:tc>
          <w:tcPr>
            <w:tcW w:w="5124"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Radial conduction of heat through a thin cylinder is calculated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13</w:t>
            </w:r>
          </w:p>
        </w:tc>
        <w:tc>
          <w:tcPr>
            <w:tcW w:w="3079" w:type="dxa"/>
            <w:gridSpan w:val="3"/>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Perform calculations related to engine power and heat balances</w:t>
            </w: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13.1</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Formula is applied to solve problems related to indicated power of internal combustion engines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13.2</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Formula is applied to solve problems related to brake power of internal combustion engines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13.3</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Morse test is applied to determine the indicated power</w:t>
            </w:r>
            <w:r w:rsidRPr="003B5B29">
              <w:t xml:space="preserve"> of internal combustion engines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13.4</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Tabular and graphical heat balance diagrams are applied to calculate mechanical, thermal and overall efficiencies of internal combustion engines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14</w:t>
            </w:r>
          </w:p>
        </w:tc>
        <w:tc>
          <w:tcPr>
            <w:tcW w:w="3079" w:type="dxa"/>
            <w:gridSpan w:val="3"/>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Determine steam velocity</w:t>
            </w: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14.1</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Principles and differences between pr</w:t>
            </w:r>
            <w:r w:rsidRPr="003B5B29">
              <w:t>essure and velocity changes in reaction and impulse steam turbines are explained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14.2</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Velocity diagrams to calculate steam velocity at exit of nozzles and blades are applied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14.3</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Graphical and math</w:t>
            </w:r>
            <w:r w:rsidRPr="003B5B29">
              <w:t>ematical methods to determine blade angle, steam velocity, thrust, power, and efficiency of single stage impulse and reaction steam turbines are applied</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15</w:t>
            </w:r>
          </w:p>
        </w:tc>
        <w:tc>
          <w:tcPr>
            <w:tcW w:w="3079" w:type="dxa"/>
            <w:gridSpan w:val="3"/>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rPr>
                <w:rStyle w:val="SpecialBold"/>
              </w:rPr>
              <w:t>Use nozzles</w:t>
            </w: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15.1</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Convergent nozzles are compared to convergent-divergent nozzles</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15.2</w:t>
            </w:r>
          </w:p>
        </w:tc>
        <w:tc>
          <w:tcPr>
            <w:tcW w:w="5102" w:type="dxa"/>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t>Steady flo</w:t>
            </w:r>
            <w:r w:rsidRPr="003B5B29">
              <w:t>w equation is used to determine nozzle exit speed in terms of enthalpy</w:t>
            </w:r>
          </w:p>
        </w:tc>
      </w:tr>
      <w:tr w:rsidTr="003B5B29">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3B5B29">
            <w:pPr>
              <w:pStyle w:val="BodyText"/>
              <w:keepLines w:val="0"/>
            </w:pPr>
          </w:p>
        </w:tc>
        <w:tc>
          <w:tcPr>
            <w:tcW w:w="782" w:type="dxa"/>
            <w:gridSpan w:val="2"/>
            <w:tcBorders>
              <w:top w:val="nil"/>
              <w:left w:val="nil"/>
              <w:bottom w:val="nil"/>
              <w:right w:val="nil"/>
            </w:tcBorders>
            <w:tcMar>
              <w:top w:w="0" w:type="dxa"/>
              <w:left w:w="62" w:type="dxa"/>
              <w:bottom w:w="0" w:type="dxa"/>
              <w:right w:w="62" w:type="dxa"/>
            </w:tcMar>
          </w:tcPr>
          <w:p w:rsidR="00000000" w:rsidP="003B5B29">
            <w:pPr>
              <w:pStyle w:val="BodyText"/>
              <w:rPr>
                <w:lang w:val="en-NZ"/>
              </w:rPr>
            </w:pPr>
            <w:r w:rsidRPr="003B5B29">
              <w:rPr>
                <w:rStyle w:val="SpecialBold"/>
              </w:rPr>
              <w:t>15.3</w:t>
            </w:r>
          </w:p>
        </w:tc>
        <w:tc>
          <w:tcPr>
            <w:tcW w:w="5102"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Conditions for maximum mass flow through a nozzle are established</w:t>
            </w:r>
          </w:p>
        </w:tc>
      </w:tr>
    </w:tbl>
    <w:p w:rsidR="005E42E1" w:rsidP="003B5B29">
      <w:pPr>
        <w:pStyle w:val="NoPaddingFontSize1"/>
      </w:pPr>
    </w:p>
    <w:p w:rsidR="005E42E1" w:rsidP="003B5B29">
      <w:pPr>
        <w:pStyle w:val="NoPaddingFontSize1"/>
      </w:pPr>
    </w:p>
    <w:p w:rsidR="00000000" w:rsidRPr="003B5B29" w:rsidP="003B5B29">
      <w:pPr>
        <w:pStyle w:val="Heading1"/>
      </w:pPr>
      <w:bookmarkStart w:id="7" w:name="O_1087661"/>
      <w:bookmarkEnd w:id="7"/>
      <w:r w:rsidRPr="003B5B29">
        <w:t>Foundation Skills</w:t>
      </w:r>
    </w:p>
    <w:tbl>
      <w:tblPr>
        <w:tblW w:w="9496" w:type="dxa"/>
        <w:tblLayout w:type="fixed"/>
        <w:tblCellMar>
          <w:left w:w="62" w:type="dxa"/>
          <w:right w:w="62" w:type="dxa"/>
        </w:tblCellMar>
        <w:tblLook w:val="0000"/>
      </w:tblPr>
      <w:tblGrid>
        <w:gridCol w:w="9496"/>
      </w:tblGrid>
      <w:tr w:rsidTr="003B5B2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Foundation skills essential to performance are explicit in the performance criteria of this unit of competency.</w:t>
            </w:r>
          </w:p>
        </w:tc>
      </w:tr>
    </w:tbl>
    <w:p w:rsidR="005E42E1" w:rsidP="003B5B29">
      <w:pPr>
        <w:pStyle w:val="NoPaddingFontSize1"/>
      </w:pPr>
    </w:p>
    <w:p w:rsidR="005E42E1" w:rsidP="003B5B29">
      <w:pPr>
        <w:pStyle w:val="NoPaddingFontSize1"/>
      </w:pPr>
    </w:p>
    <w:p w:rsidR="00000000" w:rsidRPr="003B5B29" w:rsidP="003B5B29">
      <w:pPr>
        <w:pStyle w:val="Heading1"/>
      </w:pPr>
      <w:bookmarkStart w:id="8" w:name="O_1087662"/>
      <w:bookmarkEnd w:id="8"/>
      <w:r w:rsidRPr="003B5B29">
        <w:t>Range of Conditions</w:t>
      </w:r>
    </w:p>
    <w:tbl>
      <w:tblPr>
        <w:tblW w:w="9496" w:type="dxa"/>
        <w:tblLayout w:type="fixed"/>
        <w:tblCellMar>
          <w:left w:w="62" w:type="dxa"/>
          <w:right w:w="62" w:type="dxa"/>
        </w:tblCellMar>
        <w:tblLook w:val="0000"/>
      </w:tblPr>
      <w:tblGrid>
        <w:gridCol w:w="9496"/>
      </w:tblGrid>
      <w:tr w:rsidTr="003B5B2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Range is restricted to essential operating conditions and any other variables essential to the work en</w:t>
            </w:r>
            <w:r w:rsidRPr="003B5B29">
              <w:t>vironment.</w:t>
            </w:r>
          </w:p>
        </w:tc>
      </w:tr>
    </w:tbl>
    <w:p w:rsidR="005E42E1" w:rsidP="003B5B29">
      <w:pPr>
        <w:pStyle w:val="NoPaddingFontSize1"/>
      </w:pPr>
    </w:p>
    <w:p w:rsidR="005E42E1" w:rsidP="003B5B29">
      <w:pPr>
        <w:pStyle w:val="NoPaddingFontSize1"/>
      </w:pPr>
    </w:p>
    <w:p w:rsidR="00000000" w:rsidRPr="003B5B29" w:rsidP="003B5B29">
      <w:pPr>
        <w:pStyle w:val="Heading1"/>
      </w:pPr>
      <w:bookmarkStart w:id="9" w:name="O_1087663"/>
      <w:bookmarkEnd w:id="9"/>
      <w:r w:rsidRPr="003B5B29">
        <w:t>Unit Mapping Information</w:t>
      </w:r>
    </w:p>
    <w:tbl>
      <w:tblPr>
        <w:tblW w:w="9496" w:type="dxa"/>
        <w:tblLayout w:type="fixed"/>
        <w:tblCellMar>
          <w:left w:w="62" w:type="dxa"/>
          <w:right w:w="62" w:type="dxa"/>
        </w:tblCellMar>
        <w:tblLook w:val="0000"/>
      </w:tblPr>
      <w:tblGrid>
        <w:gridCol w:w="9496"/>
      </w:tblGrid>
      <w:tr w:rsidTr="003B5B2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5B29" w:rsidP="003B5B29">
            <w:pPr>
              <w:pStyle w:val="BodyText"/>
            </w:pPr>
            <w:r w:rsidRPr="003B5B29">
              <w:t>This unit replaces and is not equivalent to MARL015 Apply intermediate principles of marine engineering thermodynamics.</w:t>
            </w:r>
          </w:p>
          <w:p w:rsidR="00000000" w:rsidRPr="003B5B29" w:rsidP="003B5B29">
            <w:pPr>
              <w:pStyle w:val="BodyText"/>
            </w:pPr>
            <w:r w:rsidRPr="003B5B29">
              <w:t>This unit replaces and is equivalent to MARL019 Apply advanced principles of marine engineering thermodynamics.</w:t>
            </w:r>
          </w:p>
        </w:tc>
      </w:tr>
    </w:tbl>
    <w:p w:rsidR="005E42E1" w:rsidP="003B5B29">
      <w:pPr>
        <w:pStyle w:val="NoPaddingFontSize1"/>
      </w:pPr>
    </w:p>
    <w:p w:rsidR="005E42E1" w:rsidP="003B5B29">
      <w:pPr>
        <w:pStyle w:val="NoPaddingFontSize1"/>
      </w:pPr>
    </w:p>
    <w:p w:rsidR="00000000" w:rsidRPr="003B5B29" w:rsidP="003B5B29">
      <w:pPr>
        <w:pStyle w:val="Heading1"/>
      </w:pPr>
      <w:bookmarkStart w:id="10" w:name="O_1087670"/>
      <w:bookmarkEnd w:id="10"/>
      <w:r w:rsidRPr="003B5B29">
        <w:t>Links</w:t>
      </w:r>
    </w:p>
    <w:p w:rsidR="00000000" w:rsidRPr="003B5B29" w:rsidP="005E42E1">
      <w:pPr>
        <w:pStyle w:val="BodyText"/>
      </w:pPr>
      <w:r w:rsidRPr="003B5B2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53497">
        <w:rPr>
          <w:rStyle w:val="Hyperlink"/>
        </w:rPr>
        <w:t>https://vetnet.gov.au/Pages/TrainingDocs.aspx?q=772efb7b-4cce-47fe-9bbd-ee3b1d1eb4c2</w:t>
      </w:r>
      <w:r>
        <w:fldChar w:fldCharType="end"/>
      </w:r>
    </w:p>
    <w:p w:rsidR="00000000" w:rsidRPr="003B5B29" w:rsidP="003B5B29"/>
    <w:sectPr w:rsidSect="003B5B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29" w:rsidRPr="005E42E1" w:rsidP="005E4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E1" w:rsidP="003B5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E42E1" w:rsidP="003B5B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E42E1" w:rsidP="003B5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B29" w:rsidRPr="005E42E1" w:rsidP="005E42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E1" w:rsidRPr="002D2AF8" w:rsidP="003B5B29">
    <w:pPr>
      <w:pStyle w:val="Header"/>
      <w:framePr w:wrap="around"/>
    </w:pPr>
    <w:r>
      <w:fldChar w:fldCharType="begin"/>
    </w:r>
    <w:r>
      <w:instrText xml:space="preserve"> TITLE   \* MERGEFORMAT </w:instrText>
    </w:r>
    <w:r>
      <w:fldChar w:fldCharType="separate"/>
    </w:r>
    <w:r>
      <w:t>MARL039 Apply advanced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E42E1" w:rsidP="003B5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FEA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9AD2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B29"/>
    <w:pPr>
      <w:spacing w:before="360" w:after="60"/>
      <w:outlineLvl w:val="0"/>
    </w:pPr>
    <w:rPr>
      <w:sz w:val="32"/>
    </w:rPr>
  </w:style>
  <w:style w:type="paragraph" w:styleId="Heading2">
    <w:name w:val="heading 2"/>
    <w:basedOn w:val="HeadingBase"/>
    <w:next w:val="BodyText"/>
    <w:link w:val="Heading2Char"/>
    <w:qFormat/>
    <w:rsid w:val="003B5B29"/>
    <w:pPr>
      <w:keepLines/>
      <w:spacing w:before="240" w:after="120"/>
      <w:outlineLvl w:val="1"/>
    </w:pPr>
    <w:rPr>
      <w:sz w:val="28"/>
      <w:szCs w:val="40"/>
    </w:rPr>
  </w:style>
  <w:style w:type="paragraph" w:styleId="Heading3">
    <w:name w:val="heading 3"/>
    <w:basedOn w:val="HeadingBase"/>
    <w:next w:val="BodyText"/>
    <w:link w:val="Heading3Char"/>
    <w:qFormat/>
    <w:rsid w:val="003B5B29"/>
    <w:pPr>
      <w:spacing w:before="180" w:after="120"/>
      <w:outlineLvl w:val="2"/>
    </w:pPr>
    <w:rPr>
      <w:spacing w:val="-10"/>
      <w:kern w:val="32"/>
    </w:rPr>
  </w:style>
  <w:style w:type="paragraph" w:styleId="Heading4">
    <w:name w:val="heading 4"/>
    <w:basedOn w:val="HeadingBase"/>
    <w:next w:val="BodyText"/>
    <w:link w:val="Heading4Char"/>
    <w:qFormat/>
    <w:rsid w:val="003B5B29"/>
    <w:pPr>
      <w:spacing w:before="160" w:after="120"/>
      <w:outlineLvl w:val="3"/>
    </w:pPr>
    <w:rPr>
      <w:sz w:val="22"/>
    </w:rPr>
  </w:style>
  <w:style w:type="paragraph" w:styleId="Heading5">
    <w:name w:val="heading 5"/>
    <w:basedOn w:val="HeadingBase"/>
    <w:next w:val="Normal"/>
    <w:link w:val="Heading5Char"/>
    <w:qFormat/>
    <w:rsid w:val="003B5B29"/>
    <w:pPr>
      <w:spacing w:before="80"/>
      <w:outlineLvl w:val="4"/>
    </w:pPr>
    <w:rPr>
      <w:color w:val="918585"/>
      <w:sz w:val="20"/>
    </w:rPr>
  </w:style>
  <w:style w:type="paragraph" w:styleId="Heading6">
    <w:name w:val="heading 6"/>
    <w:basedOn w:val="HeadingBase"/>
    <w:next w:val="Normal"/>
    <w:link w:val="Heading6Char"/>
    <w:qFormat/>
    <w:rsid w:val="003B5B29"/>
    <w:pPr>
      <w:spacing w:before="60"/>
      <w:outlineLvl w:val="5"/>
    </w:pPr>
    <w:rPr>
      <w:color w:val="918585"/>
      <w:sz w:val="20"/>
    </w:rPr>
  </w:style>
  <w:style w:type="paragraph" w:styleId="Heading7">
    <w:name w:val="heading 7"/>
    <w:basedOn w:val="Normal"/>
    <w:next w:val="Normal"/>
    <w:link w:val="Heading7Char"/>
    <w:qFormat/>
    <w:rsid w:val="003B5B29"/>
    <w:pPr>
      <w:ind w:left="720"/>
      <w:outlineLvl w:val="6"/>
    </w:pPr>
    <w:rPr>
      <w:i/>
    </w:rPr>
  </w:style>
  <w:style w:type="paragraph" w:styleId="Heading8">
    <w:name w:val="heading 8"/>
    <w:basedOn w:val="Normal"/>
    <w:next w:val="Normal"/>
    <w:link w:val="Heading8Char"/>
    <w:qFormat/>
    <w:rsid w:val="003B5B29"/>
    <w:pPr>
      <w:ind w:left="720"/>
      <w:outlineLvl w:val="7"/>
    </w:pPr>
    <w:rPr>
      <w:i/>
    </w:rPr>
  </w:style>
  <w:style w:type="paragraph" w:styleId="Heading9">
    <w:name w:val="heading 9"/>
    <w:basedOn w:val="Normal"/>
    <w:next w:val="Normal"/>
    <w:link w:val="Heading9Char"/>
    <w:qFormat/>
    <w:rsid w:val="003B5B29"/>
    <w:pPr>
      <w:ind w:left="720"/>
      <w:outlineLvl w:val="8"/>
    </w:pPr>
    <w:rPr>
      <w:i/>
    </w:rPr>
  </w:style>
  <w:style w:type="character" w:default="1" w:styleId="DefaultParagraphFont">
    <w:name w:val="Default Paragraph Font"/>
    <w:uiPriority w:val="1"/>
    <w:unhideWhenUsed/>
    <w:rsid w:val="003B5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B29"/>
  </w:style>
  <w:style w:type="character" w:customStyle="1" w:styleId="Heading1Char">
    <w:name w:val="Heading 1 Char"/>
    <w:basedOn w:val="DefaultParagraphFont"/>
    <w:link w:val="Heading1"/>
    <w:rsid w:val="003B5B29"/>
    <w:rPr>
      <w:rFonts w:ascii="Times New Roman" w:eastAsia="Times New Roman" w:hAnsi="Times New Roman" w:cs="Times New Roman"/>
      <w:b/>
      <w:sz w:val="32"/>
      <w:szCs w:val="20"/>
      <w:lang w:eastAsia="en-US"/>
    </w:rPr>
  </w:style>
  <w:style w:type="paragraph" w:styleId="BodyText">
    <w:name w:val="Body Text"/>
    <w:basedOn w:val="Normal"/>
    <w:link w:val="BodyTextChar"/>
    <w:rsid w:val="003B5B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B29"/>
    <w:rPr>
      <w:rFonts w:ascii="Times New Roman" w:eastAsia="Times New Roman" w:hAnsi="Times New Roman" w:cs="Times New Roman"/>
      <w:sz w:val="24"/>
      <w:lang w:eastAsia="en-US"/>
    </w:rPr>
  </w:style>
  <w:style w:type="paragraph" w:styleId="ListBullet">
    <w:name w:val="List Bullet"/>
    <w:basedOn w:val="List"/>
    <w:rsid w:val="003B5B29"/>
    <w:pPr>
      <w:numPr>
        <w:numId w:val="11"/>
      </w:numPr>
      <w:tabs>
        <w:tab w:val="clear" w:pos="340"/>
      </w:tabs>
      <w:spacing w:before="40" w:after="40"/>
    </w:pPr>
  </w:style>
  <w:style w:type="character" w:customStyle="1" w:styleId="SpecialBold">
    <w:name w:val="Special Bold"/>
    <w:basedOn w:val="DefaultParagraphFont"/>
    <w:rsid w:val="003B5B29"/>
    <w:rPr>
      <w:b/>
      <w:spacing w:val="0"/>
    </w:rPr>
  </w:style>
  <w:style w:type="paragraph" w:customStyle="1" w:styleId="SuperHeading">
    <w:name w:val="SuperHeading"/>
    <w:basedOn w:val="Normal"/>
    <w:rsid w:val="003B5B29"/>
    <w:pPr>
      <w:spacing w:before="240" w:after="120"/>
      <w:outlineLvl w:val="0"/>
    </w:pPr>
    <w:rPr>
      <w:rFonts w:ascii="Times New Roman" w:hAnsi="Times New Roman"/>
      <w:b/>
      <w:sz w:val="32"/>
    </w:rPr>
  </w:style>
  <w:style w:type="paragraph" w:customStyle="1" w:styleId="AllowPageBreak">
    <w:name w:val="AllowPageBreak"/>
    <w:rsid w:val="003B5B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5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B29"/>
    <w:rPr>
      <w:rFonts w:ascii="Courier New" w:eastAsia="Times New Roman" w:hAnsi="Courier New" w:cs="Times New Roman"/>
      <w:i/>
      <w:szCs w:val="20"/>
      <w:lang w:eastAsia="en-US"/>
    </w:rPr>
  </w:style>
  <w:style w:type="paragraph" w:customStyle="1" w:styleId="HeadingBase">
    <w:name w:val="Heading Base"/>
    <w:rsid w:val="003B5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B29"/>
    <w:pPr>
      <w:tabs>
        <w:tab w:val="right" w:leader="dot" w:pos="9072"/>
      </w:tabs>
      <w:ind w:left="567"/>
    </w:pPr>
    <w:rPr>
      <w:szCs w:val="22"/>
    </w:rPr>
  </w:style>
  <w:style w:type="paragraph" w:customStyle="1" w:styleId="TOCBase">
    <w:name w:val="TOC Base"/>
    <w:rsid w:val="003B5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B29"/>
    <w:pPr>
      <w:tabs>
        <w:tab w:val="right" w:leader="dot" w:pos="9072"/>
      </w:tabs>
      <w:spacing w:before="40" w:after="40"/>
      <w:ind w:left="284"/>
    </w:pPr>
    <w:rPr>
      <w:rFonts w:ascii="Times New Roman" w:hAnsi="Times New Roman"/>
    </w:rPr>
  </w:style>
  <w:style w:type="paragraph" w:styleId="TOC1">
    <w:name w:val="toc 1"/>
    <w:basedOn w:val="TOCBase"/>
    <w:next w:val="Normal"/>
    <w:rsid w:val="003B5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B29"/>
    <w:rPr>
      <w:rFonts w:ascii="Times New Roman" w:eastAsia="Times New Roman" w:hAnsi="Times New Roman" w:cs="Times New Roman"/>
      <w:sz w:val="16"/>
      <w:lang w:eastAsia="en-US"/>
    </w:rPr>
  </w:style>
  <w:style w:type="paragraph" w:styleId="Title">
    <w:name w:val="Title"/>
    <w:basedOn w:val="HeadingBase"/>
    <w:link w:val="TitleChar"/>
    <w:qFormat/>
    <w:rsid w:val="003B5B29"/>
    <w:pPr>
      <w:spacing w:before="5040"/>
      <w:jc w:val="center"/>
    </w:pPr>
    <w:rPr>
      <w:sz w:val="48"/>
      <w:szCs w:val="72"/>
      <w:lang w:val="en-US"/>
    </w:rPr>
  </w:style>
  <w:style w:type="character" w:customStyle="1" w:styleId="TitleChar">
    <w:name w:val="Title Char"/>
    <w:basedOn w:val="DefaultParagraphFont"/>
    <w:link w:val="Title"/>
    <w:rsid w:val="003B5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B29"/>
    <w:pPr>
      <w:tabs>
        <w:tab w:val="left" w:pos="3600"/>
        <w:tab w:val="left" w:pos="3958"/>
      </w:tabs>
    </w:pPr>
  </w:style>
  <w:style w:type="paragraph" w:styleId="List">
    <w:name w:val="List"/>
    <w:basedOn w:val="BodyText"/>
    <w:next w:val="BodyText"/>
    <w:rsid w:val="003B5B29"/>
    <w:pPr>
      <w:tabs>
        <w:tab w:val="left" w:pos="340"/>
      </w:tabs>
      <w:spacing w:before="60" w:after="60"/>
      <w:ind w:left="340" w:hanging="340"/>
    </w:pPr>
  </w:style>
  <w:style w:type="paragraph" w:customStyle="1" w:styleId="Note">
    <w:name w:val="Note"/>
    <w:basedOn w:val="BodyText"/>
    <w:rsid w:val="003B5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B29"/>
    <w:pPr>
      <w:framePr w:wrap="auto" w:hAnchor="text" w:y="6049"/>
    </w:pPr>
    <w:rPr>
      <w:color w:val="000000"/>
      <w:sz w:val="40"/>
    </w:rPr>
  </w:style>
  <w:style w:type="paragraph" w:customStyle="1" w:styleId="TOCTitle">
    <w:name w:val="TOCTitle"/>
    <w:basedOn w:val="Heading1"/>
    <w:rsid w:val="003B5B29"/>
    <w:pPr>
      <w:spacing w:after="240"/>
      <w:jc w:val="center"/>
      <w:outlineLvl w:val="9"/>
    </w:pPr>
    <w:rPr>
      <w:caps/>
    </w:rPr>
  </w:style>
  <w:style w:type="paragraph" w:customStyle="1" w:styleId="Version">
    <w:name w:val="Version"/>
    <w:rsid w:val="003B5B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B29"/>
    <w:pPr>
      <w:numPr>
        <w:numId w:val="12"/>
      </w:numPr>
      <w:tabs>
        <w:tab w:val="clear" w:pos="680"/>
      </w:tabs>
    </w:pPr>
  </w:style>
  <w:style w:type="paragraph" w:styleId="Index1">
    <w:name w:val="index 1"/>
    <w:basedOn w:val="Normal"/>
    <w:next w:val="Normal"/>
    <w:semiHidden/>
    <w:rsid w:val="003B5B29"/>
    <w:pPr>
      <w:keepNext w:val="0"/>
      <w:tabs>
        <w:tab w:val="right" w:pos="4176"/>
      </w:tabs>
      <w:ind w:left="198" w:hanging="198"/>
    </w:pPr>
    <w:rPr>
      <w:rFonts w:ascii="Garamond" w:hAnsi="Garamond"/>
    </w:rPr>
  </w:style>
  <w:style w:type="paragraph" w:styleId="IndexHeading">
    <w:name w:val="index heading"/>
    <w:basedOn w:val="Normal"/>
    <w:next w:val="Index1"/>
    <w:semiHidden/>
    <w:rsid w:val="003B5B29"/>
    <w:pPr>
      <w:spacing w:before="120" w:after="120"/>
    </w:pPr>
    <w:rPr>
      <w:rFonts w:ascii="Arial" w:hAnsi="Arial"/>
      <w:b/>
      <w:color w:val="918585"/>
      <w:sz w:val="24"/>
    </w:rPr>
  </w:style>
  <w:style w:type="paragraph" w:styleId="Header">
    <w:name w:val="header"/>
    <w:basedOn w:val="Normal"/>
    <w:link w:val="HeaderChar"/>
    <w:rsid w:val="003B5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B29"/>
    <w:rPr>
      <w:rFonts w:ascii="Times New Roman" w:eastAsia="Times New Roman" w:hAnsi="Times New Roman" w:cs="Times New Roman"/>
      <w:sz w:val="16"/>
      <w:szCs w:val="20"/>
      <w:lang w:val="en-GB" w:eastAsia="en-US"/>
    </w:rPr>
  </w:style>
  <w:style w:type="paragraph" w:customStyle="1" w:styleId="Chapter">
    <w:name w:val="Chapter"/>
    <w:basedOn w:val="Normal"/>
    <w:rsid w:val="003B5B29"/>
    <w:pPr>
      <w:spacing w:before="240"/>
    </w:pPr>
    <w:rPr>
      <w:rFonts w:ascii="Times New Roman" w:hAnsi="Times New Roman"/>
      <w:smallCaps/>
      <w:spacing w:val="80"/>
      <w:sz w:val="28"/>
    </w:rPr>
  </w:style>
  <w:style w:type="paragraph" w:customStyle="1" w:styleId="InChapter">
    <w:name w:val="InChapter"/>
    <w:basedOn w:val="Heading3"/>
    <w:rsid w:val="003B5B29"/>
    <w:pPr>
      <w:spacing w:after="240"/>
      <w:outlineLvl w:val="9"/>
    </w:pPr>
    <w:rPr>
      <w:noProof/>
    </w:rPr>
  </w:style>
  <w:style w:type="paragraph" w:styleId="Index2">
    <w:name w:val="index 2"/>
    <w:basedOn w:val="Normal"/>
    <w:next w:val="Normal"/>
    <w:semiHidden/>
    <w:rsid w:val="003B5B29"/>
    <w:pPr>
      <w:tabs>
        <w:tab w:val="right" w:pos="4176"/>
      </w:tabs>
      <w:ind w:left="568" w:hanging="284"/>
    </w:pPr>
    <w:rPr>
      <w:rFonts w:ascii="Garamond" w:hAnsi="Garamond"/>
    </w:rPr>
  </w:style>
  <w:style w:type="paragraph" w:customStyle="1" w:styleId="Byline">
    <w:name w:val="Byline"/>
    <w:rsid w:val="003B5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B29"/>
    <w:pPr>
      <w:tabs>
        <w:tab w:val="clear" w:pos="3600"/>
        <w:tab w:val="clear" w:pos="3958"/>
      </w:tabs>
      <w:jc w:val="right"/>
    </w:pPr>
  </w:style>
  <w:style w:type="character" w:styleId="Emphasis">
    <w:name w:val="Emphasis"/>
    <w:basedOn w:val="DefaultParagraphFont"/>
    <w:qFormat/>
    <w:rsid w:val="003B5B29"/>
    <w:rPr>
      <w:i/>
    </w:rPr>
  </w:style>
  <w:style w:type="paragraph" w:styleId="Caption">
    <w:name w:val="caption"/>
    <w:basedOn w:val="BodyText"/>
    <w:next w:val="Normal"/>
    <w:qFormat/>
    <w:rsid w:val="003B5B29"/>
    <w:pPr>
      <w:framePr w:w="2268" w:hSpace="181" w:vSpace="181" w:wrap="around" w:vAnchor="text" w:hAnchor="page" w:x="1135" w:y="285" w:anchorLock="1"/>
    </w:pPr>
    <w:rPr>
      <w:i/>
    </w:rPr>
  </w:style>
  <w:style w:type="paragraph" w:customStyle="1" w:styleId="MiniTOCTitle">
    <w:name w:val="MiniTOCTitle"/>
    <w:basedOn w:val="Heading4"/>
    <w:rsid w:val="003B5B29"/>
    <w:pPr>
      <w:spacing w:before="240"/>
      <w:outlineLvl w:val="9"/>
    </w:pPr>
    <w:rPr>
      <w:noProof/>
      <w:sz w:val="24"/>
    </w:rPr>
  </w:style>
  <w:style w:type="paragraph" w:customStyle="1" w:styleId="MiniTOCItem">
    <w:name w:val="MiniTOCItem"/>
    <w:basedOn w:val="ListBullet"/>
    <w:rsid w:val="003B5B29"/>
    <w:pPr>
      <w:numPr>
        <w:numId w:val="0"/>
      </w:numPr>
      <w:tabs>
        <w:tab w:val="right" w:leader="dot" w:pos="6521"/>
      </w:tabs>
      <w:spacing w:before="0" w:after="0"/>
    </w:pPr>
  </w:style>
  <w:style w:type="paragraph" w:customStyle="1" w:styleId="TOFTitle">
    <w:name w:val="TOFTitle"/>
    <w:basedOn w:val="TOCTitle"/>
    <w:rsid w:val="003B5B29"/>
  </w:style>
  <w:style w:type="paragraph" w:styleId="TableofFigures">
    <w:name w:val="table of figures"/>
    <w:basedOn w:val="Normal"/>
    <w:next w:val="Normal"/>
    <w:semiHidden/>
    <w:rsid w:val="003B5B29"/>
    <w:pPr>
      <w:tabs>
        <w:tab w:val="right" w:leader="dot" w:pos="9072"/>
      </w:tabs>
      <w:ind w:left="970" w:hanging="403"/>
    </w:pPr>
    <w:rPr>
      <w:rFonts w:ascii="Times New Roman" w:hAnsi="Times New Roman"/>
      <w:b/>
    </w:rPr>
  </w:style>
  <w:style w:type="paragraph" w:styleId="ListNumber">
    <w:name w:val="List Number"/>
    <w:basedOn w:val="List"/>
    <w:rsid w:val="003B5B29"/>
    <w:pPr>
      <w:numPr>
        <w:numId w:val="14"/>
      </w:numPr>
      <w:tabs>
        <w:tab w:val="clear" w:pos="340"/>
      </w:tabs>
    </w:pPr>
  </w:style>
  <w:style w:type="character" w:customStyle="1" w:styleId="WingdingSymbols">
    <w:name w:val="Wingding Symbols"/>
    <w:rsid w:val="003B5B29"/>
    <w:rPr>
      <w:rFonts w:ascii="Wingdings" w:hAnsi="Wingdings"/>
    </w:rPr>
  </w:style>
  <w:style w:type="paragraph" w:customStyle="1" w:styleId="TableHeading">
    <w:name w:val="Table Heading"/>
    <w:basedOn w:val="HeadingBase"/>
    <w:rsid w:val="003B5B29"/>
    <w:pPr>
      <w:keepLines/>
      <w:pBdr>
        <w:bottom w:val="single" w:sz="6" w:space="1" w:color="918585"/>
      </w:pBdr>
      <w:spacing w:before="240"/>
    </w:pPr>
  </w:style>
  <w:style w:type="character" w:customStyle="1" w:styleId="HotSpot">
    <w:name w:val="HotSpot"/>
    <w:rsid w:val="003B5B29"/>
    <w:rPr>
      <w:color w:val="0033CC"/>
      <w:u w:val="none"/>
    </w:rPr>
  </w:style>
  <w:style w:type="paragraph" w:customStyle="1" w:styleId="BodyTextRight">
    <w:name w:val="Body Text Right"/>
    <w:basedOn w:val="BodyText"/>
    <w:rsid w:val="003B5B29"/>
    <w:pPr>
      <w:spacing w:before="0" w:after="0"/>
      <w:jc w:val="right"/>
    </w:pPr>
  </w:style>
  <w:style w:type="paragraph" w:styleId="Index3">
    <w:name w:val="index 3"/>
    <w:basedOn w:val="ListNumber2"/>
    <w:next w:val="Normal"/>
    <w:semiHidden/>
    <w:rsid w:val="003B5B29"/>
    <w:pPr>
      <w:numPr>
        <w:numId w:val="0"/>
      </w:numPr>
      <w:tabs>
        <w:tab w:val="right" w:leader="dot" w:pos="4176"/>
      </w:tabs>
    </w:pPr>
  </w:style>
  <w:style w:type="paragraph" w:styleId="ListNumber2">
    <w:name w:val="List Number 2"/>
    <w:basedOn w:val="List2"/>
    <w:rsid w:val="003B5B29"/>
    <w:pPr>
      <w:numPr>
        <w:numId w:val="9"/>
      </w:numPr>
      <w:tabs>
        <w:tab w:val="clear" w:pos="1060"/>
      </w:tabs>
    </w:pPr>
  </w:style>
  <w:style w:type="paragraph" w:customStyle="1" w:styleId="MarginNote">
    <w:name w:val="Margin Note"/>
    <w:basedOn w:val="BodyText"/>
    <w:rsid w:val="003B5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B29"/>
    <w:rPr>
      <w:sz w:val="32"/>
    </w:rPr>
  </w:style>
  <w:style w:type="paragraph" w:customStyle="1" w:styleId="HeadingProcedure">
    <w:name w:val="Heading Procedure"/>
    <w:basedOn w:val="HeadingBase"/>
    <w:next w:val="Normal"/>
    <w:rsid w:val="003B5B29"/>
    <w:pPr>
      <w:tabs>
        <w:tab w:val="left" w:pos="0"/>
      </w:tabs>
      <w:spacing w:before="120" w:after="60"/>
    </w:pPr>
    <w:rPr>
      <w:i/>
      <w:color w:val="918585"/>
      <w:sz w:val="22"/>
    </w:rPr>
  </w:style>
  <w:style w:type="paragraph" w:customStyle="1" w:styleId="TableBodyText">
    <w:name w:val="Table Body Text"/>
    <w:basedOn w:val="BodyText"/>
    <w:rsid w:val="003B5B29"/>
    <w:pPr>
      <w:spacing w:before="60" w:after="60"/>
    </w:pPr>
  </w:style>
  <w:style w:type="paragraph" w:styleId="ListContinue">
    <w:name w:val="List Continue"/>
    <w:basedOn w:val="List"/>
    <w:rsid w:val="003B5B29"/>
    <w:pPr>
      <w:ind w:firstLine="0"/>
    </w:pPr>
  </w:style>
  <w:style w:type="paragraph" w:customStyle="1" w:styleId="ListNote">
    <w:name w:val="List Note"/>
    <w:basedOn w:val="List"/>
    <w:rsid w:val="003B5B29"/>
    <w:pPr>
      <w:pBdr>
        <w:top w:val="single" w:sz="6" w:space="2" w:color="918585"/>
        <w:bottom w:val="single" w:sz="6" w:space="2" w:color="918585"/>
      </w:pBdr>
      <w:tabs>
        <w:tab w:val="left" w:pos="1021"/>
      </w:tabs>
      <w:ind w:firstLine="0"/>
    </w:pPr>
  </w:style>
  <w:style w:type="paragraph" w:customStyle="1" w:styleId="Warning">
    <w:name w:val="Warning"/>
    <w:basedOn w:val="BodyText"/>
    <w:rsid w:val="003B5B29"/>
    <w:pPr>
      <w:shd w:val="clear" w:color="auto" w:fill="D9D9D9"/>
      <w:tabs>
        <w:tab w:val="left" w:pos="992"/>
      </w:tabs>
      <w:ind w:left="119" w:right="119"/>
    </w:pPr>
    <w:rPr>
      <w:sz w:val="20"/>
    </w:rPr>
  </w:style>
  <w:style w:type="paragraph" w:customStyle="1" w:styleId="MarginIcons">
    <w:name w:val="Margin Icons"/>
    <w:basedOn w:val="BodyText"/>
    <w:rsid w:val="003B5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B29"/>
    <w:rPr>
      <w:rFonts w:ascii="Courier New" w:hAnsi="Courier New"/>
    </w:rPr>
  </w:style>
  <w:style w:type="paragraph" w:customStyle="1" w:styleId="NoteBullet">
    <w:name w:val="Note Bullet"/>
    <w:basedOn w:val="Note"/>
    <w:rsid w:val="003B5B29"/>
    <w:pPr>
      <w:tabs>
        <w:tab w:val="clear" w:pos="680"/>
      </w:tabs>
      <w:spacing w:before="60" w:after="60"/>
    </w:pPr>
  </w:style>
  <w:style w:type="paragraph" w:customStyle="1" w:styleId="SubHeading2">
    <w:name w:val="SubHeading2"/>
    <w:basedOn w:val="HeadingBase"/>
    <w:rsid w:val="003B5B29"/>
    <w:pPr>
      <w:spacing w:before="240" w:after="60"/>
    </w:pPr>
    <w:rPr>
      <w:sz w:val="20"/>
    </w:rPr>
  </w:style>
  <w:style w:type="paragraph" w:customStyle="1" w:styleId="SubHeading1">
    <w:name w:val="SubHeading1"/>
    <w:basedOn w:val="HeadingBase"/>
    <w:rsid w:val="003B5B29"/>
    <w:pPr>
      <w:spacing w:before="240" w:after="60"/>
    </w:pPr>
    <w:rPr>
      <w:color w:val="918585"/>
      <w:sz w:val="22"/>
    </w:rPr>
  </w:style>
  <w:style w:type="paragraph" w:customStyle="1" w:styleId="SideHeading">
    <w:name w:val="Side Heading"/>
    <w:basedOn w:val="HeadingBase"/>
    <w:rsid w:val="003B5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B29"/>
    <w:pPr>
      <w:numPr>
        <w:numId w:val="10"/>
      </w:numPr>
    </w:pPr>
  </w:style>
  <w:style w:type="paragraph" w:styleId="PlainText">
    <w:name w:val="Plain Text"/>
    <w:basedOn w:val="Normal"/>
    <w:link w:val="PlainTextChar"/>
    <w:rsid w:val="003B5B29"/>
    <w:rPr>
      <w:sz w:val="20"/>
    </w:rPr>
  </w:style>
  <w:style w:type="character" w:customStyle="1" w:styleId="PlainTextChar">
    <w:name w:val="Plain Text Char"/>
    <w:basedOn w:val="DefaultParagraphFont"/>
    <w:link w:val="PlainText"/>
    <w:rsid w:val="003B5B29"/>
    <w:rPr>
      <w:rFonts w:ascii="Courier New" w:eastAsia="Times New Roman" w:hAnsi="Courier New" w:cs="Times New Roman"/>
      <w:sz w:val="20"/>
      <w:szCs w:val="20"/>
      <w:lang w:eastAsia="en-US"/>
    </w:rPr>
  </w:style>
  <w:style w:type="character" w:customStyle="1" w:styleId="MenuOption">
    <w:name w:val="Menu Option"/>
    <w:basedOn w:val="DefaultParagraphFont"/>
    <w:rsid w:val="003B5B29"/>
    <w:rPr>
      <w:b/>
      <w:smallCaps/>
    </w:rPr>
  </w:style>
  <w:style w:type="paragraph" w:customStyle="1" w:styleId="TableListNumber">
    <w:name w:val="Table List Number"/>
    <w:basedOn w:val="ListNumber"/>
    <w:rsid w:val="003B5B29"/>
    <w:pPr>
      <w:numPr>
        <w:numId w:val="0"/>
      </w:numPr>
    </w:pPr>
  </w:style>
  <w:style w:type="paragraph" w:styleId="TOC4">
    <w:name w:val="toc 4"/>
    <w:basedOn w:val="TOCBase"/>
    <w:next w:val="Normal"/>
    <w:semiHidden/>
    <w:rsid w:val="003B5B29"/>
    <w:pPr>
      <w:tabs>
        <w:tab w:val="right" w:leader="dot" w:pos="9071"/>
      </w:tabs>
      <w:ind w:left="1701"/>
    </w:pPr>
  </w:style>
  <w:style w:type="paragraph" w:customStyle="1" w:styleId="ListAlpha">
    <w:name w:val="List Alpha"/>
    <w:basedOn w:val="List"/>
    <w:rsid w:val="003B5B29"/>
    <w:pPr>
      <w:numPr>
        <w:numId w:val="8"/>
      </w:numPr>
    </w:pPr>
  </w:style>
  <w:style w:type="paragraph" w:customStyle="1" w:styleId="ListAlpha2">
    <w:name w:val="List Alpha 2"/>
    <w:basedOn w:val="List2"/>
    <w:rsid w:val="003B5B29"/>
    <w:pPr>
      <w:numPr>
        <w:numId w:val="7"/>
      </w:numPr>
    </w:pPr>
  </w:style>
  <w:style w:type="paragraph" w:styleId="List2">
    <w:name w:val="List 2"/>
    <w:basedOn w:val="BodyText"/>
    <w:rsid w:val="003B5B29"/>
    <w:pPr>
      <w:tabs>
        <w:tab w:val="left" w:pos="680"/>
      </w:tabs>
      <w:spacing w:before="60" w:after="60"/>
      <w:ind w:left="680" w:hanging="340"/>
    </w:pPr>
  </w:style>
  <w:style w:type="paragraph" w:styleId="List3">
    <w:name w:val="List 3"/>
    <w:basedOn w:val="BodyText"/>
    <w:rsid w:val="003B5B29"/>
    <w:pPr>
      <w:tabs>
        <w:tab w:val="left" w:pos="1021"/>
      </w:tabs>
      <w:spacing w:before="60" w:after="60"/>
      <w:ind w:left="1020" w:hanging="340"/>
    </w:pPr>
  </w:style>
  <w:style w:type="paragraph" w:styleId="List4">
    <w:name w:val="List 4"/>
    <w:basedOn w:val="BodyText"/>
    <w:rsid w:val="003B5B29"/>
    <w:pPr>
      <w:tabs>
        <w:tab w:val="left" w:pos="1361"/>
      </w:tabs>
      <w:spacing w:before="60" w:after="60"/>
      <w:ind w:left="1361" w:hanging="340"/>
    </w:pPr>
  </w:style>
  <w:style w:type="paragraph" w:styleId="List5">
    <w:name w:val="List 5"/>
    <w:basedOn w:val="BodyText"/>
    <w:rsid w:val="003B5B29"/>
    <w:pPr>
      <w:tabs>
        <w:tab w:val="left" w:pos="1701"/>
      </w:tabs>
      <w:spacing w:before="60" w:after="60"/>
      <w:ind w:left="1701" w:hanging="340"/>
    </w:pPr>
  </w:style>
  <w:style w:type="paragraph" w:styleId="ListBullet3">
    <w:name w:val="List Bullet 3"/>
    <w:basedOn w:val="List3"/>
    <w:rsid w:val="003B5B29"/>
    <w:pPr>
      <w:numPr>
        <w:numId w:val="13"/>
      </w:numPr>
      <w:tabs>
        <w:tab w:val="clear" w:pos="1021"/>
      </w:tabs>
      <w:ind w:left="1037" w:hanging="357"/>
    </w:pPr>
  </w:style>
  <w:style w:type="paragraph" w:styleId="ListBullet4">
    <w:name w:val="List Bullet 4"/>
    <w:basedOn w:val="List4"/>
    <w:rsid w:val="003B5B29"/>
    <w:pPr>
      <w:numPr>
        <w:numId w:val="2"/>
      </w:numPr>
      <w:tabs>
        <w:tab w:val="clear" w:pos="1361"/>
      </w:tabs>
    </w:pPr>
  </w:style>
  <w:style w:type="paragraph" w:styleId="ListBullet5">
    <w:name w:val="List Bullet 5"/>
    <w:basedOn w:val="List5"/>
    <w:rsid w:val="003B5B29"/>
    <w:pPr>
      <w:numPr>
        <w:numId w:val="3"/>
      </w:numPr>
    </w:pPr>
  </w:style>
  <w:style w:type="paragraph" w:styleId="ListContinue2">
    <w:name w:val="List Continue 2"/>
    <w:basedOn w:val="List2"/>
    <w:rsid w:val="003B5B29"/>
    <w:pPr>
      <w:ind w:firstLine="0"/>
    </w:pPr>
  </w:style>
  <w:style w:type="paragraph" w:styleId="ListContinue3">
    <w:name w:val="List Continue 3"/>
    <w:basedOn w:val="List3"/>
    <w:rsid w:val="003B5B29"/>
    <w:pPr>
      <w:ind w:left="1021" w:firstLine="0"/>
    </w:pPr>
  </w:style>
  <w:style w:type="paragraph" w:styleId="ListContinue4">
    <w:name w:val="List Continue 4"/>
    <w:basedOn w:val="List4"/>
    <w:rsid w:val="003B5B29"/>
    <w:pPr>
      <w:ind w:firstLine="0"/>
    </w:pPr>
  </w:style>
  <w:style w:type="paragraph" w:styleId="ListContinue5">
    <w:name w:val="List Continue 5"/>
    <w:basedOn w:val="List5"/>
    <w:rsid w:val="003B5B29"/>
    <w:pPr>
      <w:ind w:firstLine="0"/>
    </w:pPr>
  </w:style>
  <w:style w:type="paragraph" w:styleId="ListNumber3">
    <w:name w:val="List Number 3"/>
    <w:basedOn w:val="List3"/>
    <w:rsid w:val="003B5B29"/>
    <w:pPr>
      <w:numPr>
        <w:numId w:val="4"/>
      </w:numPr>
    </w:pPr>
  </w:style>
  <w:style w:type="paragraph" w:styleId="ListNumber4">
    <w:name w:val="List Number 4"/>
    <w:basedOn w:val="List4"/>
    <w:rsid w:val="003B5B29"/>
    <w:pPr>
      <w:numPr>
        <w:numId w:val="5"/>
      </w:numPr>
    </w:pPr>
  </w:style>
  <w:style w:type="paragraph" w:styleId="ListNumber5">
    <w:name w:val="List Number 5"/>
    <w:basedOn w:val="List5"/>
    <w:rsid w:val="003B5B29"/>
    <w:pPr>
      <w:numPr>
        <w:numId w:val="6"/>
      </w:numPr>
    </w:pPr>
  </w:style>
  <w:style w:type="paragraph" w:styleId="BlockText">
    <w:name w:val="Block Text"/>
    <w:basedOn w:val="Normal"/>
    <w:rsid w:val="003B5B29"/>
    <w:pPr>
      <w:spacing w:after="120"/>
      <w:ind w:left="1440" w:right="1440"/>
    </w:pPr>
  </w:style>
  <w:style w:type="character" w:customStyle="1" w:styleId="Subscript">
    <w:name w:val="Subscript"/>
    <w:basedOn w:val="DefaultParagraphFont"/>
    <w:rsid w:val="003B5B29"/>
    <w:rPr>
      <w:sz w:val="16"/>
      <w:vertAlign w:val="subscript"/>
    </w:rPr>
  </w:style>
  <w:style w:type="character" w:customStyle="1" w:styleId="Superscript">
    <w:name w:val="Superscript"/>
    <w:basedOn w:val="DefaultParagraphFont"/>
    <w:rsid w:val="003B5B29"/>
    <w:rPr>
      <w:sz w:val="16"/>
      <w:vertAlign w:val="superscript"/>
    </w:rPr>
  </w:style>
  <w:style w:type="character" w:customStyle="1" w:styleId="Symbols">
    <w:name w:val="Symbols"/>
    <w:basedOn w:val="DefaultParagraphFont"/>
    <w:rsid w:val="003B5B29"/>
    <w:rPr>
      <w:rFonts w:ascii="Symbol" w:hAnsi="Symbol"/>
    </w:rPr>
  </w:style>
  <w:style w:type="character" w:customStyle="1" w:styleId="MenuOptions">
    <w:name w:val="Menu Options"/>
    <w:basedOn w:val="DefaultParagraphFont"/>
    <w:rsid w:val="003B5B29"/>
    <w:rPr>
      <w:rFonts w:ascii="Arial Narrow" w:hAnsi="Arial Narrow"/>
      <w:smallCaps/>
    </w:rPr>
  </w:style>
  <w:style w:type="character" w:customStyle="1" w:styleId="Buttons">
    <w:name w:val="Buttons"/>
    <w:basedOn w:val="DefaultParagraphFont"/>
    <w:rsid w:val="003B5B29"/>
    <w:rPr>
      <w:b/>
    </w:rPr>
  </w:style>
  <w:style w:type="character" w:customStyle="1" w:styleId="Underlined">
    <w:name w:val="Underlined"/>
    <w:basedOn w:val="DefaultParagraphFont"/>
    <w:rsid w:val="003B5B29"/>
    <w:rPr>
      <w:u w:val="single"/>
    </w:rPr>
  </w:style>
  <w:style w:type="paragraph" w:customStyle="1" w:styleId="TableBodyTextRight">
    <w:name w:val="Table Body Text Right"/>
    <w:basedOn w:val="TableBodyText"/>
    <w:rsid w:val="003B5B29"/>
    <w:pPr>
      <w:widowControl w:val="0"/>
      <w:autoSpaceDE w:val="0"/>
      <w:autoSpaceDN w:val="0"/>
      <w:adjustRightInd w:val="0"/>
      <w:jc w:val="right"/>
    </w:pPr>
    <w:rPr>
      <w:rFonts w:cs="Arial"/>
      <w:szCs w:val="18"/>
    </w:rPr>
  </w:style>
  <w:style w:type="paragraph" w:customStyle="1" w:styleId="CopyrightText">
    <w:name w:val="Copyright Text"/>
    <w:basedOn w:val="BodyText"/>
    <w:rsid w:val="003B5B29"/>
    <w:rPr>
      <w:sz w:val="18"/>
    </w:rPr>
  </w:style>
  <w:style w:type="paragraph" w:customStyle="1" w:styleId="BodySmallRight">
    <w:name w:val="Body Small Right"/>
    <w:basedOn w:val="BodyTextRight"/>
    <w:rsid w:val="003B5B29"/>
    <w:rPr>
      <w:sz w:val="18"/>
      <w:szCs w:val="18"/>
    </w:rPr>
  </w:style>
  <w:style w:type="paragraph" w:customStyle="1" w:styleId="MarginEdition">
    <w:name w:val="Margin Edition"/>
    <w:basedOn w:val="MarginNote"/>
    <w:rsid w:val="003B5B29"/>
    <w:pPr>
      <w:spacing w:before="0" w:after="0"/>
    </w:pPr>
    <w:rPr>
      <w:rFonts w:ascii="Times New Roman" w:hAnsi="Times New Roman"/>
      <w:color w:val="999999"/>
    </w:rPr>
  </w:style>
  <w:style w:type="paragraph" w:customStyle="1" w:styleId="Spacer">
    <w:name w:val="Spacer"/>
    <w:basedOn w:val="Normal"/>
    <w:rsid w:val="003B5B29"/>
    <w:rPr>
      <w:sz w:val="2"/>
      <w:szCs w:val="2"/>
    </w:rPr>
  </w:style>
  <w:style w:type="character" w:customStyle="1" w:styleId="Small">
    <w:name w:val="Small"/>
    <w:basedOn w:val="DefaultParagraphFont"/>
    <w:rsid w:val="003B5B29"/>
    <w:rPr>
      <w:sz w:val="16"/>
    </w:rPr>
  </w:style>
  <w:style w:type="paragraph" w:customStyle="1" w:styleId="WideTable">
    <w:name w:val="Wide Table"/>
    <w:basedOn w:val="Normal"/>
    <w:rsid w:val="003B5B29"/>
    <w:pPr>
      <w:ind w:left="-1418"/>
    </w:pPr>
    <w:rPr>
      <w:sz w:val="2"/>
      <w:szCs w:val="2"/>
    </w:rPr>
  </w:style>
  <w:style w:type="character" w:styleId="PageNumber">
    <w:name w:val="page number"/>
    <w:basedOn w:val="DefaultParagraphFont"/>
    <w:rsid w:val="003B5B29"/>
  </w:style>
  <w:style w:type="paragraph" w:styleId="Quote">
    <w:name w:val="Quote"/>
    <w:basedOn w:val="Heading1"/>
    <w:link w:val="QuoteChar"/>
    <w:qFormat/>
    <w:rsid w:val="003B5B29"/>
    <w:rPr>
      <w:b w:val="0"/>
      <w:sz w:val="72"/>
      <w:szCs w:val="72"/>
      <w:lang w:val="en-NZ"/>
    </w:rPr>
  </w:style>
  <w:style w:type="character" w:customStyle="1" w:styleId="QuoteChar">
    <w:name w:val="Quote Char"/>
    <w:basedOn w:val="DefaultParagraphFont"/>
    <w:link w:val="Quote"/>
    <w:rsid w:val="003B5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B29"/>
    <w:pPr>
      <w:pageBreakBefore/>
    </w:pPr>
  </w:style>
  <w:style w:type="paragraph" w:customStyle="1" w:styleId="Border">
    <w:name w:val="Border"/>
    <w:basedOn w:val="Normal"/>
    <w:qFormat/>
    <w:rsid w:val="003B5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B29"/>
    <w:rPr>
      <w:b/>
      <w:bCs/>
      <w:i/>
      <w:iCs/>
      <w:color w:val="auto"/>
    </w:rPr>
  </w:style>
  <w:style w:type="paragraph" w:styleId="IntenseQuote">
    <w:name w:val="Intense Quote"/>
    <w:basedOn w:val="Normal"/>
    <w:next w:val="Normal"/>
    <w:link w:val="IntenseQuoteChar"/>
    <w:uiPriority w:val="30"/>
    <w:qFormat/>
    <w:rsid w:val="003B5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B29"/>
    <w:rPr>
      <w:smallCaps/>
      <w:color w:val="auto"/>
      <w:u w:val="single"/>
    </w:rPr>
  </w:style>
  <w:style w:type="character" w:styleId="IntenseReference">
    <w:name w:val="Intense Reference"/>
    <w:basedOn w:val="DefaultParagraphFont"/>
    <w:uiPriority w:val="32"/>
    <w:qFormat/>
    <w:rsid w:val="003B5B29"/>
    <w:rPr>
      <w:b/>
      <w:bCs/>
      <w:smallCaps/>
      <w:color w:val="auto"/>
      <w:spacing w:val="5"/>
      <w:u w:val="single"/>
    </w:rPr>
  </w:style>
  <w:style w:type="paragraph" w:customStyle="1" w:styleId="2ColumnHeading">
    <w:name w:val="2Column Heading"/>
    <w:basedOn w:val="BodyText"/>
    <w:qFormat/>
    <w:rsid w:val="003B5B29"/>
    <w:pPr>
      <w:spacing w:after="60"/>
      <w:ind w:left="-2268"/>
    </w:pPr>
    <w:rPr>
      <w:b/>
    </w:rPr>
  </w:style>
  <w:style w:type="paragraph" w:customStyle="1" w:styleId="Heading1TOC">
    <w:name w:val="Heading1 TOC"/>
    <w:basedOn w:val="Normal"/>
    <w:qFormat/>
    <w:rsid w:val="003B5B29"/>
    <w:pPr>
      <w:spacing w:before="240" w:after="120"/>
    </w:pPr>
    <w:rPr>
      <w:rFonts w:ascii="Times New Roman" w:hAnsi="Times New Roman"/>
      <w:b/>
      <w:sz w:val="32"/>
    </w:rPr>
  </w:style>
  <w:style w:type="paragraph" w:customStyle="1" w:styleId="Heading2TOC">
    <w:name w:val="Heading2 TOC"/>
    <w:basedOn w:val="Normal"/>
    <w:qFormat/>
    <w:rsid w:val="003B5B29"/>
    <w:pPr>
      <w:spacing w:before="240" w:after="60"/>
    </w:pPr>
    <w:rPr>
      <w:rFonts w:ascii="Times New Roman" w:hAnsi="Times New Roman"/>
      <w:b/>
      <w:sz w:val="28"/>
    </w:rPr>
  </w:style>
  <w:style w:type="character" w:customStyle="1" w:styleId="Underline">
    <w:name w:val="Underline"/>
    <w:basedOn w:val="DefaultParagraphFont"/>
    <w:qFormat/>
    <w:rsid w:val="003B5B29"/>
    <w:rPr>
      <w:u w:val="single"/>
    </w:rPr>
  </w:style>
  <w:style w:type="character" w:customStyle="1" w:styleId="BoldandItalics">
    <w:name w:val="Bold and Italics"/>
    <w:qFormat/>
    <w:rsid w:val="003B5B29"/>
    <w:rPr>
      <w:b/>
      <w:i/>
      <w:u w:val="none"/>
    </w:rPr>
  </w:style>
  <w:style w:type="paragraph" w:styleId="BalloonText">
    <w:name w:val="Balloon Text"/>
    <w:basedOn w:val="Normal"/>
    <w:link w:val="BalloonTextChar"/>
    <w:rsid w:val="003B5B29"/>
    <w:rPr>
      <w:rFonts w:ascii="Tahoma" w:hAnsi="Tahoma" w:cs="Tahoma"/>
      <w:sz w:val="16"/>
      <w:szCs w:val="16"/>
    </w:rPr>
  </w:style>
  <w:style w:type="character" w:customStyle="1" w:styleId="BalloonTextChar">
    <w:name w:val="Balloon Text Char"/>
    <w:basedOn w:val="DefaultParagraphFont"/>
    <w:link w:val="BalloonText"/>
    <w:rsid w:val="003B5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B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B29"/>
    <w:rPr>
      <w:b/>
      <w:color w:val="660033"/>
      <w:spacing w:val="0"/>
    </w:rPr>
  </w:style>
  <w:style w:type="paragraph" w:customStyle="1" w:styleId="Nameditemlist">
    <w:name w:val="Named item list"/>
    <w:basedOn w:val="BodyText"/>
    <w:qFormat/>
    <w:rsid w:val="003B5B29"/>
    <w:pPr>
      <w:tabs>
        <w:tab w:val="left" w:pos="2835"/>
      </w:tabs>
      <w:ind w:left="2835" w:hanging="2835"/>
    </w:pPr>
  </w:style>
  <w:style w:type="paragraph" w:customStyle="1" w:styleId="BodyTextnopadding">
    <w:name w:val="Body Text no padding"/>
    <w:basedOn w:val="BodyText"/>
    <w:qFormat/>
    <w:rsid w:val="003B5B29"/>
    <w:pPr>
      <w:spacing w:before="0" w:after="0"/>
    </w:pPr>
  </w:style>
  <w:style w:type="paragraph" w:customStyle="1" w:styleId="BodyTextBold">
    <w:name w:val="Body Text Bold"/>
    <w:basedOn w:val="BodyText"/>
    <w:qFormat/>
    <w:rsid w:val="003B5B29"/>
    <w:rPr>
      <w:b/>
    </w:rPr>
  </w:style>
  <w:style w:type="character" w:styleId="Hyperlink">
    <w:name w:val="Hyperlink"/>
    <w:basedOn w:val="DefaultParagraphFont"/>
    <w:uiPriority w:val="99"/>
    <w:unhideWhenUsed/>
    <w:rsid w:val="005E42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1752</Words>
  <Characters>10425</Characters>
  <Application>Microsoft Office Word</Application>
  <DocSecurity>0</DocSecurity>
  <Lines>651</Lines>
  <Paragraphs>304</Paragraphs>
  <ScaleCrop>false</ScaleCrop>
  <Company>Author-it Software Corporation Ltd.</Company>
  <LinksUpToDate>false</LinksUpToDate>
  <CharactersWithSpaces>11873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MARL039 Apply advanced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