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C55" w:rsidP="005D5C55">
      <w:pPr>
        <w:pStyle w:val="Title"/>
      </w:pPr>
      <w:r>
        <w:fldChar w:fldCharType="begin"/>
      </w:r>
      <w:r>
        <w:instrText xml:space="preserve"> TITLE   \* MERGEFORMAT </w:instrText>
      </w:r>
      <w:r>
        <w:fldChar w:fldCharType="separate"/>
      </w:r>
      <w:r>
        <w:t>MARL039 Apply advanced principles of marine engineering thermodynamics</w:t>
      </w:r>
      <w:r>
        <w:fldChar w:fldCharType="end"/>
      </w:r>
    </w:p>
    <w:p w:rsidR="005D5C55" w:rsidP="005D5C55">
      <w:pPr>
        <w:pStyle w:val="Version"/>
        <w:sectPr w:rsidSect="007035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50A" w:rsidP="0070350A">
      <w:pPr>
        <w:pStyle w:val="SuperHeading"/>
      </w:pPr>
      <w:r w:rsidRPr="0070350A">
        <w:t>MARL039 Apply advanced principles of marine engineering thermodynamics</w:t>
      </w:r>
    </w:p>
    <w:p w:rsidR="00000000" w:rsidRPr="0070350A" w:rsidP="0070350A">
      <w:pPr>
        <w:pStyle w:val="Heading1"/>
      </w:pPr>
      <w:bookmarkStart w:id="1" w:name="O_1087655"/>
      <w:bookmarkEnd w:id="1"/>
      <w:r w:rsidRPr="0070350A">
        <w:t>Modification History</w:t>
      </w:r>
    </w:p>
    <w:tbl>
      <w:tblPr>
        <w:tblW w:w="9496" w:type="dxa"/>
        <w:tblLayout w:type="fixed"/>
        <w:tblCellMar>
          <w:left w:w="62" w:type="dxa"/>
          <w:right w:w="62" w:type="dxa"/>
        </w:tblCellMar>
        <w:tblLook w:val="0000"/>
      </w:tblPr>
      <w:tblGrid>
        <w:gridCol w:w="9496"/>
      </w:tblGrid>
      <w:tr w:rsidTr="0070350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t>Release 1. This is the first release of this unit of competency in the MAR Maritime Training Package.</w:t>
            </w:r>
          </w:p>
        </w:tc>
      </w:tr>
    </w:tbl>
    <w:p w:rsidR="005D5C55" w:rsidP="0070350A">
      <w:pPr>
        <w:pStyle w:val="NoPaddingFontSize1"/>
      </w:pPr>
    </w:p>
    <w:p w:rsidR="005D5C55" w:rsidP="0070350A">
      <w:pPr>
        <w:pStyle w:val="NoPaddingFontSize1"/>
      </w:pPr>
    </w:p>
    <w:p w:rsidR="00000000" w:rsidRPr="0070350A" w:rsidP="0070350A">
      <w:pPr>
        <w:pStyle w:val="Heading1"/>
      </w:pPr>
      <w:bookmarkStart w:id="2" w:name="O_1087656"/>
      <w:bookmarkEnd w:id="2"/>
      <w:r w:rsidRPr="0070350A">
        <w:t>Application</w:t>
      </w:r>
    </w:p>
    <w:tbl>
      <w:tblPr>
        <w:tblW w:w="9496" w:type="dxa"/>
        <w:tblLayout w:type="fixed"/>
        <w:tblCellMar>
          <w:left w:w="62" w:type="dxa"/>
          <w:right w:w="62" w:type="dxa"/>
        </w:tblCellMar>
        <w:tblLook w:val="0000"/>
      </w:tblPr>
      <w:tblGrid>
        <w:gridCol w:w="9496"/>
      </w:tblGrid>
      <w:tr w:rsidTr="0070350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t>This unit involves the skills and knowledge required to apply advanced principles of engineering thermodynamics to perform calculations and to explain the operation of marine machinery, including internal combustion and gas turbine engines, air compressors</w:t>
            </w:r>
            <w:r w:rsidRPr="0070350A">
              <w:t>, steam condensers and refrigeration units.</w:t>
            </w:r>
          </w:p>
          <w:p w:rsidR="00000000" w:rsidRPr="0070350A" w:rsidP="0070350A">
            <w:pPr>
              <w:pStyle w:val="BodyText"/>
            </w:pPr>
            <w:r w:rsidRPr="0070350A">
              <w:t>This unit applies to people working in the maritime industry in the capacity of:</w:t>
            </w:r>
          </w:p>
          <w:p w:rsidR="00000000" w:rsidRPr="0070350A" w:rsidP="0070350A">
            <w:pPr>
              <w:pStyle w:val="ListBullet"/>
            </w:pPr>
            <w:r w:rsidRPr="0070350A">
              <w:t>Engineer Class 1 (STCW Chief Engineer Unlimited)</w:t>
            </w:r>
          </w:p>
          <w:p w:rsidR="00000000" w:rsidRPr="0070350A" w:rsidP="0070350A">
            <w:pPr>
              <w:pStyle w:val="ListBullet"/>
            </w:pPr>
            <w:r w:rsidRPr="0070350A">
              <w:t>Engineer Class 2 (STCW Second Engineer Unlimited).</w:t>
            </w:r>
          </w:p>
          <w:p w:rsidR="00000000" w:rsidRPr="0070350A" w:rsidP="0070350A">
            <w:pPr>
              <w:pStyle w:val="BodyText"/>
            </w:pPr>
            <w:r w:rsidRPr="0070350A">
              <w:rPr>
                <w:rStyle w:val="SpecialBold"/>
              </w:rPr>
              <w:t>Licensing/Regulatory Informati</w:t>
            </w:r>
            <w:r w:rsidRPr="0070350A">
              <w:rPr>
                <w:rStyle w:val="SpecialBold"/>
              </w:rPr>
              <w:t>on</w:t>
            </w:r>
          </w:p>
          <w:p w:rsidR="00000000" w:rsidRPr="0070350A" w:rsidP="0070350A">
            <w:pPr>
              <w:pStyle w:val="BodyText"/>
            </w:pPr>
            <w:r w:rsidRPr="0070350A">
              <w:t xml:space="preserve">Legislative and regulatory requirements are applicable to this unit.  </w:t>
            </w:r>
          </w:p>
          <w:p w:rsidR="00000000" w:rsidRPr="0070350A" w:rsidP="0070350A">
            <w:pPr>
              <w:pStyle w:val="ListBullet"/>
            </w:pPr>
            <w:r w:rsidRPr="0070350A">
              <w:t>This unit is one of the requirements to obtain Australian Maritime Safety Authority (AMSA) certification as an Engineer Class 1 (STCW Chie</w:t>
            </w:r>
            <w:r w:rsidRPr="0070350A">
              <w:t>f Engineer Unlimited) or Engineer Class 2 (STCW Second Engineer Unlimited) and to meet regulatory requirements this unit must be delivered consistent with Marine Orders and with the relevant sections of the International Convention on Standards of Training</w:t>
            </w:r>
            <w:r w:rsidRPr="0070350A">
              <w:t>, Certification and Watchkeeping for Seafarers (STCW).</w:t>
            </w:r>
          </w:p>
          <w:p w:rsidR="00000000" w:rsidRPr="0070350A" w:rsidP="0070350A">
            <w:pPr>
              <w:pStyle w:val="ListBullet"/>
            </w:pPr>
            <w:r w:rsidRPr="0070350A">
              <w:t>Those regulatory requirements include STCW International Maritime Organization (IMO) model course competencies and areas of knowledge, understanding and proficiency, together with the estimated total h</w:t>
            </w:r>
            <w:r w:rsidRPr="0070350A">
              <w:t>ours required for lectures and practical exercises. Teaching staff should note that timings are suggestions only and should be adapted to suit individual groups of trainees depending on their experience, ability, equipment and staff available for training.</w:t>
            </w:r>
          </w:p>
        </w:tc>
      </w:tr>
    </w:tbl>
    <w:p w:rsidR="005D5C55" w:rsidP="0070350A">
      <w:pPr>
        <w:pStyle w:val="NoPaddingFontSize1"/>
      </w:pPr>
    </w:p>
    <w:p w:rsidR="005D5C55" w:rsidP="0070350A">
      <w:pPr>
        <w:pStyle w:val="NoPaddingFontSize1"/>
      </w:pPr>
    </w:p>
    <w:p w:rsidR="00000000" w:rsidRPr="0070350A" w:rsidP="0070350A">
      <w:pPr>
        <w:pStyle w:val="Heading1"/>
      </w:pPr>
      <w:bookmarkStart w:id="3" w:name="O_1087657"/>
      <w:bookmarkEnd w:id="3"/>
      <w:r w:rsidRPr="0070350A">
        <w:t>Pre-requisite Unit</w:t>
      </w:r>
    </w:p>
    <w:tbl>
      <w:tblPr>
        <w:tblW w:w="9496" w:type="dxa"/>
        <w:tblLayout w:type="fixed"/>
        <w:tblCellMar>
          <w:left w:w="62" w:type="dxa"/>
          <w:right w:w="62" w:type="dxa"/>
        </w:tblCellMar>
        <w:tblLook w:val="0000"/>
      </w:tblPr>
      <w:tblGrid>
        <w:gridCol w:w="9496"/>
      </w:tblGrid>
      <w:tr w:rsidTr="0070350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t>Not applicable.</w:t>
            </w:r>
          </w:p>
        </w:tc>
      </w:tr>
    </w:tbl>
    <w:p w:rsidR="005D5C55" w:rsidP="0070350A">
      <w:pPr>
        <w:pStyle w:val="NoPaddingFontSize1"/>
      </w:pPr>
    </w:p>
    <w:p w:rsidR="005D5C55" w:rsidP="0070350A">
      <w:pPr>
        <w:pStyle w:val="NoPaddingFontSize1"/>
      </w:pPr>
    </w:p>
    <w:p w:rsidR="00000000" w:rsidRPr="0070350A" w:rsidP="0070350A">
      <w:pPr>
        <w:pStyle w:val="Heading1"/>
      </w:pPr>
      <w:bookmarkStart w:id="4" w:name="O_1087658"/>
      <w:bookmarkEnd w:id="4"/>
      <w:r w:rsidRPr="0070350A">
        <w:t>Competency Field</w:t>
      </w:r>
    </w:p>
    <w:tbl>
      <w:tblPr>
        <w:tblW w:w="9496" w:type="dxa"/>
        <w:tblLayout w:type="fixed"/>
        <w:tblCellMar>
          <w:left w:w="62" w:type="dxa"/>
          <w:right w:w="62" w:type="dxa"/>
        </w:tblCellMar>
        <w:tblLook w:val="0000"/>
      </w:tblPr>
      <w:tblGrid>
        <w:gridCol w:w="9496"/>
      </w:tblGrid>
      <w:tr w:rsidTr="0070350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t>L – Engineering</w:t>
            </w:r>
          </w:p>
        </w:tc>
      </w:tr>
    </w:tbl>
    <w:p w:rsidR="005D5C55" w:rsidP="0070350A">
      <w:pPr>
        <w:pStyle w:val="NoPaddingFontSize1"/>
      </w:pPr>
    </w:p>
    <w:p w:rsidR="005D5C55" w:rsidP="0070350A">
      <w:pPr>
        <w:pStyle w:val="NoPaddingFontSize1"/>
      </w:pPr>
    </w:p>
    <w:p w:rsidR="00000000" w:rsidRPr="0070350A" w:rsidP="0070350A">
      <w:pPr>
        <w:pStyle w:val="Heading1"/>
      </w:pPr>
      <w:bookmarkStart w:id="5" w:name="O_1087659"/>
      <w:bookmarkEnd w:id="5"/>
      <w:r w:rsidRPr="0070350A">
        <w:t>Unit Sector</w:t>
      </w:r>
    </w:p>
    <w:tbl>
      <w:tblPr>
        <w:tblW w:w="9496" w:type="dxa"/>
        <w:tblLayout w:type="fixed"/>
        <w:tblCellMar>
          <w:left w:w="62" w:type="dxa"/>
          <w:right w:w="62" w:type="dxa"/>
        </w:tblCellMar>
        <w:tblLook w:val="0000"/>
      </w:tblPr>
      <w:tblGrid>
        <w:gridCol w:w="9496"/>
      </w:tblGrid>
      <w:tr w:rsidTr="0070350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t>Not applicable.</w:t>
            </w:r>
          </w:p>
        </w:tc>
      </w:tr>
    </w:tbl>
    <w:p w:rsidR="005D5C55" w:rsidP="0070350A">
      <w:pPr>
        <w:pStyle w:val="NoPaddingFontSize1"/>
      </w:pPr>
    </w:p>
    <w:p w:rsidR="005D5C55" w:rsidP="0070350A">
      <w:pPr>
        <w:pStyle w:val="NoPaddingFontSize1"/>
      </w:pPr>
    </w:p>
    <w:p w:rsidR="00000000" w:rsidRPr="0070350A" w:rsidP="0070350A">
      <w:pPr>
        <w:pStyle w:val="Heading1"/>
      </w:pPr>
      <w:bookmarkStart w:id="6" w:name="O_1087660"/>
      <w:bookmarkEnd w:id="6"/>
      <w:r w:rsidRPr="0070350A">
        <w:t>Elements and Performance Criteria</w:t>
      </w:r>
    </w:p>
    <w:tbl>
      <w:tblPr>
        <w:tblW w:w="9498" w:type="dxa"/>
        <w:tblLayout w:type="fixed"/>
        <w:tblCellMar>
          <w:left w:w="62" w:type="dxa"/>
          <w:right w:w="62" w:type="dxa"/>
        </w:tblCellMar>
        <w:tblLook w:val="0000"/>
      </w:tblPr>
      <w:tblGrid>
        <w:gridCol w:w="535"/>
        <w:gridCol w:w="3037"/>
        <w:gridCol w:w="22"/>
        <w:gridCol w:w="20"/>
        <w:gridCol w:w="760"/>
        <w:gridCol w:w="22"/>
        <w:gridCol w:w="5102"/>
      </w:tblGrid>
      <w:tr w:rsidTr="0070350A">
        <w:tblPrEx>
          <w:tblW w:w="9498" w:type="dxa"/>
          <w:tblLayout w:type="fixed"/>
          <w:tblCellMar>
            <w:left w:w="62" w:type="dxa"/>
            <w:right w:w="62" w:type="dxa"/>
          </w:tblCellMar>
          <w:tblLook w:val="0000"/>
        </w:tblPrEx>
        <w:tc>
          <w:tcPr>
            <w:tcW w:w="3594" w:type="dxa"/>
            <w:gridSpan w:val="3"/>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ELEMENTS</w:t>
            </w:r>
          </w:p>
        </w:tc>
        <w:tc>
          <w:tcPr>
            <w:tcW w:w="5904" w:type="dxa"/>
            <w:gridSpan w:val="4"/>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PERFORMANCE CRITERIA</w:t>
            </w:r>
          </w:p>
        </w:tc>
      </w:tr>
      <w:tr w:rsidTr="0070350A">
        <w:tblPrEx>
          <w:tblW w:w="9498" w:type="dxa"/>
          <w:tblLayout w:type="fixed"/>
          <w:tblCellMar>
            <w:left w:w="62" w:type="dxa"/>
            <w:right w:w="62" w:type="dxa"/>
          </w:tblCellMar>
          <w:tblLook w:val="0000"/>
        </w:tblPrEx>
        <w:tc>
          <w:tcPr>
            <w:tcW w:w="3594"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Elements describe the essential outcomes.</w:t>
            </w:r>
          </w:p>
        </w:tc>
        <w:tc>
          <w:tcPr>
            <w:tcW w:w="5904" w:type="dxa"/>
            <w:gridSpan w:val="4"/>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Performance criteria describe the performance needed to demonstrate achievement of the element.</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 xml:space="preserve">1 </w:t>
            </w:r>
          </w:p>
        </w:tc>
        <w:tc>
          <w:tcPr>
            <w:tcW w:w="3059" w:type="dxa"/>
            <w:gridSpan w:val="2"/>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Calculate heat mixtures involving water equivalent, change of phase and feed heating</w:t>
            </w:r>
          </w:p>
        </w:tc>
        <w:tc>
          <w:tcPr>
            <w:tcW w:w="780"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1.1</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Key terms associated wi</w:t>
            </w:r>
            <w:r w:rsidRPr="0070350A">
              <w:t>th heat transmission are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0"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1.2</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Heat transfer is calculated between liquids and solids using water equivalent</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0"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1.3</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Flow is differentiated from non-flow heating and cooling processes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0"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1.4</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Effects of superheating and sub-cooling on steam plant efficiency are outlined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0" w:type="dxa"/>
            <w:gridSpan w:val="2"/>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1.5</w:t>
            </w:r>
          </w:p>
          <w:p w:rsidR="00000000">
            <w:pPr>
              <w:pStyle w:val="BodyText"/>
              <w:keepLines w:val="0"/>
              <w:spacing w:before="0" w:after="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Enthalpy is applied to heat mixture calculations with or without phase change</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0" w:type="dxa"/>
            <w:gridSpan w:val="2"/>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1.6</w:t>
            </w:r>
          </w:p>
          <w:p w:rsidR="00000000">
            <w:pPr>
              <w:pStyle w:val="BodyText"/>
              <w:keepLines w:val="0"/>
              <w:spacing w:before="0" w:after="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Enthalpy is applied to calculate resultant conditions of hot wells involving multip</w:t>
            </w:r>
            <w:r w:rsidRPr="0070350A">
              <w:t>le returns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0" w:type="dxa"/>
            <w:gridSpan w:val="2"/>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1.7</w:t>
            </w:r>
          </w:p>
          <w:p w:rsidR="00000000">
            <w:pPr>
              <w:pStyle w:val="BodyText"/>
              <w:keepLines w:val="0"/>
              <w:spacing w:before="0" w:after="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Steam conditions in a system when using throttling devices and separators are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0" w:type="dxa"/>
            <w:gridSpan w:val="2"/>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1.8</w:t>
            </w:r>
          </w:p>
          <w:p w:rsidR="00000000">
            <w:pPr>
              <w:pStyle w:val="BodyText"/>
              <w:keepLines w:val="0"/>
              <w:spacing w:before="0" w:after="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Entropy is distinguished from enthalpy</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0" w:type="dxa"/>
            <w:gridSpan w:val="2"/>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1.9</w:t>
            </w:r>
          </w:p>
          <w:p w:rsidR="00000000">
            <w:pPr>
              <w:pStyle w:val="BodyText"/>
              <w:keepLines w:val="0"/>
              <w:spacing w:before="0" w:after="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Entropy values are determined from standard tables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59" w:type="dxa"/>
            <w:gridSpan w:val="2"/>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0" w:type="dxa"/>
            <w:gridSpan w:val="2"/>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1.10</w:t>
            </w:r>
          </w:p>
          <w:p w:rsidR="00000000">
            <w:pPr>
              <w:pStyle w:val="BodyText"/>
              <w:keepLines w:val="0"/>
              <w:spacing w:before="0" w:after="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Mass balance throughout a steam plant cycle is constructed and effects of pressure and temperature on cycle efficiency are analysed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2</w:t>
            </w:r>
          </w:p>
        </w:tc>
        <w:tc>
          <w:tcPr>
            <w:tcW w:w="3037"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Determine fluid properties of steam</w:t>
            </w: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2.1</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Relationship between saturated and superheated steam, including dryness fraction, is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2.2</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 xml:space="preserve">Tables and/or diagrams are used to find enthalpy and entropy values for liquid, part liquid-part </w:t>
            </w:r>
            <w:r w:rsidRPr="0070350A">
              <w:t>vapour and vapour states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2.3</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Carnot cycle is outlined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2.4</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Rankine cycle is outlined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2.5</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Isentropic efficiency is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2.6</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Problems are solved involving the efficiency of steam turbines operating in the Rankine cycle</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3</w:t>
            </w:r>
          </w:p>
        </w:tc>
        <w:tc>
          <w:tcPr>
            <w:tcW w:w="3037"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Calculate boiler efficiency and boiler water density</w:t>
            </w:r>
          </w:p>
        </w:tc>
        <w:tc>
          <w:tcPr>
            <w:tcW w:w="802" w:type="dxa"/>
            <w:gridSpan w:val="3"/>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3.1</w:t>
            </w:r>
          </w:p>
          <w:p w:rsidR="00000000">
            <w:pPr>
              <w:pStyle w:val="BodyText"/>
              <w:keepLines w:val="0"/>
              <w:spacing w:before="0" w:after="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Concept of parts pe</w:t>
            </w:r>
            <w:r w:rsidRPr="0070350A">
              <w:t>r million for density of boiler water is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3.2</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Changes in boiler water density due to contaminated feed are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3.3</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How acceptable dissolved solids and water levels may be maintained in a boiler is shown</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p>
          <w:p w:rsidR="00000000" w:rsidRPr="0070350A" w:rsidP="0070350A">
            <w:pPr>
              <w:pStyle w:val="BodyText"/>
            </w:pPr>
            <w:r w:rsidRPr="0070350A">
              <w:rPr>
                <w:rStyle w:val="SpecialBold"/>
              </w:rPr>
              <w:t>4</w:t>
            </w:r>
          </w:p>
        </w:tc>
        <w:tc>
          <w:tcPr>
            <w:tcW w:w="3037"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Apply Dalton’</w:t>
            </w:r>
            <w:r w:rsidRPr="0070350A">
              <w:rPr>
                <w:rStyle w:val="SpecialBold"/>
              </w:rPr>
              <w:t>s Law of partial pressures to steam condensers</w:t>
            </w: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4.1</w:t>
            </w:r>
            <w:r w:rsidRPr="0070350A">
              <w:br/>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Dalton’s Law is applied to calculate air and condensate extraction from condensers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4.2</w:t>
            </w:r>
          </w:p>
          <w:p w:rsidR="00000000">
            <w:pPr>
              <w:pStyle w:val="BodyText"/>
              <w:keepLines w:val="0"/>
              <w:spacing w:before="0" w:after="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Problems are solved involving cooling water mass flow and cooling water pump work</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p>
          <w:p w:rsidR="00000000" w:rsidRPr="0070350A" w:rsidP="0070350A">
            <w:pPr>
              <w:pStyle w:val="BodyText"/>
            </w:pPr>
            <w:r w:rsidRPr="0070350A">
              <w:rPr>
                <w:rStyle w:val="SpecialBold"/>
              </w:rPr>
              <w:t>5</w:t>
            </w:r>
          </w:p>
        </w:tc>
        <w:tc>
          <w:tcPr>
            <w:tcW w:w="3037"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Apply chemical equations for complete and incomplete combustion</w:t>
            </w: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5.1</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Atomic and molecular weights and kilogram-mole (kg-mol) are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5.2</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Elements and compounds present in fuel and the products of combustion are evaluated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5.3</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Calorific value of a</w:t>
            </w:r>
            <w:r w:rsidRPr="0070350A">
              <w:t xml:space="preserve"> fuel is calculated by chemical formula</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5.4</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Mass of air required for stoichiometric combustion is calculated by gravimetric and volumetric analysis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5.5</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Chemical equations for combustion elements and compounds are de</w:t>
            </w:r>
            <w:r w:rsidRPr="0070350A">
              <w:t>veloped and elements of combustion are analysed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5.6</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Air/fuel ratio, gravimetric and volumetric analysis are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5.7</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Air/fuel ratio is determined when supplied with composition of fuel and exhaust gas analysis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5.8</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 xml:space="preserve">Bomb calorimeter is used to </w:t>
            </w:r>
            <w:r w:rsidRPr="0070350A">
              <w:t>find calorific value of a fuel</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6.</w:t>
            </w:r>
          </w:p>
        </w:tc>
        <w:tc>
          <w:tcPr>
            <w:tcW w:w="3037"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Calculate thermal expansion</w:t>
            </w: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6.1</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Coefficient of linear expansion and its significance to different materials is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6.2</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Clearances and shrunk fit allowances are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6.3</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Stresses generated with restricted expansion are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6.4</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Volumetric expansion of solid and liquids, and allowance required for fluid expansion in tanks and systems is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7</w:t>
            </w:r>
          </w:p>
        </w:tc>
        <w:tc>
          <w:tcPr>
            <w:tcW w:w="3037"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Calculate gas conditions, work and thermal efficiency of internal</w:t>
            </w:r>
            <w:r w:rsidRPr="0070350A">
              <w:rPr>
                <w:rStyle w:val="SpecialBold"/>
              </w:rPr>
              <w:t xml:space="preserve"> combustion engines</w:t>
            </w: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7.1</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Compression and pressure ratio is explained and related to combined gas law equation</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7.2</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Combined gas law equation is applied to constant volume and constant pressure processes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7.3</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Specific gas constant of a gas or mixture of gases is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7.4</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Universal gas constant from Avogadro’s hypothesis is determined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7.5</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Differentiation is made between specific heat of gases, ratio of specific heats, work and change in internal ener</w:t>
            </w:r>
            <w:r w:rsidRPr="0070350A">
              <w:t>gy</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7.6</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Changes in internal energy associated with specific heat of gases, ratio of specific heats and work are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7.7</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First law of thermodynamics is applied to thermodynamic processes in a closed system</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7.8</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Second law of thermodynamics is applied to find thermal efficiency of Carnot cycle</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7.9</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Mathematical formula is applied to solve problems related to ideal constant volume air standard cycle</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7.10</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Mathematical formula is applied to solve problems relate</w:t>
            </w:r>
            <w:r w:rsidRPr="0070350A">
              <w:t>d to diesel and dual cycles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8</w:t>
            </w:r>
          </w:p>
        </w:tc>
        <w:tc>
          <w:tcPr>
            <w:tcW w:w="3037"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Calculate performance of internal combustion and gas turbine engines</w:t>
            </w: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8.1</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Processes associated with expansion and compression of gases are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8.2</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Gas conditions and index of compression at end of each process are determined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8.3</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Work formula is derived for each process and derived formula is applied to calculate work and power per cycle</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8.4</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Air standard cycle is applied to determine amount of f</w:t>
            </w:r>
            <w:r w:rsidRPr="0070350A">
              <w:t>uel consumed and work produced by an internal combustion engine</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8.5</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Differentiation is made between air standard efficiency and thermal efficiency</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8.6</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Pressure/volume (P/V) and out-of-phase engine indicator diagrams are analysed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8.7</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Work, power, mean effective pressure and thermal efficiency of internal combustion engine cycles are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8.8</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Heat transfer to jacket cooling systems is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8.9</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Open and closed systems for gas turbines are outlined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8.10</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Temperature/entropy diagrams are applied to illustrate gas turbine cycles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8.11</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Power, isentropic efficiencies, thermal efficiency, work and fuel consumption for gas turbine cycles are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8.12</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Methods to increase efficiency of gas turbines are</w:t>
            </w:r>
            <w:r w:rsidRPr="0070350A">
              <w:t xml:space="preserve"> specified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8.13</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Reheaters and intercoolers and how they improve efficiency is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9</w:t>
            </w:r>
          </w:p>
        </w:tc>
        <w:tc>
          <w:tcPr>
            <w:tcW w:w="3037"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Analyse air compressor performance</w:t>
            </w: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9.1</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Compressor types are classified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9.2</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P/V diagram is applied to describe operating cycle of reciprocating compressors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9.3</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Work done by constant pressure, isothermal processes and polytropic processes in reciprocating compressors is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9.4</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Effect of clearance volume on efficiency of reciprocating compressors is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9.5</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Volumetric efficiency at free air conditions is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9.6</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Volume, mass flow and temperature are calculated at completion of each process in reciprocating compressors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9.7</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Intercooling and after-cooling effects on overall efficiency of reciprocatin</w:t>
            </w:r>
            <w:r w:rsidRPr="0070350A">
              <w:t>g compressors is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9.8</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Heat transfer to air or cooling water from an air compressor is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9.9</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Work is calculated for isothermal and adiabatic compression, and effect of clearance for reciprocating compressor</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9.10</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Formula to calculate work and efficiency of centrifugal compressors is derived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9.11</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Pressure ratio for compressor types is analysed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p>
          <w:p w:rsidR="00000000" w:rsidRPr="0070350A" w:rsidP="0070350A">
            <w:pPr>
              <w:pStyle w:val="BodyText"/>
            </w:pPr>
            <w:r w:rsidRPr="0070350A">
              <w:rPr>
                <w:rStyle w:val="SpecialBold"/>
              </w:rPr>
              <w:t>10</w:t>
            </w:r>
          </w:p>
        </w:tc>
        <w:tc>
          <w:tcPr>
            <w:tcW w:w="3037"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Analyse vapour compression refrigeration cycles</w:t>
            </w: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10.1</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Design parameters for a vapour compression cycle are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10.2</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Pressure/enthalpy diagram is prepared for a refrigeration cycle</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10.3</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Heat rejected, work done and coefficient of performance (COP) for a basic cycle is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10.4</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Effect of subcooling and superheating is shown on a temperature/entropy diagram</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10.5</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COP is calculated with evaporators operating at two different pressures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10.6</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 xml:space="preserve">Properties and hazards of refrigerants used in refrigeration and air conditioning (RAC) </w:t>
            </w:r>
            <w:r w:rsidRPr="0070350A">
              <w:t>systems are identified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10.7</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Basic air conditioning cycles are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p>
          <w:p w:rsidR="00000000" w:rsidRPr="0070350A" w:rsidP="0070350A">
            <w:pPr>
              <w:pStyle w:val="BodyText"/>
            </w:pPr>
            <w:r w:rsidRPr="0070350A">
              <w:rPr>
                <w:rStyle w:val="SpecialBold"/>
              </w:rPr>
              <w:t>11</w:t>
            </w:r>
          </w:p>
        </w:tc>
        <w:tc>
          <w:tcPr>
            <w:tcW w:w="3037" w:type="dxa"/>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Apply psychrometric principles to solve air conditioning problems</w:t>
            </w:r>
          </w:p>
        </w:tc>
        <w:tc>
          <w:tcPr>
            <w:tcW w:w="802" w:type="dxa"/>
            <w:gridSpan w:val="3"/>
            <w:tcBorders>
              <w:top w:val="nil"/>
              <w:left w:val="nil"/>
              <w:bottom w:val="nil"/>
              <w:right w:val="nil"/>
            </w:tcBorders>
            <w:tcMar>
              <w:top w:w="0" w:type="dxa"/>
              <w:left w:w="62" w:type="dxa"/>
              <w:bottom w:w="0" w:type="dxa"/>
              <w:right w:w="62" w:type="dxa"/>
            </w:tcMar>
          </w:tcPr>
          <w:p w:rsidR="00000000" w:rsidRPr="0070350A" w:rsidP="0070350A">
            <w:pPr>
              <w:pStyle w:val="BodyText"/>
            </w:pPr>
          </w:p>
          <w:p w:rsidR="00000000" w:rsidP="0070350A">
            <w:pPr>
              <w:pStyle w:val="BodyText"/>
              <w:rPr>
                <w:lang w:val="en-NZ"/>
              </w:rPr>
            </w:pPr>
            <w:r w:rsidRPr="0070350A">
              <w:rPr>
                <w:rStyle w:val="SpecialBold"/>
              </w:rPr>
              <w:t>11.1</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Comfort conditions for air conditioning systems are defined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11.2</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Key parameters used in defining air condition are illustrated on a psychrometric chart</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11.3</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Cooling loads are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11.4</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Problems associated with air delivering and distribution methods are analysed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11.5</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Methods of controlling noise and vibration in air conditioning systems are analysed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12</w:t>
            </w:r>
          </w:p>
        </w:tc>
        <w:tc>
          <w:tcPr>
            <w:tcW w:w="3037"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Analyse different methods of heat transfer</w:t>
            </w: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12.1</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Different forms of heat transfer are identified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12.2</w:t>
            </w:r>
          </w:p>
          <w:p w:rsidR="00000000">
            <w:pPr>
              <w:pStyle w:val="BodyText"/>
              <w:keepLines w:val="0"/>
              <w:spacing w:before="0" w:after="0"/>
              <w:rPr>
                <w:rFonts w:ascii="Tahoma" w:hAnsi="Tahoma"/>
                <w:sz w:val="20"/>
                <w:lang w:val="en-NZ"/>
              </w:rPr>
            </w:pP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Heat flow through composite divisions is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12.3</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Insulation dimensions and interface temperatures are determined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12.4</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Problems relating to radiated energy are solved by applying Stefan-Boltzmann Law</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12.5</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 xml:space="preserve">Relative efficiency of contra-flow heat exchange is determined </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12.6</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Problems in heat exchan</w:t>
            </w:r>
            <w:r w:rsidRPr="0070350A">
              <w:t>gers are solved by applying log mean temperature difference</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37" w:type="dxa"/>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802" w:type="dxa"/>
            <w:gridSpan w:val="3"/>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12.7</w:t>
            </w:r>
          </w:p>
        </w:tc>
        <w:tc>
          <w:tcPr>
            <w:tcW w:w="5124"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Radial conduction of heat through a thin cylinder is calculated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13</w:t>
            </w:r>
          </w:p>
        </w:tc>
        <w:tc>
          <w:tcPr>
            <w:tcW w:w="3079" w:type="dxa"/>
            <w:gridSpan w:val="3"/>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Perform calculations related to engine power and heat balances</w:t>
            </w:r>
          </w:p>
        </w:tc>
        <w:tc>
          <w:tcPr>
            <w:tcW w:w="782"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13.1</w:t>
            </w:r>
          </w:p>
        </w:tc>
        <w:tc>
          <w:tcPr>
            <w:tcW w:w="5102" w:type="dxa"/>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Formula is applied to solve problems related to indicated power of internal combustion engines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9" w:type="dxa"/>
            <w:gridSpan w:val="3"/>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2"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13.2</w:t>
            </w:r>
          </w:p>
        </w:tc>
        <w:tc>
          <w:tcPr>
            <w:tcW w:w="5102" w:type="dxa"/>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Formula is applied to solve problems related to brake power of internal combustion engines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9" w:type="dxa"/>
            <w:gridSpan w:val="3"/>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2"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13.3</w:t>
            </w:r>
          </w:p>
        </w:tc>
        <w:tc>
          <w:tcPr>
            <w:tcW w:w="5102" w:type="dxa"/>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Morse test is applied to determine the indicated power</w:t>
            </w:r>
            <w:r w:rsidRPr="0070350A">
              <w:t xml:space="preserve"> of internal combustion engines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9" w:type="dxa"/>
            <w:gridSpan w:val="3"/>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2"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13.4</w:t>
            </w:r>
          </w:p>
        </w:tc>
        <w:tc>
          <w:tcPr>
            <w:tcW w:w="5102" w:type="dxa"/>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Tabular and graphical heat balance diagrams are applied to calculate mechanical, thermal and overall efficiencies of internal combustion engines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14</w:t>
            </w:r>
          </w:p>
        </w:tc>
        <w:tc>
          <w:tcPr>
            <w:tcW w:w="3079" w:type="dxa"/>
            <w:gridSpan w:val="3"/>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Determine steam velocity</w:t>
            </w:r>
          </w:p>
        </w:tc>
        <w:tc>
          <w:tcPr>
            <w:tcW w:w="782"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14.1</w:t>
            </w:r>
          </w:p>
        </w:tc>
        <w:tc>
          <w:tcPr>
            <w:tcW w:w="5102" w:type="dxa"/>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Principles and differences between pressure and velocity changes in reaction and impulse steam turbines are explained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9" w:type="dxa"/>
            <w:gridSpan w:val="3"/>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2"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14.2</w:t>
            </w:r>
          </w:p>
        </w:tc>
        <w:tc>
          <w:tcPr>
            <w:tcW w:w="5102" w:type="dxa"/>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Velocity diagrams to calculate steam velocity at exit of nozzles and blades are applied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9" w:type="dxa"/>
            <w:gridSpan w:val="3"/>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2"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14.3</w:t>
            </w:r>
          </w:p>
        </w:tc>
        <w:tc>
          <w:tcPr>
            <w:tcW w:w="5102" w:type="dxa"/>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Graphical and mathematical methods</w:t>
            </w:r>
            <w:r w:rsidRPr="0070350A">
              <w:t xml:space="preserve"> to determine blade angle, steam velocity, thrust, power, and efficiency of single stage impulse and reaction steam turbines are applied</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15</w:t>
            </w:r>
          </w:p>
        </w:tc>
        <w:tc>
          <w:tcPr>
            <w:tcW w:w="3079" w:type="dxa"/>
            <w:gridSpan w:val="3"/>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rPr>
                <w:rStyle w:val="SpecialBold"/>
              </w:rPr>
              <w:t>Use nozzles</w:t>
            </w:r>
          </w:p>
        </w:tc>
        <w:tc>
          <w:tcPr>
            <w:tcW w:w="782"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15.1</w:t>
            </w:r>
          </w:p>
        </w:tc>
        <w:tc>
          <w:tcPr>
            <w:tcW w:w="5102" w:type="dxa"/>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Convergent nozzles are compared to convergent-divergent nozzles</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9" w:type="dxa"/>
            <w:gridSpan w:val="3"/>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2"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15.2</w:t>
            </w:r>
          </w:p>
        </w:tc>
        <w:tc>
          <w:tcPr>
            <w:tcW w:w="5102" w:type="dxa"/>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t>Steady flow equation is used to determine nozzle exit speed in terms of enthalpy</w:t>
            </w:r>
          </w:p>
        </w:tc>
      </w:tr>
      <w:tr w:rsidTr="0070350A">
        <w:tblPrEx>
          <w:tblW w:w="9498"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79" w:type="dxa"/>
            <w:gridSpan w:val="3"/>
            <w:tcBorders>
              <w:top w:val="nil"/>
              <w:left w:val="nil"/>
              <w:bottom w:val="nil"/>
              <w:right w:val="nil"/>
            </w:tcBorders>
            <w:tcMar>
              <w:top w:w="0" w:type="dxa"/>
              <w:left w:w="62" w:type="dxa"/>
              <w:bottom w:w="0" w:type="dxa"/>
              <w:right w:w="62" w:type="dxa"/>
            </w:tcMar>
          </w:tcPr>
          <w:p w:rsidR="00000000" w:rsidRPr="0070350A">
            <w:pPr>
              <w:pStyle w:val="BodyText"/>
              <w:keepLines w:val="0"/>
              <w:spacing w:before="0" w:after="0"/>
            </w:pPr>
          </w:p>
        </w:tc>
        <w:tc>
          <w:tcPr>
            <w:tcW w:w="782" w:type="dxa"/>
            <w:gridSpan w:val="2"/>
            <w:tcBorders>
              <w:top w:val="nil"/>
              <w:left w:val="nil"/>
              <w:bottom w:val="nil"/>
              <w:right w:val="nil"/>
            </w:tcBorders>
            <w:tcMar>
              <w:top w:w="0" w:type="dxa"/>
              <w:left w:w="62" w:type="dxa"/>
              <w:bottom w:w="0" w:type="dxa"/>
              <w:right w:w="62" w:type="dxa"/>
            </w:tcMar>
          </w:tcPr>
          <w:p w:rsidR="00000000" w:rsidP="0070350A">
            <w:pPr>
              <w:pStyle w:val="BodyText"/>
              <w:rPr>
                <w:lang w:val="en-NZ"/>
              </w:rPr>
            </w:pPr>
            <w:r w:rsidRPr="0070350A">
              <w:rPr>
                <w:rStyle w:val="SpecialBold"/>
              </w:rPr>
              <w:t>15.3</w:t>
            </w:r>
          </w:p>
        </w:tc>
        <w:tc>
          <w:tcPr>
            <w:tcW w:w="5102"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t>Conditions for maximum mass flow through a nozzle are established</w:t>
            </w:r>
          </w:p>
        </w:tc>
      </w:tr>
    </w:tbl>
    <w:p w:rsidR="005D5C55" w:rsidP="0070350A">
      <w:pPr>
        <w:pStyle w:val="NoPaddingFontSize1"/>
      </w:pPr>
    </w:p>
    <w:p w:rsidR="005D5C55" w:rsidP="0070350A">
      <w:pPr>
        <w:pStyle w:val="NoPaddingFontSize1"/>
      </w:pPr>
    </w:p>
    <w:p w:rsidR="00000000" w:rsidRPr="0070350A" w:rsidP="0070350A">
      <w:pPr>
        <w:pStyle w:val="Heading1"/>
      </w:pPr>
      <w:bookmarkStart w:id="7" w:name="O_1087661"/>
      <w:bookmarkEnd w:id="7"/>
      <w:r w:rsidRPr="0070350A">
        <w:t>Foundation Skills</w:t>
      </w:r>
    </w:p>
    <w:tbl>
      <w:tblPr>
        <w:tblW w:w="9496" w:type="dxa"/>
        <w:tblLayout w:type="fixed"/>
        <w:tblCellMar>
          <w:left w:w="62" w:type="dxa"/>
          <w:right w:w="62" w:type="dxa"/>
        </w:tblCellMar>
        <w:tblLook w:val="0000"/>
      </w:tblPr>
      <w:tblGrid>
        <w:gridCol w:w="9496"/>
      </w:tblGrid>
      <w:tr w:rsidTr="0070350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t>Foundation skills essential to performance are explicit in th</w:t>
            </w:r>
            <w:r w:rsidRPr="0070350A">
              <w:t>e performance criteria of this unit of competency.</w:t>
            </w:r>
          </w:p>
        </w:tc>
      </w:tr>
    </w:tbl>
    <w:p w:rsidR="005D5C55" w:rsidP="0070350A">
      <w:pPr>
        <w:pStyle w:val="NoPaddingFontSize1"/>
      </w:pPr>
    </w:p>
    <w:p w:rsidR="005D5C55" w:rsidP="0070350A">
      <w:pPr>
        <w:pStyle w:val="NoPaddingFontSize1"/>
      </w:pPr>
    </w:p>
    <w:p w:rsidR="00000000" w:rsidRPr="0070350A" w:rsidP="0070350A">
      <w:pPr>
        <w:pStyle w:val="Heading1"/>
      </w:pPr>
      <w:bookmarkStart w:id="8" w:name="O_1087662"/>
      <w:bookmarkEnd w:id="8"/>
      <w:r w:rsidRPr="0070350A">
        <w:t>Range of Conditions</w:t>
      </w:r>
    </w:p>
    <w:tbl>
      <w:tblPr>
        <w:tblW w:w="9496" w:type="dxa"/>
        <w:tblLayout w:type="fixed"/>
        <w:tblCellMar>
          <w:left w:w="62" w:type="dxa"/>
          <w:right w:w="62" w:type="dxa"/>
        </w:tblCellMar>
        <w:tblLook w:val="0000"/>
      </w:tblPr>
      <w:tblGrid>
        <w:gridCol w:w="9496"/>
      </w:tblGrid>
      <w:tr w:rsidTr="0070350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t>Range is restricted to essential operating conditions and any other variables essential to the work environment.</w:t>
            </w:r>
          </w:p>
        </w:tc>
      </w:tr>
    </w:tbl>
    <w:p w:rsidR="005D5C55" w:rsidP="0070350A">
      <w:pPr>
        <w:pStyle w:val="NoPaddingFontSize1"/>
      </w:pPr>
    </w:p>
    <w:p w:rsidR="005D5C55" w:rsidP="0070350A">
      <w:pPr>
        <w:pStyle w:val="NoPaddingFontSize1"/>
      </w:pPr>
    </w:p>
    <w:p w:rsidR="00000000" w:rsidRPr="0070350A" w:rsidP="0070350A">
      <w:pPr>
        <w:pStyle w:val="Heading1"/>
      </w:pPr>
      <w:bookmarkStart w:id="9" w:name="O_1087663"/>
      <w:bookmarkEnd w:id="9"/>
      <w:r w:rsidRPr="0070350A">
        <w:t>Unit Mapping Information</w:t>
      </w:r>
    </w:p>
    <w:tbl>
      <w:tblPr>
        <w:tblW w:w="9496" w:type="dxa"/>
        <w:tblLayout w:type="fixed"/>
        <w:tblCellMar>
          <w:left w:w="62" w:type="dxa"/>
          <w:right w:w="62" w:type="dxa"/>
        </w:tblCellMar>
        <w:tblLook w:val="0000"/>
      </w:tblPr>
      <w:tblGrid>
        <w:gridCol w:w="9496"/>
      </w:tblGrid>
      <w:tr w:rsidTr="0070350A">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t>This unit replaces and is not equivalent to MARL015 Apply intermediate principles of marine engineering thermodynamics.</w:t>
            </w:r>
          </w:p>
          <w:p w:rsidR="00000000" w:rsidRPr="0070350A" w:rsidP="0070350A">
            <w:pPr>
              <w:pStyle w:val="BodyText"/>
            </w:pPr>
            <w:r w:rsidRPr="0070350A">
              <w:t>This unit replaces and is equivalent to MARL019 Apply advanced principles of marine engineering thermodynamics.</w:t>
            </w:r>
          </w:p>
        </w:tc>
      </w:tr>
    </w:tbl>
    <w:p w:rsidR="005D5C55" w:rsidP="0070350A">
      <w:pPr>
        <w:pStyle w:val="NoPaddingFontSize1"/>
      </w:pPr>
    </w:p>
    <w:p w:rsidR="005D5C55" w:rsidP="0070350A">
      <w:pPr>
        <w:pStyle w:val="NoPaddingFontSize1"/>
      </w:pPr>
    </w:p>
    <w:p w:rsidR="00000000" w:rsidRPr="0070350A" w:rsidP="0070350A">
      <w:pPr>
        <w:pStyle w:val="Heading1"/>
      </w:pPr>
      <w:bookmarkStart w:id="10" w:name="O_1087670"/>
      <w:bookmarkEnd w:id="10"/>
      <w:r w:rsidRPr="0070350A">
        <w:t>Li</w:t>
      </w:r>
      <w:r w:rsidRPr="0070350A">
        <w:t>nks</w:t>
      </w:r>
    </w:p>
    <w:p w:rsidR="00000000" w:rsidRPr="0070350A" w:rsidP="005D5C55">
      <w:pPr>
        <w:pStyle w:val="BodyText"/>
      </w:pPr>
      <w:r w:rsidRPr="0070350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2D4477">
        <w:rPr>
          <w:rStyle w:val="Hyperlink"/>
        </w:rPr>
        <w:t>https://vetnet.gov.au/Pages/TrainingDocs.aspx?q=772efb7b-4cce-47fe-9bbd-ee3b1d1eb4c2</w:t>
      </w:r>
      <w:r>
        <w:fldChar w:fldCharType="end"/>
      </w:r>
    </w:p>
    <w:p w:rsidR="00000000" w:rsidRPr="0070350A" w:rsidP="005D5C55">
      <w:pPr>
        <w:pStyle w:val="BodyText"/>
        <w:sectPr w:rsidSect="0070350A">
          <w:headerReference w:type="default" r:id="rId10"/>
          <w:footerReference w:type="default" r:id="rId11"/>
          <w:pgSz w:w="11908" w:h="16833"/>
          <w:pgMar w:top="1702" w:right="1418" w:bottom="1702" w:left="1418" w:header="992" w:footer="992" w:gutter="0"/>
          <w:cols w:space="720"/>
          <w:noEndnote/>
          <w:docGrid w:linePitch="299"/>
        </w:sectPr>
      </w:pPr>
    </w:p>
    <w:p w:rsidR="00000000" w:rsidRPr="0070350A" w:rsidP="0070350A">
      <w:pPr>
        <w:pStyle w:val="SuperHeading"/>
      </w:pPr>
      <w:r w:rsidRPr="0070350A">
        <w:t xml:space="preserve">Assessment </w:t>
      </w:r>
      <w:r w:rsidRPr="0070350A">
        <w:t>Requirements for MARL039 Apply advanced principles of marine engineering thermodynamics</w:t>
      </w:r>
    </w:p>
    <w:p w:rsidR="00000000" w:rsidRPr="0070350A" w:rsidP="0070350A">
      <w:pPr>
        <w:pStyle w:val="Heading1"/>
      </w:pPr>
      <w:bookmarkStart w:id="11" w:name="O_1087665"/>
      <w:bookmarkEnd w:id="11"/>
      <w:r w:rsidRPr="0070350A">
        <w:t>Modification History</w:t>
      </w:r>
    </w:p>
    <w:tbl>
      <w:tblPr>
        <w:tblW w:w="9497" w:type="dxa"/>
        <w:tblLayout w:type="fixed"/>
        <w:tblCellMar>
          <w:left w:w="62" w:type="dxa"/>
          <w:right w:w="62" w:type="dxa"/>
        </w:tblCellMar>
        <w:tblLook w:val="0000"/>
      </w:tblPr>
      <w:tblGrid>
        <w:gridCol w:w="9497"/>
      </w:tblGrid>
      <w:tr w:rsidTr="00703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t>Release 1. This is the first release of this unit of competency in the MAR Maritime Training Package.</w:t>
            </w:r>
          </w:p>
        </w:tc>
      </w:tr>
    </w:tbl>
    <w:p w:rsidR="005D5C55" w:rsidP="0070350A">
      <w:pPr>
        <w:pStyle w:val="NoPaddingFontSize1"/>
      </w:pPr>
    </w:p>
    <w:p w:rsidR="005D5C55" w:rsidP="0070350A">
      <w:pPr>
        <w:pStyle w:val="NoPaddingFontSize1"/>
      </w:pPr>
    </w:p>
    <w:p w:rsidR="00000000" w:rsidRPr="0070350A" w:rsidP="0070350A">
      <w:pPr>
        <w:pStyle w:val="Heading1"/>
      </w:pPr>
      <w:bookmarkStart w:id="12" w:name="O_1087666"/>
      <w:bookmarkEnd w:id="12"/>
      <w:r w:rsidRPr="0070350A">
        <w:t>Perfo</w:t>
      </w:r>
      <w:r w:rsidRPr="0070350A">
        <w:t>rmance Evidence</w:t>
      </w:r>
    </w:p>
    <w:tbl>
      <w:tblPr>
        <w:tblW w:w="9497" w:type="dxa"/>
        <w:tblLayout w:type="fixed"/>
        <w:tblCellMar>
          <w:left w:w="62" w:type="dxa"/>
          <w:right w:w="62" w:type="dxa"/>
        </w:tblCellMar>
        <w:tblLook w:val="0000"/>
      </w:tblPr>
      <w:tblGrid>
        <w:gridCol w:w="9497"/>
      </w:tblGrid>
      <w:tr w:rsidTr="00703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t>Evidence required to demonstrate competence in this unit must be relevant to and satisfy all of the requirements of the elements and performance criteria on at least one occasion and include:</w:t>
            </w:r>
          </w:p>
          <w:p w:rsidR="00000000" w:rsidRPr="0070350A" w:rsidP="0070350A">
            <w:pPr>
              <w:pStyle w:val="ListBullet"/>
            </w:pPr>
            <w:r w:rsidRPr="0070350A">
              <w:t>assessing own work outcomes and maintaining kno</w:t>
            </w:r>
            <w:r w:rsidRPr="0070350A">
              <w:t>wledge of current codes, standards, regulations and industry practices</w:t>
            </w:r>
          </w:p>
          <w:p w:rsidR="00000000" w:rsidRPr="0070350A" w:rsidP="0070350A">
            <w:pPr>
              <w:pStyle w:val="ListBullet"/>
            </w:pPr>
            <w:r w:rsidRPr="0070350A">
              <w:t>communicating knowledge and ideas through verbal, written and visual means</w:t>
            </w:r>
          </w:p>
          <w:p w:rsidR="00000000" w:rsidRPr="0070350A" w:rsidP="0070350A">
            <w:pPr>
              <w:pStyle w:val="ListBullet"/>
            </w:pPr>
            <w:r w:rsidRPr="0070350A">
              <w:t>explaining advanced principles of engineering thermodynamics</w:t>
            </w:r>
          </w:p>
          <w:p w:rsidR="00000000" w:rsidRPr="0070350A" w:rsidP="0070350A">
            <w:pPr>
              <w:pStyle w:val="ListBullet"/>
            </w:pPr>
            <w:r w:rsidRPr="0070350A">
              <w:t>identifying and applying relevant mathematical formulas and techniques to solve advanced problems related to engineering thermodynamics</w:t>
            </w:r>
          </w:p>
          <w:p w:rsidR="00000000" w:rsidRPr="0070350A" w:rsidP="0070350A">
            <w:pPr>
              <w:pStyle w:val="ListBullet"/>
            </w:pPr>
            <w:r w:rsidRPr="0070350A">
              <w:t>identifying and interpreting numerical and graphical information, and performing advanced mathematical calculations rela</w:t>
            </w:r>
            <w:r w:rsidRPr="0070350A">
              <w:t>ted to engineering thermodynamics, such as calculation of power, isentropic efficiencies, thermal efficiency, and work and fuel consumption for gas turbine cycles</w:t>
            </w:r>
          </w:p>
          <w:p w:rsidR="00000000" w:rsidRPr="0070350A" w:rsidP="0070350A">
            <w:pPr>
              <w:pStyle w:val="ListBullet"/>
            </w:pPr>
            <w:r w:rsidRPr="0070350A">
              <w:t>identifying, collating and processing information required to perform advanced calculations r</w:t>
            </w:r>
            <w:r w:rsidRPr="0070350A">
              <w:t>elated to engineering thermodynamics</w:t>
            </w:r>
          </w:p>
          <w:p w:rsidR="00000000" w:rsidRPr="0070350A" w:rsidP="0070350A">
            <w:pPr>
              <w:pStyle w:val="ListBullet"/>
            </w:pPr>
            <w:r w:rsidRPr="0070350A">
              <w:t>reading and interpreting written information needed to perform complex calculations related to engineering thermodynamics</w:t>
            </w:r>
          </w:p>
          <w:p w:rsidR="00000000" w:rsidRPr="0070350A" w:rsidP="0070350A">
            <w:pPr>
              <w:pStyle w:val="ListBullet"/>
            </w:pPr>
            <w:r w:rsidRPr="0070350A">
              <w:t>solving problems using appropriate laws and principles</w:t>
            </w:r>
          </w:p>
          <w:p w:rsidR="00000000" w:rsidRPr="0070350A" w:rsidP="0070350A">
            <w:pPr>
              <w:pStyle w:val="ListBullet"/>
            </w:pPr>
            <w:r w:rsidRPr="0070350A">
              <w:t>using calculators to perform accurate, rel</w:t>
            </w:r>
            <w:r w:rsidRPr="0070350A">
              <w:t>iable and complex mathematical calculations.</w:t>
            </w:r>
          </w:p>
        </w:tc>
      </w:tr>
    </w:tbl>
    <w:p w:rsidR="00000000" w:rsidRPr="0070350A" w:rsidP="0070350A">
      <w:pPr>
        <w:pStyle w:val="NoPaddingFontSize1"/>
      </w:pPr>
    </w:p>
    <w:p w:rsidR="00000000" w:rsidRPr="0070350A" w:rsidP="0070350A">
      <w:pPr>
        <w:pStyle w:val="AllowPageBreak"/>
      </w:pPr>
    </w:p>
    <w:p w:rsidR="00000000" w:rsidRPr="0070350A" w:rsidP="0070350A">
      <w:pPr>
        <w:pStyle w:val="Heading1"/>
      </w:pPr>
      <w:bookmarkStart w:id="13" w:name="O_1087667"/>
      <w:bookmarkEnd w:id="13"/>
      <w:r w:rsidRPr="0070350A">
        <w:t>Knowledge Evidence</w:t>
      </w:r>
    </w:p>
    <w:tbl>
      <w:tblPr>
        <w:tblW w:w="9497" w:type="dxa"/>
        <w:tblLayout w:type="fixed"/>
        <w:tblCellMar>
          <w:left w:w="62" w:type="dxa"/>
          <w:right w:w="62" w:type="dxa"/>
        </w:tblCellMar>
        <w:tblLook w:val="0000"/>
      </w:tblPr>
      <w:tblGrid>
        <w:gridCol w:w="9497"/>
      </w:tblGrid>
      <w:tr w:rsidTr="00703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t>Evidence required to demonstrate competence in this unit must be relevant to and satisfy all of the requirements of the elements and performance criteria and include knowl</w:t>
            </w:r>
            <w:r w:rsidRPr="0070350A">
              <w:t>edge of:</w:t>
            </w:r>
          </w:p>
          <w:p w:rsidR="00000000" w:rsidRPr="0070350A" w:rsidP="0070350A">
            <w:pPr>
              <w:pStyle w:val="ListBullet"/>
            </w:pPr>
            <w:r w:rsidRPr="0070350A">
              <w:t>air compressors, including:</w:t>
            </w:r>
          </w:p>
          <w:p w:rsidR="00000000" w:rsidRPr="0070350A" w:rsidP="0070350A">
            <w:pPr>
              <w:pStyle w:val="ListBullet2"/>
            </w:pPr>
            <w:r w:rsidRPr="0070350A">
              <w:t>components</w:t>
            </w:r>
          </w:p>
          <w:p w:rsidR="00000000" w:rsidRPr="0070350A" w:rsidP="0070350A">
            <w:pPr>
              <w:pStyle w:val="ListBullet2"/>
            </w:pPr>
            <w:r w:rsidRPr="0070350A">
              <w:t>faults and hazards</w:t>
            </w:r>
          </w:p>
          <w:p w:rsidR="00000000" w:rsidRPr="0070350A" w:rsidP="0070350A">
            <w:pPr>
              <w:pStyle w:val="ListBullet2"/>
            </w:pPr>
            <w:r w:rsidRPr="0070350A">
              <w:t>first law of thermodynamics</w:t>
            </w:r>
          </w:p>
          <w:p w:rsidR="00000000" w:rsidRPr="0070350A" w:rsidP="0070350A">
            <w:pPr>
              <w:pStyle w:val="ListBullet2"/>
            </w:pPr>
            <w:r w:rsidRPr="0070350A">
              <w:t>operating cycle of reciprocating air compressors</w:t>
            </w:r>
          </w:p>
          <w:p w:rsidR="00000000" w:rsidRPr="0070350A" w:rsidP="0070350A">
            <w:pPr>
              <w:pStyle w:val="ListBullet2"/>
            </w:pPr>
            <w:r w:rsidRPr="0070350A">
              <w:t>performance characteristics</w:t>
            </w:r>
          </w:p>
          <w:p w:rsidR="00000000" w:rsidRPr="0070350A" w:rsidP="0070350A">
            <w:pPr>
              <w:pStyle w:val="ListBullet2"/>
            </w:pPr>
            <w:r w:rsidRPr="0070350A">
              <w:t>property diagrams</w:t>
            </w:r>
          </w:p>
          <w:p w:rsidR="00000000" w:rsidRPr="0070350A" w:rsidP="0070350A">
            <w:pPr>
              <w:pStyle w:val="ListBullet2"/>
            </w:pPr>
            <w:r w:rsidRPr="0070350A">
              <w:t>types</w:t>
            </w:r>
          </w:p>
          <w:p w:rsidR="00000000" w:rsidRPr="0070350A" w:rsidP="0070350A">
            <w:pPr>
              <w:pStyle w:val="ListBullet2"/>
            </w:pPr>
            <w:r w:rsidRPr="0070350A">
              <w:t>uses</w:t>
            </w:r>
          </w:p>
          <w:p w:rsidR="00000000" w:rsidRPr="0070350A" w:rsidP="0070350A">
            <w:pPr>
              <w:pStyle w:val="ListBullet2"/>
            </w:pPr>
            <w:r w:rsidRPr="0070350A">
              <w:t>working principles of reciprocating compressors</w:t>
            </w:r>
          </w:p>
          <w:p w:rsidR="00000000" w:rsidRPr="0070350A" w:rsidP="0070350A">
            <w:pPr>
              <w:pStyle w:val="ListBullet2"/>
            </w:pPr>
            <w:r w:rsidRPr="0070350A">
              <w:t>atomic and molecular weights and the kilogram-mole (kg-mol)</w:t>
            </w:r>
          </w:p>
          <w:p w:rsidR="00000000" w:rsidRPr="0070350A" w:rsidP="0070350A">
            <w:pPr>
              <w:pStyle w:val="ListBullet2"/>
            </w:pPr>
            <w:r w:rsidRPr="0070350A">
              <w:t>basic gas expansion and contraction, heat transfer</w:t>
            </w:r>
          </w:p>
          <w:p w:rsidR="00000000" w:rsidRPr="0070350A" w:rsidP="0070350A">
            <w:pPr>
              <w:pStyle w:val="ListBullet2"/>
            </w:pPr>
            <w:r w:rsidRPr="0070350A">
              <w:t>basic principles of engineering thermodynamics</w:t>
            </w:r>
          </w:p>
          <w:p w:rsidR="00000000" w:rsidRPr="0070350A" w:rsidP="0070350A">
            <w:pPr>
              <w:pStyle w:val="ListBullet2"/>
            </w:pPr>
            <w:r w:rsidRPr="0070350A">
              <w:t>Daltons Law of partial pressures</w:t>
            </w:r>
          </w:p>
          <w:p w:rsidR="00000000" w:rsidRPr="0070350A" w:rsidP="0070350A">
            <w:pPr>
              <w:pStyle w:val="ListBullet2"/>
            </w:pPr>
            <w:r w:rsidRPr="0070350A">
              <w:t>enthalpy</w:t>
            </w:r>
          </w:p>
          <w:p w:rsidR="00000000" w:rsidRPr="0070350A" w:rsidP="0070350A">
            <w:pPr>
              <w:pStyle w:val="ListBullet2"/>
            </w:pPr>
            <w:r w:rsidRPr="0070350A">
              <w:t>expansion and compression of gases</w:t>
            </w:r>
          </w:p>
          <w:p w:rsidR="00000000" w:rsidRPr="0070350A" w:rsidP="0070350A">
            <w:pPr>
              <w:pStyle w:val="ListBullet2"/>
            </w:pPr>
            <w:r w:rsidRPr="0070350A">
              <w:t>fluid properties, including:</w:t>
            </w:r>
          </w:p>
          <w:p w:rsidR="00000000" w:rsidRPr="0070350A" w:rsidP="0070350A">
            <w:pPr>
              <w:pStyle w:val="ListBullet3"/>
            </w:pPr>
            <w:r w:rsidRPr="0070350A">
              <w:t>density</w:t>
            </w:r>
          </w:p>
          <w:p w:rsidR="00000000" w:rsidRPr="0070350A" w:rsidP="0070350A">
            <w:pPr>
              <w:pStyle w:val="ListBullet3"/>
            </w:pPr>
            <w:r w:rsidRPr="0070350A">
              <w:t>dryness faction</w:t>
            </w:r>
          </w:p>
          <w:p w:rsidR="00000000" w:rsidRPr="0070350A" w:rsidP="0070350A">
            <w:pPr>
              <w:pStyle w:val="ListBullet3"/>
            </w:pPr>
            <w:r w:rsidRPr="0070350A">
              <w:t>enthalpy of water</w:t>
            </w:r>
          </w:p>
          <w:p w:rsidR="00000000" w:rsidRPr="0070350A" w:rsidP="0070350A">
            <w:pPr>
              <w:pStyle w:val="ListBullet3"/>
            </w:pPr>
            <w:r w:rsidRPr="0070350A">
              <w:t>pressure</w:t>
            </w:r>
          </w:p>
          <w:p w:rsidR="00000000" w:rsidRPr="0070350A" w:rsidP="0070350A">
            <w:pPr>
              <w:pStyle w:val="ListBullet3"/>
            </w:pPr>
            <w:r w:rsidRPr="0070350A">
              <w:t>saturated steam</w:t>
            </w:r>
          </w:p>
          <w:p w:rsidR="00000000" w:rsidRPr="0070350A" w:rsidP="0070350A">
            <w:pPr>
              <w:pStyle w:val="ListBullet3"/>
            </w:pPr>
            <w:r w:rsidRPr="0070350A">
              <w:t>specific volume</w:t>
            </w:r>
          </w:p>
          <w:p w:rsidR="00000000" w:rsidRPr="0070350A" w:rsidP="0070350A">
            <w:pPr>
              <w:pStyle w:val="ListBullet3"/>
            </w:pPr>
            <w:r w:rsidRPr="0070350A">
              <w:t>superheated steam</w:t>
            </w:r>
          </w:p>
          <w:p w:rsidR="00000000" w:rsidRPr="0070350A" w:rsidP="0070350A">
            <w:pPr>
              <w:pStyle w:val="ListBullet3"/>
            </w:pPr>
            <w:r w:rsidRPr="0070350A">
              <w:t>temperature</w:t>
            </w:r>
          </w:p>
          <w:p w:rsidR="00000000" w:rsidRPr="0070350A" w:rsidP="0070350A">
            <w:pPr>
              <w:pStyle w:val="ListBullet"/>
            </w:pPr>
            <w:r w:rsidRPr="0070350A">
              <w:t>gas laws</w:t>
            </w:r>
          </w:p>
          <w:p w:rsidR="00000000" w:rsidRPr="0070350A" w:rsidP="0070350A">
            <w:pPr>
              <w:pStyle w:val="ListBullet"/>
            </w:pPr>
            <w:r w:rsidRPr="0070350A">
              <w:t>gas turbines</w:t>
            </w:r>
          </w:p>
          <w:p w:rsidR="00000000" w:rsidRPr="0070350A" w:rsidP="0070350A">
            <w:pPr>
              <w:pStyle w:val="ListBullet"/>
            </w:pPr>
            <w:r w:rsidRPr="0070350A">
              <w:t>heat cycles, including:</w:t>
            </w:r>
          </w:p>
          <w:p w:rsidR="00000000" w:rsidRPr="0070350A" w:rsidP="0070350A">
            <w:pPr>
              <w:pStyle w:val="ListBullet2"/>
            </w:pPr>
            <w:r w:rsidRPr="0070350A">
              <w:t>marine diesel engine</w:t>
            </w:r>
          </w:p>
          <w:p w:rsidR="00000000" w:rsidRPr="0070350A" w:rsidP="0070350A">
            <w:pPr>
              <w:pStyle w:val="ListBullet2"/>
            </w:pPr>
            <w:r w:rsidRPr="0070350A">
              <w:t>marine steam boiler and steam turbine</w:t>
            </w:r>
          </w:p>
          <w:p w:rsidR="00000000" w:rsidRPr="0070350A" w:rsidP="0070350A">
            <w:pPr>
              <w:pStyle w:val="ListBullet2"/>
            </w:pPr>
            <w:r w:rsidRPr="0070350A">
              <w:t>marine gas turbine</w:t>
            </w:r>
          </w:p>
          <w:p w:rsidR="00000000" w:rsidRPr="0070350A" w:rsidP="0070350A">
            <w:pPr>
              <w:pStyle w:val="ListBullet"/>
            </w:pPr>
            <w:r w:rsidRPr="0070350A">
              <w:t>heat transfer, including:</w:t>
            </w:r>
          </w:p>
          <w:p w:rsidR="00000000" w:rsidRPr="0070350A" w:rsidP="0070350A">
            <w:pPr>
              <w:pStyle w:val="ListBullet2"/>
            </w:pPr>
            <w:r w:rsidRPr="0070350A">
              <w:t>forms:</w:t>
            </w:r>
          </w:p>
          <w:p w:rsidR="00000000" w:rsidRPr="0070350A" w:rsidP="0070350A">
            <w:pPr>
              <w:pStyle w:val="ListBullet3"/>
            </w:pPr>
            <w:r w:rsidRPr="0070350A">
              <w:t>conduction</w:t>
            </w:r>
          </w:p>
          <w:p w:rsidR="00000000" w:rsidRPr="0070350A" w:rsidP="0070350A">
            <w:pPr>
              <w:pStyle w:val="ListBullet3"/>
            </w:pPr>
            <w:r w:rsidRPr="0070350A">
              <w:t>convection</w:t>
            </w:r>
          </w:p>
          <w:p w:rsidR="00000000" w:rsidRPr="0070350A" w:rsidP="0070350A">
            <w:pPr>
              <w:pStyle w:val="ListBullet3"/>
            </w:pPr>
            <w:r w:rsidRPr="0070350A">
              <w:t>radiation</w:t>
            </w:r>
          </w:p>
          <w:p w:rsidR="00000000" w:rsidRPr="0070350A" w:rsidP="0070350A">
            <w:pPr>
              <w:pStyle w:val="ListBullet2"/>
            </w:pPr>
            <w:r w:rsidRPr="0070350A">
              <w:t>methods</w:t>
            </w:r>
          </w:p>
          <w:p w:rsidR="00000000" w:rsidRPr="0070350A" w:rsidP="0070350A">
            <w:pPr>
              <w:pStyle w:val="ListBullet2"/>
            </w:pPr>
            <w:r w:rsidRPr="0070350A">
              <w:t>principles</w:t>
            </w:r>
          </w:p>
          <w:p w:rsidR="00000000" w:rsidRPr="0070350A" w:rsidP="0070350A">
            <w:pPr>
              <w:pStyle w:val="ListBullet"/>
            </w:pPr>
            <w:r w:rsidRPr="0070350A">
              <w:t>internal combustion engines, including:</w:t>
            </w:r>
          </w:p>
          <w:p w:rsidR="00000000" w:rsidRPr="0070350A" w:rsidP="0070350A">
            <w:pPr>
              <w:pStyle w:val="ListBullet2"/>
            </w:pPr>
            <w:r w:rsidRPr="0070350A">
              <w:t>heat engine cycles</w:t>
            </w:r>
          </w:p>
          <w:p w:rsidR="00000000" w:rsidRPr="0070350A" w:rsidP="0070350A">
            <w:pPr>
              <w:pStyle w:val="ListBullet2"/>
            </w:pPr>
            <w:r w:rsidRPr="0070350A">
              <w:t>improvements</w:t>
            </w:r>
          </w:p>
          <w:p w:rsidR="00000000" w:rsidRPr="0070350A" w:rsidP="0070350A">
            <w:pPr>
              <w:pStyle w:val="ListBullet2"/>
            </w:pPr>
            <w:r w:rsidRPr="0070350A">
              <w:t>operating principles of two-stroke and four-stroke internal combustion engines</w:t>
            </w:r>
          </w:p>
          <w:p w:rsidR="00000000" w:rsidRPr="0070350A" w:rsidP="0070350A">
            <w:pPr>
              <w:pStyle w:val="ListBullet2"/>
            </w:pPr>
            <w:r w:rsidRPr="0070350A">
              <w:t>performance characteristics</w:t>
            </w:r>
          </w:p>
          <w:p w:rsidR="00000000" w:rsidRPr="0070350A" w:rsidP="0070350A">
            <w:pPr>
              <w:pStyle w:val="ListBullet2"/>
            </w:pPr>
            <w:r w:rsidRPr="0070350A">
              <w:t>second law of thermodynamics</w:t>
            </w:r>
          </w:p>
          <w:p w:rsidR="00000000" w:rsidRPr="0070350A" w:rsidP="0070350A">
            <w:pPr>
              <w:pStyle w:val="ListBullet"/>
            </w:pPr>
            <w:r w:rsidRPr="0070350A">
              <w:t>internal combustion engine cycles</w:t>
            </w:r>
          </w:p>
          <w:p w:rsidR="00000000" w:rsidRPr="0070350A" w:rsidP="0070350A">
            <w:pPr>
              <w:pStyle w:val="ListBullet"/>
            </w:pPr>
            <w:r w:rsidRPr="0070350A">
              <w:t>key terms, including:</w:t>
            </w:r>
          </w:p>
          <w:p w:rsidR="00000000" w:rsidRPr="0070350A" w:rsidP="0070350A">
            <w:pPr>
              <w:pStyle w:val="ListBullet2"/>
            </w:pPr>
            <w:r w:rsidRPr="0070350A">
              <w:t>enthalpy of fusion</w:t>
            </w:r>
          </w:p>
          <w:p w:rsidR="00000000" w:rsidRPr="0070350A" w:rsidP="0070350A">
            <w:pPr>
              <w:pStyle w:val="ListBullet2"/>
            </w:pPr>
            <w:r w:rsidRPr="0070350A">
              <w:t>evaporation</w:t>
            </w:r>
          </w:p>
          <w:p w:rsidR="00000000" w:rsidRPr="0070350A" w:rsidP="0070350A">
            <w:pPr>
              <w:pStyle w:val="ListBullet2"/>
            </w:pPr>
            <w:r w:rsidRPr="0070350A">
              <w:t>sensible heat</w:t>
            </w:r>
          </w:p>
          <w:p w:rsidR="00000000" w:rsidRPr="0070350A" w:rsidP="0070350A">
            <w:pPr>
              <w:pStyle w:val="ListBullet2"/>
            </w:pPr>
            <w:r w:rsidRPr="0070350A">
              <w:t xml:space="preserve">transfer of heat </w:t>
            </w:r>
            <w:r w:rsidRPr="0070350A">
              <w:t>energy</w:t>
            </w:r>
          </w:p>
          <w:p w:rsidR="00000000" w:rsidRPr="0070350A" w:rsidP="0070350A">
            <w:pPr>
              <w:pStyle w:val="ListBullet"/>
            </w:pPr>
            <w:r w:rsidRPr="0070350A">
              <w:t>laws of thermodynamics</w:t>
            </w:r>
          </w:p>
          <w:p w:rsidR="00000000" w:rsidRPr="0070350A" w:rsidP="0070350A">
            <w:pPr>
              <w:pStyle w:val="ListBullet"/>
            </w:pPr>
            <w:r w:rsidRPr="0070350A">
              <w:t>methods, including:</w:t>
            </w:r>
          </w:p>
          <w:p w:rsidR="00000000" w:rsidRPr="0070350A" w:rsidP="0070350A">
            <w:pPr>
              <w:pStyle w:val="ListBullet2"/>
            </w:pPr>
            <w:r w:rsidRPr="0070350A">
              <w:t>duct attenuators</w:t>
            </w:r>
          </w:p>
          <w:p w:rsidR="00000000" w:rsidRPr="0070350A" w:rsidP="0070350A">
            <w:pPr>
              <w:pStyle w:val="ListBullet2"/>
            </w:pPr>
            <w:r w:rsidRPr="0070350A">
              <w:t>duct lining</w:t>
            </w:r>
          </w:p>
          <w:p w:rsidR="00000000" w:rsidRPr="0070350A" w:rsidP="0070350A">
            <w:pPr>
              <w:pStyle w:val="ListBullet2"/>
            </w:pPr>
            <w:r w:rsidRPr="0070350A">
              <w:t>lined duct splitters</w:t>
            </w:r>
          </w:p>
          <w:p w:rsidR="00000000" w:rsidRPr="0070350A" w:rsidP="0070350A">
            <w:pPr>
              <w:pStyle w:val="ListBullet2"/>
            </w:pPr>
            <w:r w:rsidRPr="0070350A">
              <w:t>lined plenums</w:t>
            </w:r>
          </w:p>
          <w:p w:rsidR="00000000" w:rsidRPr="0070350A" w:rsidP="0070350A">
            <w:pPr>
              <w:pStyle w:val="ListBullet2"/>
            </w:pPr>
            <w:r w:rsidRPr="0070350A">
              <w:t>natural attenuation</w:t>
            </w:r>
          </w:p>
          <w:p w:rsidR="00000000" w:rsidRPr="0070350A" w:rsidP="0070350A">
            <w:pPr>
              <w:pStyle w:val="ListBullet2"/>
            </w:pPr>
            <w:r w:rsidRPr="0070350A">
              <w:t>sound absorbing materials/placement</w:t>
            </w:r>
          </w:p>
          <w:p w:rsidR="00000000" w:rsidRPr="0070350A" w:rsidP="0070350A">
            <w:pPr>
              <w:pStyle w:val="ListBullet2"/>
            </w:pPr>
            <w:r w:rsidRPr="0070350A">
              <w:t>vibration isolators</w:t>
            </w:r>
          </w:p>
          <w:p w:rsidR="00000000" w:rsidRPr="0070350A" w:rsidP="0070350A">
            <w:pPr>
              <w:pStyle w:val="ListBullet2"/>
            </w:pPr>
            <w:r w:rsidRPr="0070350A">
              <w:t>white noise</w:t>
            </w:r>
          </w:p>
          <w:p w:rsidR="00000000" w:rsidRPr="0070350A" w:rsidP="0070350A">
            <w:pPr>
              <w:pStyle w:val="ListBullet"/>
            </w:pPr>
            <w:r w:rsidRPr="0070350A">
              <w:t>noise and vibration control, including:</w:t>
            </w:r>
          </w:p>
          <w:p w:rsidR="00000000" w:rsidRPr="0070350A" w:rsidP="0070350A">
            <w:pPr>
              <w:pStyle w:val="ListBullet2"/>
            </w:pPr>
            <w:r w:rsidRPr="0070350A">
              <w:t>fundamentals of sound</w:t>
            </w:r>
          </w:p>
          <w:p w:rsidR="00000000" w:rsidRPr="0070350A" w:rsidP="0070350A">
            <w:pPr>
              <w:pStyle w:val="ListBullet2"/>
            </w:pPr>
            <w:r w:rsidRPr="0070350A">
              <w:t>noise and vibration problems</w:t>
            </w:r>
          </w:p>
          <w:p w:rsidR="00000000" w:rsidRPr="0070350A" w:rsidP="0070350A">
            <w:pPr>
              <w:pStyle w:val="ListBullet2"/>
            </w:pPr>
            <w:r w:rsidRPr="0070350A">
              <w:t>methods of control</w:t>
            </w:r>
          </w:p>
          <w:p w:rsidR="00000000" w:rsidRPr="0070350A" w:rsidP="0070350A">
            <w:pPr>
              <w:pStyle w:val="ListBullet2"/>
            </w:pPr>
            <w:r w:rsidRPr="0070350A">
              <w:t>operating cycle of reciprocating air compressors</w:t>
            </w:r>
          </w:p>
          <w:p w:rsidR="00000000" w:rsidRPr="0070350A" w:rsidP="0070350A">
            <w:pPr>
              <w:pStyle w:val="ListBullet"/>
            </w:pPr>
            <w:r w:rsidRPr="0070350A">
              <w:t>operating principles of two-stroke and four-stroke internal combustion engines</w:t>
            </w:r>
          </w:p>
          <w:p w:rsidR="00000000" w:rsidRPr="0070350A" w:rsidP="0070350A">
            <w:pPr>
              <w:pStyle w:val="ListBullet"/>
            </w:pPr>
            <w:r w:rsidRPr="0070350A">
              <w:t>parameters, including:</w:t>
            </w:r>
          </w:p>
          <w:p w:rsidR="00000000" w:rsidRPr="0070350A" w:rsidP="0070350A">
            <w:pPr>
              <w:pStyle w:val="ListBullet2"/>
            </w:pPr>
            <w:r w:rsidRPr="0070350A">
              <w:t>adiabatic saturation or constant enthalpy</w:t>
            </w:r>
          </w:p>
          <w:p w:rsidR="00000000" w:rsidRPr="0070350A" w:rsidP="0070350A">
            <w:pPr>
              <w:pStyle w:val="ListBullet2"/>
            </w:pPr>
            <w:r w:rsidRPr="0070350A">
              <w:t>humidifying or dehumidifying</w:t>
            </w:r>
          </w:p>
          <w:p w:rsidR="00000000" w:rsidRPr="0070350A" w:rsidP="0070350A">
            <w:pPr>
              <w:pStyle w:val="ListBullet2"/>
            </w:pPr>
            <w:r w:rsidRPr="0070350A">
              <w:t>latent heat</w:t>
            </w:r>
          </w:p>
          <w:p w:rsidR="00000000" w:rsidRPr="0070350A" w:rsidP="0070350A">
            <w:pPr>
              <w:pStyle w:val="ListBullet2"/>
            </w:pPr>
            <w:r w:rsidRPr="0070350A">
              <w:t>sensible heat</w:t>
            </w:r>
          </w:p>
          <w:p w:rsidR="00000000" w:rsidRPr="0070350A" w:rsidP="0070350A">
            <w:pPr>
              <w:pStyle w:val="ListBullet"/>
            </w:pPr>
            <w:r w:rsidRPr="0070350A">
              <w:t>principles of refrigeration, including:</w:t>
            </w:r>
          </w:p>
          <w:p w:rsidR="00000000" w:rsidRPr="0070350A" w:rsidP="0070350A">
            <w:pPr>
              <w:pStyle w:val="ListBullet3"/>
            </w:pPr>
            <w:r w:rsidRPr="0070350A">
              <w:t>processes:</w:t>
            </w:r>
          </w:p>
          <w:p w:rsidR="00000000" w:rsidRPr="0070350A" w:rsidP="0070350A">
            <w:pPr>
              <w:pStyle w:val="ListBullet4"/>
            </w:pPr>
            <w:r w:rsidRPr="0070350A">
              <w:t>adiabatic</w:t>
            </w:r>
          </w:p>
          <w:p w:rsidR="00000000" w:rsidRPr="0070350A" w:rsidP="0070350A">
            <w:pPr>
              <w:pStyle w:val="ListBullet4"/>
            </w:pPr>
            <w:r w:rsidRPr="0070350A">
              <w:t>isothermal</w:t>
            </w:r>
          </w:p>
          <w:p w:rsidR="00000000" w:rsidRPr="0070350A" w:rsidP="0070350A">
            <w:pPr>
              <w:pStyle w:val="ListBullet4"/>
            </w:pPr>
            <w:r w:rsidRPr="0070350A">
              <w:t>polytropic</w:t>
            </w:r>
          </w:p>
          <w:p w:rsidR="00000000" w:rsidRPr="0070350A" w:rsidP="0070350A">
            <w:pPr>
              <w:pStyle w:val="ListBullet"/>
            </w:pPr>
            <w:r w:rsidRPr="0070350A">
              <w:t>Rankine cycle</w:t>
            </w:r>
          </w:p>
          <w:p w:rsidR="00000000" w:rsidRPr="0070350A" w:rsidP="0070350A">
            <w:pPr>
              <w:pStyle w:val="ListBullet"/>
            </w:pPr>
            <w:r w:rsidRPr="0070350A">
              <w:t>refrigeration and air conditioning (RAC) cycles and systems</w:t>
            </w:r>
          </w:p>
          <w:p w:rsidR="00000000" w:rsidRPr="0070350A" w:rsidP="0070350A">
            <w:pPr>
              <w:pStyle w:val="ListBullet"/>
            </w:pPr>
            <w:r w:rsidRPr="0070350A">
              <w:t>steam plants</w:t>
            </w:r>
          </w:p>
          <w:p w:rsidR="00000000" w:rsidRPr="0070350A" w:rsidP="0070350A">
            <w:pPr>
              <w:pStyle w:val="ListBullet"/>
            </w:pPr>
            <w:r w:rsidRPr="0070350A">
              <w:t xml:space="preserve">International System of Units (SI) </w:t>
            </w:r>
          </w:p>
          <w:p w:rsidR="00000000" w:rsidRPr="0070350A" w:rsidP="0070350A">
            <w:pPr>
              <w:pStyle w:val="ListBullet"/>
            </w:pPr>
            <w:r w:rsidRPr="0070350A">
              <w:t>tables and/or diagrams, including:</w:t>
            </w:r>
          </w:p>
          <w:p w:rsidR="00000000" w:rsidRPr="0070350A" w:rsidP="0070350A">
            <w:pPr>
              <w:pStyle w:val="ListBullet2"/>
            </w:pPr>
            <w:r w:rsidRPr="0070350A">
              <w:t>pressure-enthalpy</w:t>
            </w:r>
          </w:p>
          <w:p w:rsidR="00000000" w:rsidRPr="0070350A" w:rsidP="0070350A">
            <w:pPr>
              <w:pStyle w:val="ListBullet2"/>
            </w:pPr>
            <w:r w:rsidRPr="0070350A">
              <w:t>pressure-specific volume</w:t>
            </w:r>
          </w:p>
          <w:p w:rsidR="00000000" w:rsidRPr="0070350A" w:rsidP="0070350A">
            <w:pPr>
              <w:pStyle w:val="ListBullet2"/>
            </w:pPr>
            <w:r w:rsidRPr="0070350A">
              <w:t>specific enthalpy-specific entropy</w:t>
            </w:r>
          </w:p>
          <w:p w:rsidR="00000000" w:rsidRPr="0070350A" w:rsidP="0070350A">
            <w:pPr>
              <w:pStyle w:val="ListBullet2"/>
            </w:pPr>
            <w:r w:rsidRPr="0070350A">
              <w:t>temperature-pressure</w:t>
            </w:r>
          </w:p>
          <w:p w:rsidR="00000000" w:rsidRPr="0070350A" w:rsidP="0070350A">
            <w:pPr>
              <w:pStyle w:val="ListBullet2"/>
            </w:pPr>
            <w:r w:rsidRPr="0070350A">
              <w:t>temperature-</w:t>
            </w:r>
            <w:r w:rsidRPr="0070350A">
              <w:t>specific enthalpy</w:t>
            </w:r>
          </w:p>
          <w:p w:rsidR="00000000" w:rsidRPr="0070350A" w:rsidP="0070350A">
            <w:pPr>
              <w:pStyle w:val="ListBullet2"/>
            </w:pPr>
            <w:r w:rsidRPr="0070350A">
              <w:t>temperature-specific entropy</w:t>
            </w:r>
          </w:p>
          <w:p w:rsidR="00000000" w:rsidRPr="0070350A" w:rsidP="0070350A">
            <w:pPr>
              <w:pStyle w:val="ListBullet"/>
            </w:pPr>
            <w:r w:rsidRPr="0070350A">
              <w:t>thermodynamic and heat transmission, including:</w:t>
            </w:r>
          </w:p>
          <w:p w:rsidR="00000000" w:rsidRPr="0070350A" w:rsidP="0070350A">
            <w:pPr>
              <w:pStyle w:val="ListBullet2"/>
            </w:pPr>
            <w:r w:rsidRPr="0070350A">
              <w:t>air conditioning combustion</w:t>
            </w:r>
          </w:p>
          <w:p w:rsidR="00000000" w:rsidRPr="0070350A" w:rsidP="0070350A">
            <w:pPr>
              <w:pStyle w:val="ListBullet2"/>
            </w:pPr>
            <w:r w:rsidRPr="0070350A">
              <w:t>gas cycles/engine analysis</w:t>
            </w:r>
          </w:p>
          <w:p w:rsidR="00000000" w:rsidRPr="0070350A" w:rsidP="0070350A">
            <w:pPr>
              <w:pStyle w:val="ListBullet2"/>
            </w:pPr>
            <w:r w:rsidRPr="0070350A">
              <w:t>heat transfer</w:t>
            </w:r>
          </w:p>
          <w:p w:rsidR="00000000" w:rsidRPr="0070350A" w:rsidP="0070350A">
            <w:pPr>
              <w:pStyle w:val="ListBullet2"/>
            </w:pPr>
            <w:r w:rsidRPr="0070350A">
              <w:t>properties and vapours</w:t>
            </w:r>
          </w:p>
          <w:p w:rsidR="00000000" w:rsidRPr="0070350A" w:rsidP="0070350A">
            <w:pPr>
              <w:pStyle w:val="ListBullet2"/>
            </w:pPr>
            <w:r w:rsidRPr="0070350A">
              <w:t>refrigeration</w:t>
            </w:r>
          </w:p>
          <w:p w:rsidR="00000000" w:rsidRPr="0070350A" w:rsidP="0070350A">
            <w:pPr>
              <w:pStyle w:val="ListBullet2"/>
            </w:pPr>
            <w:r w:rsidRPr="0070350A">
              <w:t>steam cycles</w:t>
            </w:r>
          </w:p>
          <w:p w:rsidR="00000000" w:rsidRPr="0070350A" w:rsidP="0070350A">
            <w:pPr>
              <w:pStyle w:val="ListBullet"/>
            </w:pPr>
            <w:r w:rsidRPr="0070350A">
              <w:t>thermodynamic principles</w:t>
            </w:r>
          </w:p>
          <w:p w:rsidR="00000000" w:rsidRPr="0070350A" w:rsidP="0070350A">
            <w:pPr>
              <w:pStyle w:val="ListBullet"/>
            </w:pPr>
            <w:r w:rsidRPr="0070350A">
              <w:t>thermodynamic processes, including:</w:t>
            </w:r>
          </w:p>
          <w:p w:rsidR="00000000" w:rsidRPr="0070350A" w:rsidP="0070350A">
            <w:pPr>
              <w:pStyle w:val="ListBullet2"/>
            </w:pPr>
            <w:r w:rsidRPr="0070350A">
              <w:t>adiabatic</w:t>
            </w:r>
          </w:p>
          <w:p w:rsidR="00000000" w:rsidRPr="0070350A" w:rsidP="0070350A">
            <w:pPr>
              <w:pStyle w:val="ListBullet2"/>
            </w:pPr>
            <w:r w:rsidRPr="0070350A">
              <w:t>isobaric</w:t>
            </w:r>
          </w:p>
          <w:p w:rsidR="00000000" w:rsidRPr="0070350A" w:rsidP="0070350A">
            <w:pPr>
              <w:pStyle w:val="ListBullet2"/>
            </w:pPr>
            <w:r w:rsidRPr="0070350A">
              <w:t>isochoric</w:t>
            </w:r>
          </w:p>
          <w:p w:rsidR="00000000" w:rsidRPr="0070350A" w:rsidP="0070350A">
            <w:pPr>
              <w:pStyle w:val="ListBullet2"/>
            </w:pPr>
            <w:r w:rsidRPr="0070350A">
              <w:t>isothermal</w:t>
            </w:r>
          </w:p>
          <w:p w:rsidR="00000000" w:rsidRPr="0070350A" w:rsidP="0070350A">
            <w:pPr>
              <w:pStyle w:val="ListBullet2"/>
            </w:pPr>
            <w:r w:rsidRPr="0070350A">
              <w:t>polytropic</w:t>
            </w:r>
          </w:p>
          <w:p w:rsidR="00000000" w:rsidRPr="0070350A" w:rsidP="0070350A">
            <w:pPr>
              <w:pStyle w:val="ListBullet"/>
            </w:pPr>
            <w:r w:rsidRPr="0070350A">
              <w:t>thermal efficiency calculations</w:t>
            </w:r>
          </w:p>
          <w:p w:rsidR="00000000" w:rsidRPr="0070350A" w:rsidP="0070350A">
            <w:pPr>
              <w:pStyle w:val="ListBullet"/>
            </w:pPr>
            <w:r w:rsidRPr="0070350A">
              <w:t>work health and safety (WHS)/occupational health and safety (OHS) requirements and work practices.</w:t>
            </w:r>
          </w:p>
        </w:tc>
      </w:tr>
    </w:tbl>
    <w:p w:rsidR="00000000" w:rsidRPr="0070350A" w:rsidP="0070350A">
      <w:pPr>
        <w:pStyle w:val="NoPaddingFontSize1"/>
      </w:pPr>
    </w:p>
    <w:p w:rsidR="00000000" w:rsidRPr="0070350A" w:rsidP="0070350A">
      <w:pPr>
        <w:pStyle w:val="AllowPageBreak"/>
      </w:pPr>
    </w:p>
    <w:p w:rsidR="00000000" w:rsidRPr="0070350A" w:rsidP="0070350A">
      <w:pPr>
        <w:pStyle w:val="Heading1"/>
      </w:pPr>
      <w:bookmarkStart w:id="14" w:name="O_1087668"/>
      <w:bookmarkEnd w:id="14"/>
      <w:r w:rsidRPr="0070350A">
        <w:t>Assessment Conditions</w:t>
      </w:r>
    </w:p>
    <w:tbl>
      <w:tblPr>
        <w:tblW w:w="9497" w:type="dxa"/>
        <w:tblLayout w:type="fixed"/>
        <w:tblCellMar>
          <w:left w:w="62" w:type="dxa"/>
          <w:right w:w="62" w:type="dxa"/>
        </w:tblCellMar>
        <w:tblLook w:val="0000"/>
      </w:tblPr>
      <w:tblGrid>
        <w:gridCol w:w="9497"/>
      </w:tblGrid>
      <w:tr w:rsidTr="007035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350A" w:rsidP="0070350A">
            <w:pPr>
              <w:pStyle w:val="BodyText"/>
            </w:pPr>
            <w:r w:rsidRPr="0070350A">
              <w:t>Assessors must hold credentials specified within the Standards for Registered Training Organisations current at the time of assessment.</w:t>
            </w:r>
          </w:p>
          <w:p w:rsidR="00000000" w:rsidRPr="0070350A" w:rsidP="0070350A">
            <w:pPr>
              <w:pStyle w:val="BodyText"/>
            </w:pPr>
            <w:r w:rsidRPr="0070350A">
              <w:t xml:space="preserve">Assessment must satisfy the Principles of Assessment and Rules of Evidence and all regulatory </w:t>
            </w:r>
            <w:r w:rsidRPr="0070350A">
              <w:t xml:space="preserve">requirements included within the Standards for Registered Training Organisations current at the time of assessment.  </w:t>
            </w:r>
          </w:p>
          <w:p w:rsidR="00000000" w:rsidRPr="0070350A" w:rsidP="0070350A">
            <w:pPr>
              <w:pStyle w:val="BodyText"/>
            </w:pPr>
            <w:r w:rsidRPr="0070350A">
              <w:t xml:space="preserve">Assessment processes and techniques must be </w:t>
            </w:r>
            <w:r w:rsidRPr="0070350A">
              <w:t>appropriate to the language, literacy and numeracy requirements of the work being performed and the needs of the candidate.</w:t>
            </w:r>
          </w:p>
          <w:p w:rsidR="00000000" w:rsidRPr="0070350A" w:rsidP="0070350A">
            <w:pPr>
              <w:pStyle w:val="BodyText"/>
            </w:pPr>
            <w:r w:rsidRPr="0070350A">
              <w:t xml:space="preserve">Practical assessment must occur in a workplace, or realistic simulated workplace, under the normal range of workplace conditions. </w:t>
            </w:r>
          </w:p>
          <w:p w:rsidR="00000000" w:rsidRPr="0070350A" w:rsidP="0070350A">
            <w:pPr>
              <w:pStyle w:val="BodyText"/>
            </w:pPr>
            <w:r w:rsidRPr="0070350A">
              <w:t>S</w:t>
            </w:r>
            <w:r w:rsidRPr="0070350A">
              <w:t>imulations and scenarios may be used where situations cannot be provided in the workplace or may occur only rarely, in particular for situations relating to emergency procedures and adverse weather conditions where assessment would be unsafe, impractical o</w:t>
            </w:r>
            <w:r w:rsidRPr="0070350A">
              <w:t>r may lead to environmental damage.</w:t>
            </w:r>
          </w:p>
          <w:p w:rsidR="00000000" w:rsidRPr="0070350A" w:rsidP="0070350A">
            <w:pPr>
              <w:pStyle w:val="BodyText"/>
            </w:pPr>
            <w:r w:rsidRPr="0070350A">
              <w:t>Resources for assessment must include access to:</w:t>
            </w:r>
          </w:p>
          <w:p w:rsidR="00000000" w:rsidRPr="0070350A" w:rsidP="0070350A">
            <w:pPr>
              <w:pStyle w:val="ListBullet"/>
            </w:pPr>
            <w:r w:rsidRPr="0070350A">
              <w:t>relevant documentation, including workplace procedures, regulations, codes of practice and operation manuals</w:t>
            </w:r>
          </w:p>
          <w:p w:rsidR="00000000" w:rsidRPr="0070350A" w:rsidP="0070350A">
            <w:pPr>
              <w:pStyle w:val="ListBullet"/>
            </w:pPr>
            <w:r w:rsidRPr="0070350A">
              <w:t>tools, equipment, materials, and relevant personal protective</w:t>
            </w:r>
            <w:r w:rsidRPr="0070350A">
              <w:t xml:space="preserve"> equipment (PPE) currently used in industry.</w:t>
            </w:r>
          </w:p>
        </w:tc>
      </w:tr>
    </w:tbl>
    <w:p w:rsidR="00000000" w:rsidRPr="0070350A" w:rsidP="0070350A">
      <w:pPr>
        <w:pStyle w:val="NoPaddingFontSize1"/>
      </w:pPr>
    </w:p>
    <w:p w:rsidR="00000000" w:rsidRPr="0070350A" w:rsidP="0070350A">
      <w:pPr>
        <w:pStyle w:val="AllowPageBreak"/>
      </w:pPr>
    </w:p>
    <w:p w:rsidR="00000000" w:rsidRPr="0070350A" w:rsidP="0070350A">
      <w:pPr>
        <w:pStyle w:val="Heading1"/>
      </w:pPr>
      <w:bookmarkStart w:id="15" w:name="O_1087671"/>
      <w:bookmarkEnd w:id="15"/>
      <w:r w:rsidRPr="0070350A">
        <w:t>Links</w:t>
      </w:r>
    </w:p>
    <w:p w:rsidR="00000000" w:rsidRPr="0070350A" w:rsidP="005D5C55">
      <w:pPr>
        <w:pStyle w:val="BodyText"/>
      </w:pPr>
      <w:r w:rsidRPr="0070350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2D4477">
        <w:rPr>
          <w:rStyle w:val="Hyperlink"/>
        </w:rPr>
        <w:t>https://vetnet.gov.au/Pages/TrainingDocs.aspx?q=772efb7b-4cce-47fe-9bbd-ee3b1d1eb4c2</w:t>
      </w:r>
      <w:r>
        <w:fldChar w:fldCharType="end"/>
      </w:r>
    </w:p>
    <w:p w:rsidR="00000000" w:rsidRPr="0070350A" w:rsidP="0070350A"/>
    <w:sectPr w:rsidSect="007035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50A" w:rsidRPr="005D5C55" w:rsidP="005D5C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C55" w:rsidP="00703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5D5C55" w:rsidP="007035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D5C55" w:rsidP="007035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50A" w:rsidP="0070350A">
    <w:pPr>
      <w:pStyle w:val="Footer"/>
      <w:framePr w:wrap="around"/>
    </w:pPr>
    <w:r>
      <w:fldChar w:fldCharType="begin"/>
    </w:r>
    <w:r>
      <w:instrText xml:space="preserve"> DOCPROPERTY  Subject  \* MERGEFORMAT </w:instrText>
    </w:r>
    <w:r>
      <w:fldChar w:fldCharType="separate"/>
    </w:r>
    <w:r w:rsidR="005D5C55">
      <w:t>Approved</w:t>
    </w:r>
    <w:r w:rsidR="005D5C55">
      <w:fldChar w:fldCharType="end"/>
    </w:r>
    <w:r>
      <w:tab/>
      <w:t xml:space="preserve">Page </w:t>
    </w:r>
    <w:r>
      <w:fldChar w:fldCharType="begin"/>
    </w:r>
    <w:r>
      <w:instrText xml:space="preserve"> PAGE  \* Arabic  \* MERGEFORMAT </w:instrText>
    </w:r>
    <w:r>
      <w:fldChar w:fldCharType="separate"/>
    </w:r>
    <w:r w:rsidR="005D5C55">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5C55">
      <w:rPr>
        <w:noProof/>
      </w:rPr>
      <w:t>9</w:t>
    </w:r>
    <w:r>
      <w:rPr>
        <w:noProof/>
      </w:rPr>
      <w:fldChar w:fldCharType="end"/>
    </w:r>
  </w:p>
  <w:p w:rsidR="0070350A" w:rsidP="0070350A">
    <w:pPr>
      <w:pStyle w:val="Footer"/>
      <w:framePr w:wrap="around"/>
    </w:pPr>
    <w:r>
      <w:t xml:space="preserve">© Commonwealth of Australia, </w:t>
    </w:r>
    <w:r>
      <w:fldChar w:fldCharType="begin"/>
    </w:r>
    <w:r>
      <w:instrText xml:space="preserve"> DATE  \@ "yyyy"  \* MERGEFORMAT </w:instrText>
    </w:r>
    <w:r>
      <w:fldChar w:fldCharType="separate"/>
    </w:r>
    <w:r w:rsidR="005D5C55">
      <w:rPr>
        <w:noProof/>
      </w:rPr>
      <w:t>2025</w:t>
    </w:r>
    <w:r>
      <w:fldChar w:fldCharType="end"/>
    </w:r>
    <w:r>
      <w:tab/>
    </w:r>
    <w:r>
      <w:fldChar w:fldCharType="begin"/>
    </w:r>
    <w:r>
      <w:instrText xml:space="preserve"> DOCPROPERTY  Author  \* MERGEFORMAT </w:instrText>
    </w:r>
    <w:r>
      <w:fldChar w:fldCharType="separate"/>
    </w:r>
    <w:r w:rsidR="005D5C55">
      <w:t>Industry Skills Australia</w:t>
    </w:r>
    <w:r w:rsidR="005D5C55">
      <w:fldChar w:fldCharType="end"/>
    </w:r>
  </w:p>
  <w:p w:rsidR="0070350A" w:rsidP="007035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C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50A" w:rsidRPr="005D5C55" w:rsidP="005D5C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C55" w:rsidRPr="002D2AF8" w:rsidP="0070350A">
    <w:pPr>
      <w:pStyle w:val="Header"/>
      <w:framePr w:wrap="around"/>
    </w:pPr>
    <w:r>
      <w:fldChar w:fldCharType="begin"/>
    </w:r>
    <w:r>
      <w:instrText xml:space="preserve"> TITLE   \* MERGEFORMAT </w:instrText>
    </w:r>
    <w:r>
      <w:fldChar w:fldCharType="separate"/>
    </w:r>
    <w:r>
      <w:t>MARL039 Apply advanced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5C55" w:rsidP="007035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50A" w:rsidRPr="002D2AF8" w:rsidP="0070350A">
    <w:pPr>
      <w:pStyle w:val="Header"/>
      <w:framePr w:wrap="around"/>
    </w:pPr>
    <w:r>
      <w:fldChar w:fldCharType="begin"/>
    </w:r>
    <w:r>
      <w:instrText xml:space="preserve"> TITLE   \* MERGEFORMAT </w:instrText>
    </w:r>
    <w:r>
      <w:fldChar w:fldCharType="separate"/>
    </w:r>
    <w:r w:rsidR="005D5C55">
      <w:t>MARL039 Apply advanced principles of marine engineering thermodynamics</w:t>
    </w:r>
    <w:r w:rsidR="005D5C55">
      <w:fldChar w:fldCharType="end"/>
    </w:r>
    <w:r>
      <w:tab/>
      <w:t xml:space="preserve">Date this document was generated: </w:t>
    </w:r>
    <w:r>
      <w:fldChar w:fldCharType="begin"/>
    </w:r>
    <w:r>
      <w:instrText xml:space="preserve"> CREATEDATE  \@ "d MMMM yyyy"  \* MERGEFORMAT </w:instrText>
    </w:r>
    <w:r>
      <w:fldChar w:fldCharType="separate"/>
    </w:r>
    <w:r w:rsidR="005D5C55">
      <w:rPr>
        <w:noProof/>
      </w:rPr>
      <w:t>2 March 2025</w:t>
    </w:r>
    <w:r>
      <w:fldChar w:fldCharType="end"/>
    </w:r>
  </w:p>
  <w:p w:rsidR="0070350A" w:rsidP="007035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4A7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4E7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E48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5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50A"/>
    <w:pPr>
      <w:spacing w:before="360" w:after="60"/>
      <w:outlineLvl w:val="0"/>
    </w:pPr>
    <w:rPr>
      <w:sz w:val="32"/>
    </w:rPr>
  </w:style>
  <w:style w:type="paragraph" w:styleId="Heading2">
    <w:name w:val="heading 2"/>
    <w:basedOn w:val="HeadingBase"/>
    <w:next w:val="BodyText"/>
    <w:link w:val="Heading2Char"/>
    <w:qFormat/>
    <w:rsid w:val="0070350A"/>
    <w:pPr>
      <w:keepLines/>
      <w:spacing w:before="240" w:after="120"/>
      <w:outlineLvl w:val="1"/>
    </w:pPr>
    <w:rPr>
      <w:sz w:val="28"/>
      <w:szCs w:val="40"/>
    </w:rPr>
  </w:style>
  <w:style w:type="paragraph" w:styleId="Heading3">
    <w:name w:val="heading 3"/>
    <w:basedOn w:val="HeadingBase"/>
    <w:next w:val="BodyText"/>
    <w:link w:val="Heading3Char"/>
    <w:qFormat/>
    <w:rsid w:val="0070350A"/>
    <w:pPr>
      <w:spacing w:before="180" w:after="120"/>
      <w:outlineLvl w:val="2"/>
    </w:pPr>
    <w:rPr>
      <w:spacing w:val="-10"/>
      <w:kern w:val="32"/>
    </w:rPr>
  </w:style>
  <w:style w:type="paragraph" w:styleId="Heading4">
    <w:name w:val="heading 4"/>
    <w:basedOn w:val="HeadingBase"/>
    <w:next w:val="BodyText"/>
    <w:link w:val="Heading4Char"/>
    <w:qFormat/>
    <w:rsid w:val="0070350A"/>
    <w:pPr>
      <w:spacing w:before="160" w:after="120"/>
      <w:outlineLvl w:val="3"/>
    </w:pPr>
    <w:rPr>
      <w:sz w:val="22"/>
    </w:rPr>
  </w:style>
  <w:style w:type="paragraph" w:styleId="Heading5">
    <w:name w:val="heading 5"/>
    <w:basedOn w:val="HeadingBase"/>
    <w:next w:val="Normal"/>
    <w:link w:val="Heading5Char"/>
    <w:qFormat/>
    <w:rsid w:val="0070350A"/>
    <w:pPr>
      <w:spacing w:before="80"/>
      <w:outlineLvl w:val="4"/>
    </w:pPr>
    <w:rPr>
      <w:color w:val="918585"/>
      <w:sz w:val="20"/>
    </w:rPr>
  </w:style>
  <w:style w:type="paragraph" w:styleId="Heading6">
    <w:name w:val="heading 6"/>
    <w:basedOn w:val="HeadingBase"/>
    <w:next w:val="Normal"/>
    <w:link w:val="Heading6Char"/>
    <w:qFormat/>
    <w:rsid w:val="0070350A"/>
    <w:pPr>
      <w:spacing w:before="60"/>
      <w:outlineLvl w:val="5"/>
    </w:pPr>
    <w:rPr>
      <w:color w:val="918585"/>
      <w:sz w:val="20"/>
    </w:rPr>
  </w:style>
  <w:style w:type="paragraph" w:styleId="Heading7">
    <w:name w:val="heading 7"/>
    <w:basedOn w:val="Normal"/>
    <w:next w:val="Normal"/>
    <w:link w:val="Heading7Char"/>
    <w:qFormat/>
    <w:rsid w:val="0070350A"/>
    <w:pPr>
      <w:ind w:left="720"/>
      <w:outlineLvl w:val="6"/>
    </w:pPr>
    <w:rPr>
      <w:i/>
    </w:rPr>
  </w:style>
  <w:style w:type="paragraph" w:styleId="Heading8">
    <w:name w:val="heading 8"/>
    <w:basedOn w:val="Normal"/>
    <w:next w:val="Normal"/>
    <w:link w:val="Heading8Char"/>
    <w:qFormat/>
    <w:rsid w:val="0070350A"/>
    <w:pPr>
      <w:ind w:left="720"/>
      <w:outlineLvl w:val="7"/>
    </w:pPr>
    <w:rPr>
      <w:i/>
    </w:rPr>
  </w:style>
  <w:style w:type="paragraph" w:styleId="Heading9">
    <w:name w:val="heading 9"/>
    <w:basedOn w:val="Normal"/>
    <w:next w:val="Normal"/>
    <w:link w:val="Heading9Char"/>
    <w:qFormat/>
    <w:rsid w:val="0070350A"/>
    <w:pPr>
      <w:ind w:left="720"/>
      <w:outlineLvl w:val="8"/>
    </w:pPr>
    <w:rPr>
      <w:i/>
    </w:rPr>
  </w:style>
  <w:style w:type="character" w:default="1" w:styleId="DefaultParagraphFont">
    <w:name w:val="Default Paragraph Font"/>
    <w:uiPriority w:val="1"/>
    <w:unhideWhenUsed/>
    <w:rsid w:val="00703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50A"/>
  </w:style>
  <w:style w:type="character" w:customStyle="1" w:styleId="Heading1Char">
    <w:name w:val="Heading 1 Char"/>
    <w:basedOn w:val="DefaultParagraphFont"/>
    <w:link w:val="Heading1"/>
    <w:rsid w:val="0070350A"/>
    <w:rPr>
      <w:rFonts w:ascii="Times New Roman" w:eastAsia="Times New Roman" w:hAnsi="Times New Roman" w:cs="Times New Roman"/>
      <w:b/>
      <w:sz w:val="32"/>
      <w:szCs w:val="20"/>
      <w:lang w:eastAsia="en-US"/>
    </w:rPr>
  </w:style>
  <w:style w:type="paragraph" w:styleId="BodyText">
    <w:name w:val="Body Text"/>
    <w:basedOn w:val="Normal"/>
    <w:link w:val="BodyTextChar"/>
    <w:rsid w:val="007035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50A"/>
    <w:rPr>
      <w:rFonts w:ascii="Times New Roman" w:eastAsia="Times New Roman" w:hAnsi="Times New Roman" w:cs="Times New Roman"/>
      <w:sz w:val="24"/>
      <w:lang w:eastAsia="en-US"/>
    </w:rPr>
  </w:style>
  <w:style w:type="paragraph" w:styleId="ListBullet">
    <w:name w:val="List Bullet"/>
    <w:basedOn w:val="List"/>
    <w:rsid w:val="0070350A"/>
    <w:pPr>
      <w:numPr>
        <w:numId w:val="14"/>
      </w:numPr>
      <w:tabs>
        <w:tab w:val="clear" w:pos="340"/>
      </w:tabs>
      <w:spacing w:before="40" w:after="40"/>
    </w:pPr>
  </w:style>
  <w:style w:type="character" w:customStyle="1" w:styleId="SpecialBold">
    <w:name w:val="Special Bold"/>
    <w:basedOn w:val="DefaultParagraphFont"/>
    <w:rsid w:val="0070350A"/>
    <w:rPr>
      <w:b/>
      <w:spacing w:val="0"/>
    </w:rPr>
  </w:style>
  <w:style w:type="paragraph" w:styleId="ListBullet2">
    <w:name w:val="List Bullet 2"/>
    <w:basedOn w:val="List2"/>
    <w:rsid w:val="0070350A"/>
    <w:pPr>
      <w:numPr>
        <w:numId w:val="15"/>
      </w:numPr>
      <w:tabs>
        <w:tab w:val="clear" w:pos="680"/>
      </w:tabs>
    </w:pPr>
  </w:style>
  <w:style w:type="paragraph" w:customStyle="1" w:styleId="SuperHeading">
    <w:name w:val="SuperHeading"/>
    <w:basedOn w:val="Normal"/>
    <w:rsid w:val="0070350A"/>
    <w:pPr>
      <w:spacing w:before="240" w:after="120"/>
      <w:outlineLvl w:val="0"/>
    </w:pPr>
    <w:rPr>
      <w:rFonts w:ascii="Times New Roman" w:hAnsi="Times New Roman"/>
      <w:b/>
      <w:sz w:val="32"/>
    </w:rPr>
  </w:style>
  <w:style w:type="paragraph" w:customStyle="1" w:styleId="AllowPageBreak">
    <w:name w:val="AllowPageBreak"/>
    <w:rsid w:val="007035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350A"/>
    <w:pPr>
      <w:numPr>
        <w:numId w:val="3"/>
      </w:numPr>
      <w:tabs>
        <w:tab w:val="clear" w:pos="1021"/>
      </w:tabs>
      <w:ind w:left="1037" w:hanging="357"/>
    </w:pPr>
  </w:style>
  <w:style w:type="paragraph" w:styleId="ListBullet4">
    <w:name w:val="List Bullet 4"/>
    <w:basedOn w:val="List4"/>
    <w:rsid w:val="0070350A"/>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3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5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5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50A"/>
    <w:rPr>
      <w:rFonts w:ascii="Courier New" w:eastAsia="Times New Roman" w:hAnsi="Courier New" w:cs="Times New Roman"/>
      <w:i/>
      <w:szCs w:val="20"/>
      <w:lang w:eastAsia="en-US"/>
    </w:rPr>
  </w:style>
  <w:style w:type="paragraph" w:customStyle="1" w:styleId="HeadingBase">
    <w:name w:val="Heading Base"/>
    <w:rsid w:val="00703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50A"/>
    <w:pPr>
      <w:tabs>
        <w:tab w:val="right" w:leader="dot" w:pos="9072"/>
      </w:tabs>
      <w:ind w:left="567"/>
    </w:pPr>
    <w:rPr>
      <w:szCs w:val="22"/>
    </w:rPr>
  </w:style>
  <w:style w:type="paragraph" w:customStyle="1" w:styleId="TOCBase">
    <w:name w:val="TOC Base"/>
    <w:rsid w:val="00703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50A"/>
    <w:pPr>
      <w:tabs>
        <w:tab w:val="right" w:leader="dot" w:pos="9072"/>
      </w:tabs>
      <w:spacing w:before="40" w:after="40"/>
      <w:ind w:left="284"/>
    </w:pPr>
    <w:rPr>
      <w:rFonts w:ascii="Times New Roman" w:hAnsi="Times New Roman"/>
    </w:rPr>
  </w:style>
  <w:style w:type="paragraph" w:styleId="TOC1">
    <w:name w:val="toc 1"/>
    <w:basedOn w:val="TOCBase"/>
    <w:next w:val="Normal"/>
    <w:rsid w:val="007035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50A"/>
    <w:rPr>
      <w:rFonts w:ascii="Times New Roman" w:eastAsia="Times New Roman" w:hAnsi="Times New Roman" w:cs="Times New Roman"/>
      <w:sz w:val="16"/>
      <w:lang w:eastAsia="en-US"/>
    </w:rPr>
  </w:style>
  <w:style w:type="paragraph" w:styleId="Title">
    <w:name w:val="Title"/>
    <w:basedOn w:val="HeadingBase"/>
    <w:link w:val="TitleChar"/>
    <w:qFormat/>
    <w:rsid w:val="0070350A"/>
    <w:pPr>
      <w:spacing w:before="5040"/>
      <w:jc w:val="center"/>
    </w:pPr>
    <w:rPr>
      <w:sz w:val="48"/>
      <w:szCs w:val="72"/>
      <w:lang w:val="en-US"/>
    </w:rPr>
  </w:style>
  <w:style w:type="character" w:customStyle="1" w:styleId="TitleChar">
    <w:name w:val="Title Char"/>
    <w:basedOn w:val="DefaultParagraphFont"/>
    <w:link w:val="Title"/>
    <w:rsid w:val="00703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50A"/>
    <w:pPr>
      <w:tabs>
        <w:tab w:val="left" w:pos="3600"/>
        <w:tab w:val="left" w:pos="3958"/>
      </w:tabs>
    </w:pPr>
  </w:style>
  <w:style w:type="paragraph" w:styleId="List">
    <w:name w:val="List"/>
    <w:basedOn w:val="BodyText"/>
    <w:next w:val="BodyText"/>
    <w:rsid w:val="0070350A"/>
    <w:pPr>
      <w:tabs>
        <w:tab w:val="left" w:pos="340"/>
      </w:tabs>
      <w:spacing w:before="60" w:after="60"/>
      <w:ind w:left="340" w:hanging="340"/>
    </w:pPr>
  </w:style>
  <w:style w:type="paragraph" w:customStyle="1" w:styleId="Note">
    <w:name w:val="Note"/>
    <w:basedOn w:val="BodyText"/>
    <w:rsid w:val="00703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50A"/>
    <w:pPr>
      <w:framePr w:wrap="auto" w:hAnchor="text" w:y="6049"/>
    </w:pPr>
    <w:rPr>
      <w:color w:val="000000"/>
      <w:sz w:val="40"/>
    </w:rPr>
  </w:style>
  <w:style w:type="paragraph" w:customStyle="1" w:styleId="TOCTitle">
    <w:name w:val="TOCTitle"/>
    <w:basedOn w:val="Heading1"/>
    <w:rsid w:val="0070350A"/>
    <w:pPr>
      <w:spacing w:after="240"/>
      <w:jc w:val="center"/>
      <w:outlineLvl w:val="9"/>
    </w:pPr>
    <w:rPr>
      <w:caps/>
    </w:rPr>
  </w:style>
  <w:style w:type="paragraph" w:customStyle="1" w:styleId="Version">
    <w:name w:val="Version"/>
    <w:rsid w:val="007035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50A"/>
    <w:pPr>
      <w:keepNext w:val="0"/>
      <w:tabs>
        <w:tab w:val="right" w:pos="4176"/>
      </w:tabs>
      <w:ind w:left="198" w:hanging="198"/>
    </w:pPr>
    <w:rPr>
      <w:rFonts w:ascii="Garamond" w:hAnsi="Garamond"/>
    </w:rPr>
  </w:style>
  <w:style w:type="paragraph" w:styleId="IndexHeading">
    <w:name w:val="index heading"/>
    <w:basedOn w:val="Normal"/>
    <w:next w:val="Index1"/>
    <w:semiHidden/>
    <w:rsid w:val="0070350A"/>
    <w:pPr>
      <w:spacing w:before="120" w:after="120"/>
    </w:pPr>
    <w:rPr>
      <w:rFonts w:ascii="Arial" w:hAnsi="Arial"/>
      <w:b/>
      <w:color w:val="918585"/>
      <w:sz w:val="24"/>
    </w:rPr>
  </w:style>
  <w:style w:type="paragraph" w:styleId="Header">
    <w:name w:val="header"/>
    <w:basedOn w:val="Normal"/>
    <w:link w:val="HeaderChar"/>
    <w:rsid w:val="00703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50A"/>
    <w:rPr>
      <w:rFonts w:ascii="Times New Roman" w:eastAsia="Times New Roman" w:hAnsi="Times New Roman" w:cs="Times New Roman"/>
      <w:sz w:val="16"/>
      <w:szCs w:val="20"/>
      <w:lang w:val="en-GB" w:eastAsia="en-US"/>
    </w:rPr>
  </w:style>
  <w:style w:type="paragraph" w:customStyle="1" w:styleId="Chapter">
    <w:name w:val="Chapter"/>
    <w:basedOn w:val="Normal"/>
    <w:rsid w:val="0070350A"/>
    <w:pPr>
      <w:spacing w:before="240"/>
    </w:pPr>
    <w:rPr>
      <w:rFonts w:ascii="Times New Roman" w:hAnsi="Times New Roman"/>
      <w:smallCaps/>
      <w:spacing w:val="80"/>
      <w:sz w:val="28"/>
    </w:rPr>
  </w:style>
  <w:style w:type="paragraph" w:customStyle="1" w:styleId="InChapter">
    <w:name w:val="InChapter"/>
    <w:basedOn w:val="Heading3"/>
    <w:rsid w:val="0070350A"/>
    <w:pPr>
      <w:spacing w:after="240"/>
      <w:outlineLvl w:val="9"/>
    </w:pPr>
    <w:rPr>
      <w:noProof/>
    </w:rPr>
  </w:style>
  <w:style w:type="paragraph" w:styleId="Index2">
    <w:name w:val="index 2"/>
    <w:basedOn w:val="Normal"/>
    <w:next w:val="Normal"/>
    <w:semiHidden/>
    <w:rsid w:val="0070350A"/>
    <w:pPr>
      <w:tabs>
        <w:tab w:val="right" w:pos="4176"/>
      </w:tabs>
      <w:ind w:left="568" w:hanging="284"/>
    </w:pPr>
    <w:rPr>
      <w:rFonts w:ascii="Garamond" w:hAnsi="Garamond"/>
    </w:rPr>
  </w:style>
  <w:style w:type="paragraph" w:customStyle="1" w:styleId="Byline">
    <w:name w:val="Byline"/>
    <w:rsid w:val="00703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50A"/>
    <w:pPr>
      <w:tabs>
        <w:tab w:val="clear" w:pos="3600"/>
        <w:tab w:val="clear" w:pos="3958"/>
      </w:tabs>
      <w:jc w:val="right"/>
    </w:pPr>
  </w:style>
  <w:style w:type="character" w:styleId="Emphasis">
    <w:name w:val="Emphasis"/>
    <w:basedOn w:val="DefaultParagraphFont"/>
    <w:qFormat/>
    <w:rsid w:val="0070350A"/>
    <w:rPr>
      <w:i/>
    </w:rPr>
  </w:style>
  <w:style w:type="paragraph" w:styleId="Caption">
    <w:name w:val="caption"/>
    <w:basedOn w:val="BodyText"/>
    <w:next w:val="Normal"/>
    <w:qFormat/>
    <w:rsid w:val="0070350A"/>
    <w:pPr>
      <w:framePr w:w="2268" w:hSpace="181" w:vSpace="181" w:wrap="around" w:vAnchor="text" w:hAnchor="page" w:x="1135" w:y="285" w:anchorLock="1"/>
    </w:pPr>
    <w:rPr>
      <w:i/>
    </w:rPr>
  </w:style>
  <w:style w:type="paragraph" w:customStyle="1" w:styleId="MiniTOCTitle">
    <w:name w:val="MiniTOCTitle"/>
    <w:basedOn w:val="Heading4"/>
    <w:rsid w:val="0070350A"/>
    <w:pPr>
      <w:spacing w:before="240"/>
      <w:outlineLvl w:val="9"/>
    </w:pPr>
    <w:rPr>
      <w:noProof/>
      <w:sz w:val="24"/>
    </w:rPr>
  </w:style>
  <w:style w:type="paragraph" w:customStyle="1" w:styleId="MiniTOCItem">
    <w:name w:val="MiniTOCItem"/>
    <w:basedOn w:val="ListBullet"/>
    <w:rsid w:val="0070350A"/>
    <w:pPr>
      <w:numPr>
        <w:numId w:val="0"/>
      </w:numPr>
      <w:tabs>
        <w:tab w:val="right" w:leader="dot" w:pos="6521"/>
      </w:tabs>
      <w:spacing w:before="0" w:after="0"/>
    </w:pPr>
  </w:style>
  <w:style w:type="paragraph" w:customStyle="1" w:styleId="TOFTitle">
    <w:name w:val="TOFTitle"/>
    <w:basedOn w:val="TOCTitle"/>
    <w:rsid w:val="0070350A"/>
  </w:style>
  <w:style w:type="paragraph" w:styleId="TableofFigures">
    <w:name w:val="table of figures"/>
    <w:basedOn w:val="Normal"/>
    <w:next w:val="Normal"/>
    <w:semiHidden/>
    <w:rsid w:val="0070350A"/>
    <w:pPr>
      <w:tabs>
        <w:tab w:val="right" w:leader="dot" w:pos="9072"/>
      </w:tabs>
      <w:ind w:left="970" w:hanging="403"/>
    </w:pPr>
    <w:rPr>
      <w:rFonts w:ascii="Times New Roman" w:hAnsi="Times New Roman"/>
      <w:b/>
    </w:rPr>
  </w:style>
  <w:style w:type="paragraph" w:styleId="ListNumber">
    <w:name w:val="List Number"/>
    <w:basedOn w:val="List"/>
    <w:rsid w:val="0070350A"/>
    <w:pPr>
      <w:numPr>
        <w:numId w:val="17"/>
      </w:numPr>
      <w:tabs>
        <w:tab w:val="clear" w:pos="340"/>
      </w:tabs>
    </w:pPr>
  </w:style>
  <w:style w:type="character" w:customStyle="1" w:styleId="WingdingSymbols">
    <w:name w:val="Wingding Symbols"/>
    <w:rsid w:val="0070350A"/>
    <w:rPr>
      <w:rFonts w:ascii="Wingdings" w:hAnsi="Wingdings"/>
    </w:rPr>
  </w:style>
  <w:style w:type="paragraph" w:customStyle="1" w:styleId="TableHeading">
    <w:name w:val="Table Heading"/>
    <w:basedOn w:val="HeadingBase"/>
    <w:rsid w:val="0070350A"/>
    <w:pPr>
      <w:keepLines/>
      <w:pBdr>
        <w:bottom w:val="single" w:sz="6" w:space="1" w:color="918585"/>
      </w:pBdr>
      <w:spacing w:before="240"/>
    </w:pPr>
  </w:style>
  <w:style w:type="character" w:customStyle="1" w:styleId="HotSpot">
    <w:name w:val="HotSpot"/>
    <w:rsid w:val="0070350A"/>
    <w:rPr>
      <w:color w:val="0033CC"/>
      <w:u w:val="none"/>
    </w:rPr>
  </w:style>
  <w:style w:type="paragraph" w:customStyle="1" w:styleId="BodyTextRight">
    <w:name w:val="Body Text Right"/>
    <w:basedOn w:val="BodyText"/>
    <w:rsid w:val="0070350A"/>
    <w:pPr>
      <w:spacing w:before="0" w:after="0"/>
      <w:jc w:val="right"/>
    </w:pPr>
  </w:style>
  <w:style w:type="paragraph" w:styleId="Index3">
    <w:name w:val="index 3"/>
    <w:basedOn w:val="ListNumber2"/>
    <w:next w:val="Normal"/>
    <w:semiHidden/>
    <w:rsid w:val="0070350A"/>
    <w:pPr>
      <w:numPr>
        <w:numId w:val="0"/>
      </w:numPr>
      <w:tabs>
        <w:tab w:val="right" w:leader="dot" w:pos="4176"/>
      </w:tabs>
    </w:pPr>
  </w:style>
  <w:style w:type="paragraph" w:styleId="ListNumber2">
    <w:name w:val="List Number 2"/>
    <w:basedOn w:val="List2"/>
    <w:rsid w:val="0070350A"/>
    <w:pPr>
      <w:numPr>
        <w:numId w:val="12"/>
      </w:numPr>
      <w:tabs>
        <w:tab w:val="clear" w:pos="1060"/>
      </w:tabs>
    </w:pPr>
  </w:style>
  <w:style w:type="paragraph" w:customStyle="1" w:styleId="MarginNote">
    <w:name w:val="Margin Note"/>
    <w:basedOn w:val="BodyText"/>
    <w:rsid w:val="00703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5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50A"/>
    <w:rPr>
      <w:sz w:val="32"/>
    </w:rPr>
  </w:style>
  <w:style w:type="paragraph" w:customStyle="1" w:styleId="HeadingProcedure">
    <w:name w:val="Heading Procedure"/>
    <w:basedOn w:val="HeadingBase"/>
    <w:next w:val="Normal"/>
    <w:rsid w:val="0070350A"/>
    <w:pPr>
      <w:tabs>
        <w:tab w:val="left" w:pos="0"/>
      </w:tabs>
      <w:spacing w:before="120" w:after="60"/>
    </w:pPr>
    <w:rPr>
      <w:i/>
      <w:color w:val="918585"/>
      <w:sz w:val="22"/>
    </w:rPr>
  </w:style>
  <w:style w:type="paragraph" w:customStyle="1" w:styleId="TableBodyText">
    <w:name w:val="Table Body Text"/>
    <w:basedOn w:val="BodyText"/>
    <w:rsid w:val="0070350A"/>
    <w:pPr>
      <w:spacing w:before="60" w:after="60"/>
    </w:pPr>
  </w:style>
  <w:style w:type="paragraph" w:styleId="ListContinue">
    <w:name w:val="List Continue"/>
    <w:basedOn w:val="List"/>
    <w:rsid w:val="0070350A"/>
    <w:pPr>
      <w:ind w:firstLine="0"/>
    </w:pPr>
  </w:style>
  <w:style w:type="paragraph" w:customStyle="1" w:styleId="ListNote">
    <w:name w:val="List Note"/>
    <w:basedOn w:val="List"/>
    <w:rsid w:val="0070350A"/>
    <w:pPr>
      <w:pBdr>
        <w:top w:val="single" w:sz="6" w:space="2" w:color="918585"/>
        <w:bottom w:val="single" w:sz="6" w:space="2" w:color="918585"/>
      </w:pBdr>
      <w:tabs>
        <w:tab w:val="left" w:pos="1021"/>
      </w:tabs>
      <w:ind w:firstLine="0"/>
    </w:pPr>
  </w:style>
  <w:style w:type="paragraph" w:customStyle="1" w:styleId="Warning">
    <w:name w:val="Warning"/>
    <w:basedOn w:val="BodyText"/>
    <w:rsid w:val="0070350A"/>
    <w:pPr>
      <w:shd w:val="clear" w:color="auto" w:fill="D9D9D9"/>
      <w:tabs>
        <w:tab w:val="left" w:pos="992"/>
      </w:tabs>
      <w:ind w:left="119" w:right="119"/>
    </w:pPr>
    <w:rPr>
      <w:sz w:val="20"/>
    </w:rPr>
  </w:style>
  <w:style w:type="paragraph" w:customStyle="1" w:styleId="MarginIcons">
    <w:name w:val="Margin Icons"/>
    <w:basedOn w:val="BodyText"/>
    <w:rsid w:val="00703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50A"/>
    <w:rPr>
      <w:rFonts w:ascii="Courier New" w:hAnsi="Courier New"/>
    </w:rPr>
  </w:style>
  <w:style w:type="paragraph" w:customStyle="1" w:styleId="NoteBullet">
    <w:name w:val="Note Bullet"/>
    <w:basedOn w:val="Note"/>
    <w:rsid w:val="0070350A"/>
    <w:pPr>
      <w:tabs>
        <w:tab w:val="clear" w:pos="680"/>
      </w:tabs>
      <w:spacing w:before="60" w:after="60"/>
    </w:pPr>
  </w:style>
  <w:style w:type="paragraph" w:customStyle="1" w:styleId="SubHeading2">
    <w:name w:val="SubHeading2"/>
    <w:basedOn w:val="HeadingBase"/>
    <w:rsid w:val="0070350A"/>
    <w:pPr>
      <w:spacing w:before="240" w:after="60"/>
    </w:pPr>
    <w:rPr>
      <w:sz w:val="20"/>
    </w:rPr>
  </w:style>
  <w:style w:type="paragraph" w:customStyle="1" w:styleId="SubHeading1">
    <w:name w:val="SubHeading1"/>
    <w:basedOn w:val="HeadingBase"/>
    <w:rsid w:val="0070350A"/>
    <w:pPr>
      <w:spacing w:before="240" w:after="60"/>
    </w:pPr>
    <w:rPr>
      <w:color w:val="918585"/>
      <w:sz w:val="22"/>
    </w:rPr>
  </w:style>
  <w:style w:type="paragraph" w:customStyle="1" w:styleId="SideHeading">
    <w:name w:val="Side Heading"/>
    <w:basedOn w:val="HeadingBase"/>
    <w:rsid w:val="00703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50A"/>
    <w:pPr>
      <w:numPr>
        <w:numId w:val="13"/>
      </w:numPr>
    </w:pPr>
  </w:style>
  <w:style w:type="paragraph" w:styleId="PlainText">
    <w:name w:val="Plain Text"/>
    <w:basedOn w:val="Normal"/>
    <w:link w:val="PlainTextChar"/>
    <w:rsid w:val="0070350A"/>
    <w:rPr>
      <w:sz w:val="20"/>
    </w:rPr>
  </w:style>
  <w:style w:type="character" w:customStyle="1" w:styleId="PlainTextChar">
    <w:name w:val="Plain Text Char"/>
    <w:basedOn w:val="DefaultParagraphFont"/>
    <w:link w:val="PlainText"/>
    <w:rsid w:val="0070350A"/>
    <w:rPr>
      <w:rFonts w:ascii="Courier New" w:eastAsia="Times New Roman" w:hAnsi="Courier New" w:cs="Times New Roman"/>
      <w:sz w:val="20"/>
      <w:szCs w:val="20"/>
      <w:lang w:eastAsia="en-US"/>
    </w:rPr>
  </w:style>
  <w:style w:type="character" w:customStyle="1" w:styleId="MenuOption">
    <w:name w:val="Menu Option"/>
    <w:basedOn w:val="DefaultParagraphFont"/>
    <w:rsid w:val="0070350A"/>
    <w:rPr>
      <w:b/>
      <w:smallCaps/>
    </w:rPr>
  </w:style>
  <w:style w:type="paragraph" w:customStyle="1" w:styleId="TableListNumber">
    <w:name w:val="Table List Number"/>
    <w:basedOn w:val="ListNumber"/>
    <w:rsid w:val="0070350A"/>
    <w:pPr>
      <w:numPr>
        <w:numId w:val="0"/>
      </w:numPr>
    </w:pPr>
  </w:style>
  <w:style w:type="paragraph" w:styleId="TOC4">
    <w:name w:val="toc 4"/>
    <w:basedOn w:val="TOCBase"/>
    <w:next w:val="Normal"/>
    <w:semiHidden/>
    <w:rsid w:val="0070350A"/>
    <w:pPr>
      <w:tabs>
        <w:tab w:val="right" w:leader="dot" w:pos="9071"/>
      </w:tabs>
      <w:ind w:left="1701"/>
    </w:pPr>
  </w:style>
  <w:style w:type="paragraph" w:customStyle="1" w:styleId="ListAlpha">
    <w:name w:val="List Alpha"/>
    <w:basedOn w:val="List"/>
    <w:rsid w:val="0070350A"/>
    <w:pPr>
      <w:numPr>
        <w:numId w:val="11"/>
      </w:numPr>
    </w:pPr>
  </w:style>
  <w:style w:type="paragraph" w:customStyle="1" w:styleId="ListAlpha2">
    <w:name w:val="List Alpha 2"/>
    <w:basedOn w:val="List2"/>
    <w:rsid w:val="0070350A"/>
    <w:pPr>
      <w:numPr>
        <w:numId w:val="10"/>
      </w:numPr>
    </w:pPr>
  </w:style>
  <w:style w:type="paragraph" w:styleId="List2">
    <w:name w:val="List 2"/>
    <w:basedOn w:val="BodyText"/>
    <w:rsid w:val="0070350A"/>
    <w:pPr>
      <w:tabs>
        <w:tab w:val="left" w:pos="680"/>
      </w:tabs>
      <w:spacing w:before="60" w:after="60"/>
      <w:ind w:left="680" w:hanging="340"/>
    </w:pPr>
  </w:style>
  <w:style w:type="paragraph" w:styleId="List3">
    <w:name w:val="List 3"/>
    <w:basedOn w:val="BodyText"/>
    <w:rsid w:val="0070350A"/>
    <w:pPr>
      <w:tabs>
        <w:tab w:val="left" w:pos="1021"/>
      </w:tabs>
      <w:spacing w:before="60" w:after="60"/>
      <w:ind w:left="1020" w:hanging="340"/>
    </w:pPr>
  </w:style>
  <w:style w:type="paragraph" w:styleId="List4">
    <w:name w:val="List 4"/>
    <w:basedOn w:val="BodyText"/>
    <w:rsid w:val="0070350A"/>
    <w:pPr>
      <w:tabs>
        <w:tab w:val="left" w:pos="1361"/>
      </w:tabs>
      <w:spacing w:before="60" w:after="60"/>
      <w:ind w:left="1361" w:hanging="340"/>
    </w:pPr>
  </w:style>
  <w:style w:type="paragraph" w:styleId="List5">
    <w:name w:val="List 5"/>
    <w:basedOn w:val="BodyText"/>
    <w:rsid w:val="0070350A"/>
    <w:pPr>
      <w:tabs>
        <w:tab w:val="left" w:pos="1701"/>
      </w:tabs>
      <w:spacing w:before="60" w:after="60"/>
      <w:ind w:left="1701" w:hanging="340"/>
    </w:pPr>
  </w:style>
  <w:style w:type="paragraph" w:styleId="ListBullet5">
    <w:name w:val="List Bullet 5"/>
    <w:basedOn w:val="List5"/>
    <w:rsid w:val="0070350A"/>
    <w:pPr>
      <w:numPr>
        <w:numId w:val="6"/>
      </w:numPr>
    </w:pPr>
  </w:style>
  <w:style w:type="paragraph" w:styleId="ListContinue2">
    <w:name w:val="List Continue 2"/>
    <w:basedOn w:val="List2"/>
    <w:rsid w:val="0070350A"/>
    <w:pPr>
      <w:ind w:firstLine="0"/>
    </w:pPr>
  </w:style>
  <w:style w:type="paragraph" w:styleId="ListContinue3">
    <w:name w:val="List Continue 3"/>
    <w:basedOn w:val="List3"/>
    <w:rsid w:val="0070350A"/>
    <w:pPr>
      <w:ind w:left="1021" w:firstLine="0"/>
    </w:pPr>
  </w:style>
  <w:style w:type="paragraph" w:styleId="ListContinue4">
    <w:name w:val="List Continue 4"/>
    <w:basedOn w:val="List4"/>
    <w:rsid w:val="0070350A"/>
    <w:pPr>
      <w:ind w:firstLine="0"/>
    </w:pPr>
  </w:style>
  <w:style w:type="paragraph" w:styleId="ListContinue5">
    <w:name w:val="List Continue 5"/>
    <w:basedOn w:val="List5"/>
    <w:rsid w:val="0070350A"/>
    <w:pPr>
      <w:ind w:firstLine="0"/>
    </w:pPr>
  </w:style>
  <w:style w:type="paragraph" w:styleId="ListNumber3">
    <w:name w:val="List Number 3"/>
    <w:basedOn w:val="List3"/>
    <w:rsid w:val="0070350A"/>
    <w:pPr>
      <w:numPr>
        <w:numId w:val="7"/>
      </w:numPr>
    </w:pPr>
  </w:style>
  <w:style w:type="paragraph" w:styleId="ListNumber4">
    <w:name w:val="List Number 4"/>
    <w:basedOn w:val="List4"/>
    <w:rsid w:val="0070350A"/>
    <w:pPr>
      <w:numPr>
        <w:numId w:val="8"/>
      </w:numPr>
    </w:pPr>
  </w:style>
  <w:style w:type="paragraph" w:styleId="ListNumber5">
    <w:name w:val="List Number 5"/>
    <w:basedOn w:val="List5"/>
    <w:rsid w:val="0070350A"/>
    <w:pPr>
      <w:numPr>
        <w:numId w:val="9"/>
      </w:numPr>
    </w:pPr>
  </w:style>
  <w:style w:type="paragraph" w:styleId="BlockText">
    <w:name w:val="Block Text"/>
    <w:basedOn w:val="Normal"/>
    <w:rsid w:val="0070350A"/>
    <w:pPr>
      <w:spacing w:after="120"/>
      <w:ind w:left="1440" w:right="1440"/>
    </w:pPr>
  </w:style>
  <w:style w:type="character" w:customStyle="1" w:styleId="Subscript">
    <w:name w:val="Subscript"/>
    <w:basedOn w:val="DefaultParagraphFont"/>
    <w:rsid w:val="0070350A"/>
    <w:rPr>
      <w:sz w:val="16"/>
      <w:vertAlign w:val="subscript"/>
    </w:rPr>
  </w:style>
  <w:style w:type="character" w:customStyle="1" w:styleId="Superscript">
    <w:name w:val="Superscript"/>
    <w:basedOn w:val="DefaultParagraphFont"/>
    <w:rsid w:val="0070350A"/>
    <w:rPr>
      <w:sz w:val="16"/>
      <w:vertAlign w:val="superscript"/>
    </w:rPr>
  </w:style>
  <w:style w:type="character" w:customStyle="1" w:styleId="Symbols">
    <w:name w:val="Symbols"/>
    <w:basedOn w:val="DefaultParagraphFont"/>
    <w:rsid w:val="0070350A"/>
    <w:rPr>
      <w:rFonts w:ascii="Symbol" w:hAnsi="Symbol"/>
    </w:rPr>
  </w:style>
  <w:style w:type="character" w:customStyle="1" w:styleId="MenuOptions">
    <w:name w:val="Menu Options"/>
    <w:basedOn w:val="DefaultParagraphFont"/>
    <w:rsid w:val="0070350A"/>
    <w:rPr>
      <w:rFonts w:ascii="Arial Narrow" w:hAnsi="Arial Narrow"/>
      <w:smallCaps/>
    </w:rPr>
  </w:style>
  <w:style w:type="character" w:customStyle="1" w:styleId="Buttons">
    <w:name w:val="Buttons"/>
    <w:basedOn w:val="DefaultParagraphFont"/>
    <w:rsid w:val="0070350A"/>
    <w:rPr>
      <w:b/>
    </w:rPr>
  </w:style>
  <w:style w:type="character" w:customStyle="1" w:styleId="Underlined">
    <w:name w:val="Underlined"/>
    <w:basedOn w:val="DefaultParagraphFont"/>
    <w:rsid w:val="0070350A"/>
    <w:rPr>
      <w:u w:val="single"/>
    </w:rPr>
  </w:style>
  <w:style w:type="paragraph" w:customStyle="1" w:styleId="TableBodyTextRight">
    <w:name w:val="Table Body Text Right"/>
    <w:basedOn w:val="TableBodyText"/>
    <w:rsid w:val="0070350A"/>
    <w:pPr>
      <w:widowControl w:val="0"/>
      <w:autoSpaceDE w:val="0"/>
      <w:autoSpaceDN w:val="0"/>
      <w:adjustRightInd w:val="0"/>
      <w:jc w:val="right"/>
    </w:pPr>
    <w:rPr>
      <w:rFonts w:cs="Arial"/>
      <w:szCs w:val="18"/>
    </w:rPr>
  </w:style>
  <w:style w:type="paragraph" w:customStyle="1" w:styleId="CopyrightText">
    <w:name w:val="Copyright Text"/>
    <w:basedOn w:val="BodyText"/>
    <w:rsid w:val="0070350A"/>
    <w:rPr>
      <w:sz w:val="18"/>
    </w:rPr>
  </w:style>
  <w:style w:type="paragraph" w:customStyle="1" w:styleId="BodySmallRight">
    <w:name w:val="Body Small Right"/>
    <w:basedOn w:val="BodyTextRight"/>
    <w:rsid w:val="0070350A"/>
    <w:rPr>
      <w:sz w:val="18"/>
      <w:szCs w:val="18"/>
    </w:rPr>
  </w:style>
  <w:style w:type="paragraph" w:customStyle="1" w:styleId="MarginEdition">
    <w:name w:val="Margin Edition"/>
    <w:basedOn w:val="MarginNote"/>
    <w:rsid w:val="0070350A"/>
    <w:pPr>
      <w:spacing w:before="0" w:after="0"/>
    </w:pPr>
    <w:rPr>
      <w:rFonts w:ascii="Times New Roman" w:hAnsi="Times New Roman"/>
      <w:color w:val="999999"/>
    </w:rPr>
  </w:style>
  <w:style w:type="paragraph" w:customStyle="1" w:styleId="Spacer">
    <w:name w:val="Spacer"/>
    <w:basedOn w:val="Normal"/>
    <w:rsid w:val="0070350A"/>
    <w:rPr>
      <w:sz w:val="2"/>
      <w:szCs w:val="2"/>
    </w:rPr>
  </w:style>
  <w:style w:type="character" w:customStyle="1" w:styleId="Small">
    <w:name w:val="Small"/>
    <w:basedOn w:val="DefaultParagraphFont"/>
    <w:rsid w:val="0070350A"/>
    <w:rPr>
      <w:sz w:val="16"/>
    </w:rPr>
  </w:style>
  <w:style w:type="paragraph" w:customStyle="1" w:styleId="WideTable">
    <w:name w:val="Wide Table"/>
    <w:basedOn w:val="Normal"/>
    <w:rsid w:val="0070350A"/>
    <w:pPr>
      <w:ind w:left="-1418"/>
    </w:pPr>
    <w:rPr>
      <w:sz w:val="2"/>
      <w:szCs w:val="2"/>
    </w:rPr>
  </w:style>
  <w:style w:type="character" w:styleId="PageNumber">
    <w:name w:val="page number"/>
    <w:basedOn w:val="DefaultParagraphFont"/>
    <w:rsid w:val="0070350A"/>
  </w:style>
  <w:style w:type="paragraph" w:styleId="Quote">
    <w:name w:val="Quote"/>
    <w:basedOn w:val="Heading1"/>
    <w:link w:val="QuoteChar"/>
    <w:qFormat/>
    <w:rsid w:val="0070350A"/>
    <w:rPr>
      <w:b w:val="0"/>
      <w:sz w:val="72"/>
      <w:szCs w:val="72"/>
      <w:lang w:val="en-NZ"/>
    </w:rPr>
  </w:style>
  <w:style w:type="character" w:customStyle="1" w:styleId="QuoteChar">
    <w:name w:val="Quote Char"/>
    <w:basedOn w:val="DefaultParagraphFont"/>
    <w:link w:val="Quote"/>
    <w:rsid w:val="00703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50A"/>
    <w:pPr>
      <w:pageBreakBefore/>
    </w:pPr>
  </w:style>
  <w:style w:type="paragraph" w:customStyle="1" w:styleId="Border">
    <w:name w:val="Border"/>
    <w:basedOn w:val="Normal"/>
    <w:qFormat/>
    <w:rsid w:val="00703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50A"/>
    <w:rPr>
      <w:b/>
      <w:bCs/>
      <w:i/>
      <w:iCs/>
      <w:color w:val="auto"/>
    </w:rPr>
  </w:style>
  <w:style w:type="paragraph" w:styleId="IntenseQuote">
    <w:name w:val="Intense Quote"/>
    <w:basedOn w:val="Normal"/>
    <w:next w:val="Normal"/>
    <w:link w:val="IntenseQuoteChar"/>
    <w:uiPriority w:val="30"/>
    <w:qFormat/>
    <w:rsid w:val="00703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5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50A"/>
    <w:rPr>
      <w:smallCaps/>
      <w:color w:val="auto"/>
      <w:u w:val="single"/>
    </w:rPr>
  </w:style>
  <w:style w:type="character" w:styleId="IntenseReference">
    <w:name w:val="Intense Reference"/>
    <w:basedOn w:val="DefaultParagraphFont"/>
    <w:uiPriority w:val="32"/>
    <w:qFormat/>
    <w:rsid w:val="0070350A"/>
    <w:rPr>
      <w:b/>
      <w:bCs/>
      <w:smallCaps/>
      <w:color w:val="auto"/>
      <w:spacing w:val="5"/>
      <w:u w:val="single"/>
    </w:rPr>
  </w:style>
  <w:style w:type="paragraph" w:customStyle="1" w:styleId="2ColumnHeading">
    <w:name w:val="2Column Heading"/>
    <w:basedOn w:val="BodyText"/>
    <w:qFormat/>
    <w:rsid w:val="0070350A"/>
    <w:pPr>
      <w:spacing w:after="60"/>
      <w:ind w:left="-2268"/>
    </w:pPr>
    <w:rPr>
      <w:b/>
    </w:rPr>
  </w:style>
  <w:style w:type="paragraph" w:customStyle="1" w:styleId="Heading1TOC">
    <w:name w:val="Heading1 TOC"/>
    <w:basedOn w:val="Normal"/>
    <w:qFormat/>
    <w:rsid w:val="0070350A"/>
    <w:pPr>
      <w:spacing w:before="240" w:after="120"/>
    </w:pPr>
    <w:rPr>
      <w:rFonts w:ascii="Times New Roman" w:hAnsi="Times New Roman"/>
      <w:b/>
      <w:sz w:val="32"/>
    </w:rPr>
  </w:style>
  <w:style w:type="paragraph" w:customStyle="1" w:styleId="Heading2TOC">
    <w:name w:val="Heading2 TOC"/>
    <w:basedOn w:val="Normal"/>
    <w:qFormat/>
    <w:rsid w:val="0070350A"/>
    <w:pPr>
      <w:spacing w:before="240" w:after="60"/>
    </w:pPr>
    <w:rPr>
      <w:rFonts w:ascii="Times New Roman" w:hAnsi="Times New Roman"/>
      <w:b/>
      <w:sz w:val="28"/>
    </w:rPr>
  </w:style>
  <w:style w:type="character" w:customStyle="1" w:styleId="Underline">
    <w:name w:val="Underline"/>
    <w:basedOn w:val="DefaultParagraphFont"/>
    <w:qFormat/>
    <w:rsid w:val="0070350A"/>
    <w:rPr>
      <w:u w:val="single"/>
    </w:rPr>
  </w:style>
  <w:style w:type="character" w:customStyle="1" w:styleId="BoldandItalics">
    <w:name w:val="Bold and Italics"/>
    <w:qFormat/>
    <w:rsid w:val="0070350A"/>
    <w:rPr>
      <w:b/>
      <w:i/>
      <w:u w:val="none"/>
    </w:rPr>
  </w:style>
  <w:style w:type="paragraph" w:styleId="BalloonText">
    <w:name w:val="Balloon Text"/>
    <w:basedOn w:val="Normal"/>
    <w:link w:val="BalloonTextChar"/>
    <w:rsid w:val="0070350A"/>
    <w:rPr>
      <w:rFonts w:ascii="Tahoma" w:hAnsi="Tahoma" w:cs="Tahoma"/>
      <w:sz w:val="16"/>
      <w:szCs w:val="16"/>
    </w:rPr>
  </w:style>
  <w:style w:type="character" w:customStyle="1" w:styleId="BalloonTextChar">
    <w:name w:val="Balloon Text Char"/>
    <w:basedOn w:val="DefaultParagraphFont"/>
    <w:link w:val="BalloonText"/>
    <w:rsid w:val="007035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5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5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50A"/>
    <w:rPr>
      <w:b/>
      <w:color w:val="660033"/>
      <w:spacing w:val="0"/>
    </w:rPr>
  </w:style>
  <w:style w:type="paragraph" w:customStyle="1" w:styleId="Nameditemlist">
    <w:name w:val="Named item list"/>
    <w:basedOn w:val="BodyText"/>
    <w:qFormat/>
    <w:rsid w:val="0070350A"/>
    <w:pPr>
      <w:tabs>
        <w:tab w:val="left" w:pos="2835"/>
      </w:tabs>
      <w:ind w:left="2835" w:hanging="2835"/>
    </w:pPr>
  </w:style>
  <w:style w:type="paragraph" w:customStyle="1" w:styleId="BodyTextnopadding">
    <w:name w:val="Body Text no padding"/>
    <w:basedOn w:val="BodyText"/>
    <w:qFormat/>
    <w:rsid w:val="0070350A"/>
    <w:pPr>
      <w:spacing w:before="0" w:after="0"/>
    </w:pPr>
  </w:style>
  <w:style w:type="paragraph" w:customStyle="1" w:styleId="BodyTextBold">
    <w:name w:val="Body Text Bold"/>
    <w:basedOn w:val="BodyText"/>
    <w:qFormat/>
    <w:rsid w:val="0070350A"/>
    <w:rPr>
      <w:b/>
    </w:rPr>
  </w:style>
  <w:style w:type="character" w:styleId="Hyperlink">
    <w:name w:val="Hyperlink"/>
    <w:basedOn w:val="DefaultParagraphFont"/>
    <w:uiPriority w:val="99"/>
    <w:unhideWhenUsed/>
    <w:rsid w:val="005D5C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2444</Words>
  <Characters>15448</Characters>
  <Application>Microsoft Office Word</Application>
  <DocSecurity>0</DocSecurity>
  <Lines>813</Lines>
  <Paragraphs>458</Paragraphs>
  <ScaleCrop>false</ScaleCrop>
  <Company>Author-it Software Corporation Ltd.</Company>
  <LinksUpToDate>false</LinksUpToDate>
  <CharactersWithSpaces>17434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MARL039 Apply advanced principles of marine engineering thermodynamics</dc:title>
  <dc:subject>Approved</dc:subject>
  <dc:creator>Industry Skills Australia</dc:creator>
  <cp:keywords>Release: 1</cp:keywords>
  <dc:description>Review Date: 12 April 2008</dc:description>
  <cp:lastModifiedBy>HSD_TPCMSd.prod</cp:lastModifiedBy>
  <cp:revision>3</cp:revision>
  <dcterms:created xsi:type="dcterms:W3CDTF">2025-03-02T02:01:00Z</dcterms:created>
  <dcterms:modified xsi:type="dcterms:W3CDTF">2025-03-02T02:01:00Z</dcterms:modified>
</cp:coreProperties>
</file>