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07BC" w:rsidP="00EA07B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MARL035 Demonstrate advanced knowledge of marine steam turbines and main boilers</w:t>
      </w:r>
      <w:r>
        <w:fldChar w:fldCharType="end"/>
      </w:r>
    </w:p>
    <w:p w:rsidR="00EA07BC" w:rsidP="00EA07BC">
      <w:pPr>
        <w:pStyle w:val="Version"/>
        <w:sectPr w:rsidSect="00A777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77747" w:rsidP="00A77747">
      <w:pPr>
        <w:pStyle w:val="SuperHeading"/>
      </w:pPr>
      <w:r w:rsidRPr="00A77747">
        <w:t>MARL035 Demon</w:t>
      </w:r>
      <w:r w:rsidRPr="00A77747">
        <w:t>strate advanced knowledge of marine steam turbines and main boilers</w:t>
      </w:r>
    </w:p>
    <w:p w:rsidR="00000000" w:rsidRPr="00A77747" w:rsidP="00A77747">
      <w:pPr>
        <w:pStyle w:val="Heading1"/>
      </w:pPr>
      <w:bookmarkStart w:id="1" w:name="O_661867"/>
      <w:bookmarkEnd w:id="1"/>
      <w:r w:rsidRPr="00A77747">
        <w:t>Modification History</w:t>
      </w:r>
    </w:p>
    <w:p w:rsidR="00000000" w:rsidRPr="00A77747" w:rsidP="00EA07BC">
      <w:pPr>
        <w:pStyle w:val="BodyText"/>
      </w:pPr>
      <w:r w:rsidRPr="00A77747">
        <w:t>Release 1. New unit of competency.</w:t>
      </w:r>
    </w:p>
    <w:p w:rsidR="00000000" w:rsidRPr="00A77747" w:rsidP="00A77747">
      <w:pPr>
        <w:pStyle w:val="Heading1"/>
      </w:pPr>
      <w:bookmarkStart w:id="2" w:name="O_661868"/>
      <w:bookmarkEnd w:id="2"/>
      <w:r w:rsidRPr="00A77747">
        <w:t>Application</w:t>
      </w:r>
    </w:p>
    <w:p w:rsidR="00000000" w:rsidRPr="00A77747" w:rsidP="00EA07BC">
      <w:pPr>
        <w:pStyle w:val="BodyText"/>
      </w:pPr>
      <w:r w:rsidRPr="00A77747">
        <w:t xml:space="preserve">This unit involves the skills and knowledge required to operate and maintain main steam propulsion plant and associated control systems on a commercial vessel. It includes analysing: methods of improving plant efficiency; changes in feed system that occur </w:t>
      </w:r>
      <w:r w:rsidRPr="00A77747">
        <w:t>during fluctuating loads; design and construction of high-pressure water tube boilers and ancillary equipment; operation, maintenance and performance of high-pressure water tube boilers and ancillary equipment; turbine operation, maintenance and performanc</w:t>
      </w:r>
      <w:r w:rsidRPr="00A77747">
        <w:t>e; and turbine-gearing performance.</w:t>
      </w:r>
    </w:p>
    <w:p w:rsidR="00000000" w:rsidRPr="00A77747" w:rsidP="00EA07BC">
      <w:pPr>
        <w:pStyle w:val="BodyText"/>
      </w:pPr>
      <w:r w:rsidRPr="00A77747">
        <w:t>This unit applies to the work of a Marine Engineer Class 1 on commercial vessels of unlimited propulsion power and forms part of the requirements for the Certificate of Competency Marine Engineer Class 1 issued by the A</w:t>
      </w:r>
      <w:r w:rsidRPr="00A77747">
        <w:t>ustralian Maritime Safety Authority (AMSA).</w:t>
      </w:r>
    </w:p>
    <w:p w:rsidR="00000000" w:rsidRPr="00A77747" w:rsidP="00EA07BC">
      <w:pPr>
        <w:pStyle w:val="BodyText"/>
      </w:pPr>
      <w:r w:rsidRPr="00A77747">
        <w:t>No licensing, legislative or certification requirements apply to this unit at the time of publication.</w:t>
      </w:r>
    </w:p>
    <w:p w:rsidR="00000000" w:rsidRPr="00A77747" w:rsidP="00A77747">
      <w:pPr>
        <w:pStyle w:val="Heading1"/>
      </w:pPr>
      <w:bookmarkStart w:id="3" w:name="O_661869"/>
      <w:bookmarkEnd w:id="3"/>
      <w:r w:rsidRPr="00A77747">
        <w:t>Pre-requisite Unit</w:t>
      </w:r>
    </w:p>
    <w:p w:rsidR="00000000" w:rsidRPr="00A77747" w:rsidP="00EA07BC">
      <w:pPr>
        <w:pStyle w:val="BodyText"/>
      </w:pPr>
      <w:r w:rsidRPr="00A77747">
        <w:t>Not applicable.</w:t>
      </w:r>
    </w:p>
    <w:p w:rsidR="00000000" w:rsidRPr="00A77747" w:rsidP="00A77747">
      <w:pPr>
        <w:pStyle w:val="Heading1"/>
      </w:pPr>
      <w:bookmarkStart w:id="4" w:name="O_661870"/>
      <w:bookmarkEnd w:id="4"/>
      <w:r w:rsidRPr="00A77747">
        <w:t>Competency Field</w:t>
      </w:r>
    </w:p>
    <w:p w:rsidR="00000000" w:rsidRPr="00A77747" w:rsidP="00EA07BC">
      <w:pPr>
        <w:pStyle w:val="BodyText"/>
      </w:pPr>
      <w:r w:rsidRPr="00A77747">
        <w:t>L – Marine Engineering</w:t>
      </w:r>
    </w:p>
    <w:p w:rsidR="00000000" w:rsidRPr="00A77747" w:rsidP="00A77747">
      <w:pPr>
        <w:pStyle w:val="Heading1"/>
      </w:pPr>
      <w:bookmarkStart w:id="5" w:name="O_661871"/>
      <w:bookmarkEnd w:id="5"/>
      <w:r w:rsidRPr="00A77747">
        <w:t>Unit Sector</w:t>
      </w:r>
    </w:p>
    <w:p w:rsidR="00000000" w:rsidRPr="00A77747" w:rsidP="00EA07BC">
      <w:pPr>
        <w:pStyle w:val="BodyText"/>
      </w:pPr>
      <w:r w:rsidRPr="00A77747">
        <w:t>Not applicable.</w:t>
      </w:r>
    </w:p>
    <w:p w:rsidR="00000000" w:rsidRPr="00A77747" w:rsidP="00A77747">
      <w:pPr>
        <w:pStyle w:val="Heading1"/>
      </w:pPr>
      <w:bookmarkStart w:id="6" w:name="O_661872"/>
      <w:bookmarkEnd w:id="6"/>
      <w:r w:rsidRPr="00A77747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EA07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Performance criteria describe the performance needed to demonstrate achievement of the element.</w:t>
            </w:r>
          </w:p>
        </w:tc>
      </w:tr>
      <w:tr w:rsidTr="00EA07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747" w:rsidP="00A77747">
            <w:pPr>
              <w:pStyle w:val="BodyText"/>
            </w:pPr>
            <w:r w:rsidRPr="00A77747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rPr>
                <w:rStyle w:val="SpecialBold"/>
              </w:rPr>
              <w:t>Analyse methods of improving plant efficiency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Increase in Rankine efficiency of plant by increasing the pressure and temperature is analysed</w:t>
            </w:r>
          </w:p>
        </w:tc>
      </w:tr>
      <w:tr w:rsidTr="00EA07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How regenerative feed heating and steam reheating increases overall plant efficiency is shown on an enth</w:t>
            </w:r>
            <w:r w:rsidRPr="00A77747">
              <w:t>alpy/entropy diagram</w:t>
            </w:r>
          </w:p>
        </w:tc>
      </w:tr>
      <w:tr w:rsidTr="00EA07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Efficiency calculations and performance evaluation for boilers, turbines, feed systems and total plant are performed</w:t>
            </w:r>
          </w:p>
        </w:tc>
      </w:tr>
      <w:tr w:rsidTr="00EA07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747" w:rsidP="00A77747">
            <w:pPr>
              <w:pStyle w:val="BodyText"/>
            </w:pPr>
            <w:r w:rsidRPr="00A77747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rPr>
                <w:rStyle w:val="SpecialBold"/>
              </w:rPr>
              <w:t>Analyse changes in feed system that occur during fluctuating loads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Changes that occur during fluctuating loads are identified, detailing how make up to system and dump from system are performed</w:t>
            </w:r>
          </w:p>
        </w:tc>
      </w:tr>
      <w:tr w:rsidTr="00EA07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Condenser level control methods, how condenser is supported and how expansion stresses are avoided are explained</w:t>
            </w:r>
          </w:p>
        </w:tc>
      </w:tr>
      <w:tr w:rsidTr="00EA07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Loss of efficiency when heat transfer rate is interrupted is explained</w:t>
            </w:r>
          </w:p>
        </w:tc>
      </w:tr>
      <w:tr w:rsidTr="00EA07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Test procedure to identify leaks in a condenser is created</w:t>
            </w:r>
          </w:p>
        </w:tc>
      </w:tr>
      <w:tr w:rsidTr="00EA07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2.5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 xml:space="preserve">Types, features, common defects and maintenance requirements of two-stage and super cavitating extraction pumps </w:t>
            </w:r>
            <w:r w:rsidRPr="00A77747">
              <w:t>are compared and contrasted</w:t>
            </w:r>
          </w:p>
        </w:tc>
      </w:tr>
      <w:tr w:rsidTr="00EA07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2.6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Effects of air leaks in feed system and ineffective air removal in air ejector are explained</w:t>
            </w:r>
          </w:p>
        </w:tc>
      </w:tr>
      <w:tr w:rsidTr="00EA07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2.7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Operation of a vacuum pump for air removal from a condenser is explained</w:t>
            </w:r>
          </w:p>
        </w:tc>
      </w:tr>
      <w:tr w:rsidTr="00EA07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2.8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Operati</w:t>
            </w:r>
            <w:r w:rsidRPr="00A77747">
              <w:t>on of a turbo feed pump differential pressure governor taking into account constant pressure, increasing pressure and decreasing pressure differential governing is explained</w:t>
            </w:r>
          </w:p>
        </w:tc>
      </w:tr>
      <w:tr w:rsidTr="00EA07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2.9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 xml:space="preserve">Alarms, shutdowns, automatic cut-in arrangements and testing of over speed </w:t>
            </w:r>
            <w:r w:rsidRPr="00A77747">
              <w:t>trips for a boiler feed pump are outlined</w:t>
            </w:r>
          </w:p>
        </w:tc>
      </w:tr>
      <w:tr w:rsidTr="00EA07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747" w:rsidP="00A77747">
            <w:pPr>
              <w:pStyle w:val="BodyText"/>
            </w:pPr>
            <w:r w:rsidRPr="00A77747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rPr>
                <w:rStyle w:val="SpecialBold"/>
              </w:rPr>
              <w:t>Analyse design and construction of high-pressure water tube boilers and ancillary equipment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Temperature load relationships and temperature control of superheater are analysed</w:t>
            </w:r>
          </w:p>
        </w:tc>
      </w:tr>
      <w:tr w:rsidTr="00EA07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Operation of superheater with parallel, contra and cross flow of gas/steam flow is predicted</w:t>
            </w:r>
          </w:p>
        </w:tc>
      </w:tr>
      <w:tr w:rsidTr="00EA07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Correct material for high temperature operation of superheater tubes and headers is identified</w:t>
            </w:r>
          </w:p>
        </w:tc>
      </w:tr>
      <w:tr w:rsidTr="00EA07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Tube fixing and support arrangements for superheater e</w:t>
            </w:r>
            <w:r w:rsidRPr="00A77747">
              <w:t>lements are explained</w:t>
            </w:r>
          </w:p>
        </w:tc>
      </w:tr>
      <w:tr w:rsidTr="00EA07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Burner tip design and operation for steam atomising oil burners are compared</w:t>
            </w:r>
          </w:p>
        </w:tc>
      </w:tr>
      <w:tr w:rsidTr="00EA07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Features of a three-element water level control system and relationship with burner management system are outlined</w:t>
            </w:r>
          </w:p>
        </w:tc>
      </w:tr>
      <w:tr w:rsidTr="00EA07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3.7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Operation of a combustion control system fitted with cross limits on air and fuel is explained</w:t>
            </w:r>
          </w:p>
        </w:tc>
      </w:tr>
      <w:tr w:rsidTr="00EA07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747" w:rsidP="00A77747">
            <w:pPr>
              <w:pStyle w:val="BodyText"/>
            </w:pPr>
            <w:r w:rsidRPr="00A77747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rPr>
                <w:rStyle w:val="SpecialBold"/>
              </w:rPr>
              <w:t>Analyse operation, maintenance and performance of high-pressure water tube boilers and ancillary equipment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Warm through procedure and checks to be carried</w:t>
            </w:r>
            <w:r w:rsidRPr="00A77747">
              <w:t xml:space="preserve"> out before connecting boiler to range are explained</w:t>
            </w:r>
          </w:p>
        </w:tc>
      </w:tr>
      <w:tr w:rsidTr="00EA07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How boiler is laid up for short and/or long periods is explained</w:t>
            </w:r>
          </w:p>
        </w:tc>
      </w:tr>
      <w:tr w:rsidTr="00EA07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Actions required after oil or salt water contamination are detailed</w:t>
            </w:r>
          </w:p>
        </w:tc>
      </w:tr>
      <w:tr w:rsidTr="00EA07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Chemical cleaning procedure to remove scale and oil deposits from internal surfaces of a boiler is explained</w:t>
            </w:r>
          </w:p>
        </w:tc>
      </w:tr>
      <w:tr w:rsidTr="00EA07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Tube failures are identified and suitable methods of repair are selected</w:t>
            </w:r>
          </w:p>
        </w:tc>
      </w:tr>
      <w:tr w:rsidTr="00EA07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4.6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Defects that can occur in economisers and how they can be repaired are listed</w:t>
            </w:r>
          </w:p>
        </w:tc>
      </w:tr>
      <w:tr w:rsidTr="00EA07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4.7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Maintenance inspection procedures to prevent superheater and economise fires are produced</w:t>
            </w:r>
          </w:p>
        </w:tc>
      </w:tr>
      <w:tr w:rsidTr="00EA07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4.8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Procedure to combat soot and steam/iron fires in generating banks, superhe</w:t>
            </w:r>
            <w:r w:rsidRPr="00A77747">
              <w:t>aters and economisers is outlined</w:t>
            </w:r>
          </w:p>
        </w:tc>
      </w:tr>
      <w:tr w:rsidTr="00EA07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4.9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Coordinate and congruent feed water treatment is illustrated on a caustic/phosphate graph</w:t>
            </w:r>
          </w:p>
        </w:tc>
      </w:tr>
      <w:tr w:rsidTr="00EA07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4.10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Different feedwater tests, procedure for each test and appropriate chemical treatments are explained</w:t>
            </w:r>
          </w:p>
        </w:tc>
      </w:tr>
      <w:tr w:rsidTr="00EA07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4.11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Program for an internal and external survey of a water tube boiler is compiled, defects that may be found and repair methods that will enable boiler to be returned to service are listed</w:t>
            </w:r>
          </w:p>
        </w:tc>
      </w:tr>
      <w:tr w:rsidTr="00EA07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4.12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Procedure for setting lift, adjusting blow-down of safety valv</w:t>
            </w:r>
            <w:r w:rsidRPr="00A77747">
              <w:t>es and carrying out an accumulation test on a boiler is outlined</w:t>
            </w:r>
          </w:p>
        </w:tc>
      </w:tr>
      <w:tr w:rsidTr="00EA07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4.13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Operation, desired temperature range and correct cleaning and maintenance requirements for tube and regenerative air heaters are detailed</w:t>
            </w:r>
          </w:p>
        </w:tc>
      </w:tr>
      <w:tr w:rsidTr="00EA07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4.14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Preparation and procedure for conducting hydraulic testing of a high pressure water tube boiler is explained</w:t>
            </w:r>
          </w:p>
        </w:tc>
      </w:tr>
      <w:tr w:rsidTr="00EA07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747" w:rsidP="00A77747">
            <w:pPr>
              <w:pStyle w:val="BodyText"/>
            </w:pPr>
            <w:r w:rsidRPr="00A77747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rPr>
                <w:rStyle w:val="SpecialBold"/>
              </w:rPr>
              <w:t>Analyse turbine operation, maintenance and performance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Relationship between sequential nozzle operation and bar lift in steam turbines is ex</w:t>
            </w:r>
            <w:r w:rsidRPr="00A77747">
              <w:t>plained</w:t>
            </w:r>
          </w:p>
        </w:tc>
      </w:tr>
      <w:tr w:rsidTr="00EA07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Principle of operation of different trips and cut-outs is explained</w:t>
            </w:r>
          </w:p>
        </w:tc>
      </w:tr>
      <w:tr w:rsidTr="00EA07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Differentiation is made between resonance and critical speed, and their effect on the turbine operation is explained</w:t>
            </w:r>
          </w:p>
        </w:tc>
      </w:tr>
      <w:tr w:rsidTr="00EA07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Types of turbine vibration and where each type is found in a turbine is analysed</w:t>
            </w:r>
          </w:p>
        </w:tc>
      </w:tr>
      <w:tr w:rsidTr="00EA07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5.5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System torsional vibration and effect of operating at critical speeds and in-built design elements required to avoid critical speeds are explained</w:t>
            </w:r>
          </w:p>
        </w:tc>
      </w:tr>
      <w:tr w:rsidTr="00EA07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5.6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 xml:space="preserve">Back pressure </w:t>
            </w:r>
            <w:r w:rsidRPr="00A77747">
              <w:t>and self-condensing turbo alternators are compared</w:t>
            </w:r>
          </w:p>
        </w:tc>
      </w:tr>
      <w:tr w:rsidTr="00EA07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5.7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Governor system is explained</w:t>
            </w:r>
          </w:p>
        </w:tc>
      </w:tr>
      <w:tr w:rsidTr="00EA07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5.8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Turbine control systems are explained</w:t>
            </w:r>
          </w:p>
        </w:tc>
      </w:tr>
      <w:tr w:rsidTr="00EA07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5.9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Procedure for opening up turbine for survey, routine checks of blades, casings</w:t>
            </w:r>
            <w:r w:rsidRPr="00A77747">
              <w:t>, rotors, bearings, glands, drains and the reassembly of turbine is explained</w:t>
            </w:r>
          </w:p>
        </w:tc>
      </w:tr>
      <w:tr w:rsidTr="00EA07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5.10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Procedure for straightening a bowed turbine rotor is outlined</w:t>
            </w:r>
          </w:p>
        </w:tc>
      </w:tr>
      <w:tr w:rsidTr="00EA07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747" w:rsidP="00A77747">
            <w:pPr>
              <w:pStyle w:val="BodyText"/>
            </w:pPr>
            <w:r w:rsidRPr="00A77747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rPr>
                <w:rStyle w:val="SpecialBold"/>
              </w:rPr>
              <w:t>Evaluate turbine-gearing performance</w:t>
            </w: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Single and double reduction gearing systems are compared and contrasted</w:t>
            </w:r>
          </w:p>
        </w:tc>
      </w:tr>
      <w:tr w:rsidTr="00EA07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Features and applications of double helical involute gear teeth are outlined</w:t>
            </w:r>
          </w:p>
        </w:tc>
      </w:tr>
      <w:tr w:rsidTr="00EA07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Advantages and disadvantages of single and double locked train gearboxes are analysed</w:t>
            </w:r>
          </w:p>
        </w:tc>
      </w:tr>
      <w:tr w:rsidTr="00EA07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6.4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Construction and reason for installing flexible couplings in gearing system is explained</w:t>
            </w:r>
          </w:p>
        </w:tc>
      </w:tr>
      <w:tr w:rsidTr="00EA07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6.5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Features, functions and applications of star, planetary and solar epicyclic gearing are compared and contrasted</w:t>
            </w:r>
          </w:p>
        </w:tc>
      </w:tr>
      <w:tr w:rsidTr="00EA07BC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6.6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747" w:rsidP="00A77747">
            <w:pPr>
              <w:pStyle w:val="BodyText"/>
            </w:pPr>
            <w:r w:rsidRPr="00A77747">
              <w:t>Space savings resulting from use of epicy</w:t>
            </w:r>
            <w:r w:rsidRPr="00A77747">
              <w:t>clic gearing are analysed</w:t>
            </w:r>
          </w:p>
        </w:tc>
      </w:tr>
    </w:tbl>
    <w:p w:rsidR="00000000" w:rsidRPr="00A77747" w:rsidP="00A77747">
      <w:pPr>
        <w:pStyle w:val="BodyText"/>
      </w:pPr>
    </w:p>
    <w:p w:rsidR="00000000" w:rsidRPr="00A77747" w:rsidP="00A77747">
      <w:pPr>
        <w:pStyle w:val="AllowPageBreak"/>
      </w:pPr>
    </w:p>
    <w:p w:rsidR="00000000" w:rsidRPr="00A77747" w:rsidP="00A77747">
      <w:pPr>
        <w:pStyle w:val="Heading1"/>
      </w:pPr>
      <w:bookmarkStart w:id="7" w:name="O_661873"/>
      <w:bookmarkEnd w:id="7"/>
      <w:r w:rsidRPr="00A77747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A777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747" w:rsidP="00A77747">
            <w:pPr>
              <w:pStyle w:val="BodyText"/>
            </w:pPr>
            <w:r w:rsidRPr="00A77747">
              <w:t>Foundation skills essential to performance are explicit in the performance criteria of this unit of competency.</w:t>
            </w:r>
          </w:p>
        </w:tc>
      </w:tr>
    </w:tbl>
    <w:p w:rsidR="00000000" w:rsidRPr="00A77747" w:rsidP="00A77747">
      <w:pPr>
        <w:pStyle w:val="BodyText"/>
      </w:pPr>
    </w:p>
    <w:p w:rsidR="00000000" w:rsidRPr="00A77747" w:rsidP="00A77747">
      <w:pPr>
        <w:pStyle w:val="AllowPageBreak"/>
      </w:pPr>
    </w:p>
    <w:p w:rsidR="00000000" w:rsidRPr="00A77747" w:rsidP="00A77747">
      <w:pPr>
        <w:pStyle w:val="Heading1"/>
      </w:pPr>
      <w:bookmarkStart w:id="8" w:name="O_661874"/>
      <w:bookmarkEnd w:id="8"/>
      <w:r w:rsidRPr="00A77747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A777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Range is restricted to essential operating conditions and any other variables essential to the work environment.</w:t>
            </w:r>
          </w:p>
        </w:tc>
      </w:tr>
      <w:tr w:rsidTr="00A777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EA07BC" w:rsidP="00A77747">
            <w:pPr>
              <w:pStyle w:val="BodyText"/>
            </w:pPr>
            <w:r w:rsidRPr="00A77747">
              <w:t>Trips and cut-outs include one or more of the following:</w:t>
            </w:r>
          </w:p>
          <w:p w:rsidR="00EA07BC" w:rsidP="00A77747">
            <w:pPr>
              <w:pStyle w:val="BodyText"/>
            </w:pPr>
          </w:p>
          <w:p w:rsidR="00000000" w:rsidP="00A77747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747" w:rsidP="00A77747">
            <w:pPr>
              <w:pStyle w:val="ListBullet"/>
            </w:pPr>
            <w:r w:rsidRPr="00A77747">
              <w:t>axial displacement</w:t>
            </w:r>
          </w:p>
          <w:p w:rsidR="00000000" w:rsidRPr="00A77747" w:rsidP="00A77747">
            <w:pPr>
              <w:pStyle w:val="ListBullet"/>
            </w:pPr>
            <w:r w:rsidRPr="00A77747">
              <w:t>bearing high temperature</w:t>
            </w:r>
          </w:p>
          <w:p w:rsidR="00000000" w:rsidRPr="00A77747" w:rsidP="00A77747">
            <w:pPr>
              <w:pStyle w:val="ListBullet"/>
            </w:pPr>
            <w:r w:rsidRPr="00A77747">
              <w:t>high condenser level</w:t>
            </w:r>
          </w:p>
          <w:p w:rsidR="00000000" w:rsidRPr="00A77747" w:rsidP="00A77747">
            <w:pPr>
              <w:pStyle w:val="ListBullet"/>
            </w:pPr>
            <w:r w:rsidRPr="00A77747">
              <w:t>loss of vacuum</w:t>
            </w:r>
          </w:p>
          <w:p w:rsidR="00000000" w:rsidRPr="00A77747" w:rsidP="00A77747">
            <w:pPr>
              <w:pStyle w:val="ListBullet"/>
            </w:pPr>
            <w:r w:rsidRPr="00A77747">
              <w:t>over speed</w:t>
            </w:r>
          </w:p>
          <w:p w:rsidR="00000000" w:rsidP="00A77747">
            <w:pPr>
              <w:pStyle w:val="ListBullet"/>
              <w:rPr>
                <w:lang w:val="en-NZ"/>
              </w:rPr>
            </w:pPr>
            <w:r w:rsidRPr="00A77747">
              <w:t>vibration</w:t>
            </w:r>
          </w:p>
        </w:tc>
      </w:tr>
      <w:tr w:rsidTr="00A777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747" w:rsidP="00A77747">
            <w:pPr>
              <w:pStyle w:val="BodyText"/>
            </w:pPr>
            <w:r w:rsidRPr="00A77747">
              <w:t>Turbine vibration includes one or more of the following:</w:t>
            </w:r>
          </w:p>
          <w:p w:rsidR="00000000" w:rsidP="00A77747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747" w:rsidP="00A77747">
            <w:pPr>
              <w:pStyle w:val="ListBullet"/>
            </w:pPr>
            <w:r w:rsidRPr="00A77747">
              <w:t>axial</w:t>
            </w:r>
          </w:p>
          <w:p w:rsidR="00000000" w:rsidRPr="00A77747" w:rsidP="00A77747">
            <w:pPr>
              <w:pStyle w:val="ListBullet"/>
            </w:pPr>
            <w:r w:rsidRPr="00A77747">
              <w:t xml:space="preserve">torsional </w:t>
            </w:r>
          </w:p>
          <w:p w:rsidR="00000000" w:rsidP="00A77747">
            <w:pPr>
              <w:pStyle w:val="ListBullet"/>
              <w:rPr>
                <w:lang w:val="en-NZ"/>
              </w:rPr>
            </w:pPr>
            <w:r w:rsidRPr="00A77747">
              <w:t>transverse</w:t>
            </w:r>
          </w:p>
        </w:tc>
      </w:tr>
      <w:tr w:rsidTr="00A7774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7747">
            <w:pPr>
              <w:pStyle w:val="BodyText"/>
              <w:rPr>
                <w:lang w:val="en-NZ"/>
              </w:rPr>
            </w:pPr>
            <w:r w:rsidRPr="00A77747">
              <w:t>Turbine control systems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7747" w:rsidP="00A77747">
            <w:pPr>
              <w:pStyle w:val="ListBullet"/>
            </w:pPr>
            <w:r w:rsidRPr="00A77747">
              <w:t xml:space="preserve">bridge control </w:t>
            </w:r>
          </w:p>
          <w:p w:rsidR="00000000" w:rsidRPr="00A77747" w:rsidP="00A77747">
            <w:pPr>
              <w:pStyle w:val="ListBullet"/>
            </w:pPr>
            <w:r w:rsidRPr="00A77747">
              <w:t>emergency operation</w:t>
            </w:r>
          </w:p>
          <w:p w:rsidR="00000000" w:rsidRPr="00A77747" w:rsidP="00A77747">
            <w:pPr>
              <w:pStyle w:val="ListBullet"/>
            </w:pPr>
            <w:r w:rsidRPr="00A77747">
              <w:t xml:space="preserve">hydraulic control </w:t>
            </w:r>
          </w:p>
          <w:p w:rsidR="00000000" w:rsidRPr="00A77747" w:rsidP="00A77747">
            <w:pPr>
              <w:pStyle w:val="ListBullet"/>
            </w:pPr>
            <w:r w:rsidRPr="00A77747">
              <w:t>local control</w:t>
            </w:r>
          </w:p>
        </w:tc>
      </w:tr>
    </w:tbl>
    <w:p w:rsidR="00000000" w:rsidRPr="00A77747" w:rsidP="00A77747">
      <w:pPr>
        <w:pStyle w:val="BodyText"/>
      </w:pPr>
    </w:p>
    <w:p w:rsidR="00000000" w:rsidRPr="00A77747" w:rsidP="00A77747">
      <w:pPr>
        <w:pStyle w:val="AllowPageBreak"/>
      </w:pPr>
    </w:p>
    <w:p w:rsidR="00000000" w:rsidRPr="00A77747" w:rsidP="00A77747">
      <w:pPr>
        <w:pStyle w:val="Heading1"/>
      </w:pPr>
      <w:bookmarkStart w:id="9" w:name="O_661875"/>
      <w:bookmarkEnd w:id="9"/>
      <w:r w:rsidRPr="00A77747">
        <w:t>Unit Mapping Information</w:t>
      </w:r>
    </w:p>
    <w:p w:rsidR="00000000" w:rsidRPr="00A77747" w:rsidP="00EA07BC">
      <w:pPr>
        <w:pStyle w:val="BodyText"/>
      </w:pPr>
      <w:r w:rsidRPr="00A77747">
        <w:t>This unit replaces and is equivalent to MARL6022A Demonstrate advanced knowledge of marine steam turbines and main boilers.</w:t>
      </w:r>
    </w:p>
    <w:p w:rsidR="00000000" w:rsidRPr="00A77747" w:rsidP="00EA07BC">
      <w:pPr>
        <w:pStyle w:val="BodyText"/>
      </w:pPr>
      <w:r w:rsidRPr="00A77747">
        <w:t xml:space="preserve">MARL6022A replaces and is equivalent to TDMMR5707A Manage the operation, monitoring and evaluation </w:t>
      </w:r>
      <w:r w:rsidRPr="00A77747">
        <w:t xml:space="preserve">of </w:t>
      </w:r>
      <w:r w:rsidRPr="00A77747">
        <w:t>the performance of steam propulsion plant on vessels of unlimited propulsion power.</w:t>
      </w:r>
    </w:p>
    <w:p w:rsidR="00000000" w:rsidRPr="00A77747" w:rsidP="00A77747">
      <w:pPr>
        <w:pStyle w:val="Heading1"/>
      </w:pPr>
      <w:bookmarkStart w:id="10" w:name="O_661882"/>
      <w:bookmarkEnd w:id="10"/>
      <w:r w:rsidRPr="00A77747">
        <w:t>Links</w:t>
      </w:r>
    </w:p>
    <w:p w:rsidR="00000000" w:rsidRPr="00A77747" w:rsidP="00EA07BC">
      <w:pPr>
        <w:pStyle w:val="BodyText"/>
      </w:pPr>
      <w:r w:rsidRPr="00A777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B2700F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A77747" w:rsidP="00A77747"/>
    <w:sectPr w:rsidSect="00A7774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7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747" w:rsidRPr="00EA07BC" w:rsidP="00EA07B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7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7BC" w:rsidP="00A777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A07BC" w:rsidP="00A777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EA07BC" w:rsidP="00A777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7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7B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7747" w:rsidRPr="00EA07BC" w:rsidP="00EA07B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77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7BC" w:rsidRPr="002D2AF8" w:rsidP="00A777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MARL035 Demonstrate advanced knowledge of marine steam turbines and main boilers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EA07BC" w:rsidP="00A777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7B6CF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AFAC8A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77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77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77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77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77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77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77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77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77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77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77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7747"/>
  </w:style>
  <w:style w:type="character" w:customStyle="1" w:styleId="Heading1Char">
    <w:name w:val="Heading 1 Char"/>
    <w:basedOn w:val="DefaultParagraphFont"/>
    <w:link w:val="Heading1"/>
    <w:rsid w:val="00A777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77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77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774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77747"/>
    <w:rPr>
      <w:b/>
      <w:spacing w:val="0"/>
    </w:rPr>
  </w:style>
  <w:style w:type="paragraph" w:customStyle="1" w:styleId="SuperHeading">
    <w:name w:val="SuperHeading"/>
    <w:basedOn w:val="Normal"/>
    <w:rsid w:val="00A777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77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777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77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77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77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77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77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77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77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77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77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77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77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77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77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77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77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77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77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77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77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777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77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77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7774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777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77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77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77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77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77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77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77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774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7747"/>
    <w:rPr>
      <w:i/>
    </w:rPr>
  </w:style>
  <w:style w:type="paragraph" w:styleId="Caption">
    <w:name w:val="caption"/>
    <w:basedOn w:val="BodyText"/>
    <w:next w:val="Normal"/>
    <w:qFormat/>
    <w:rsid w:val="00A777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77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77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7747"/>
  </w:style>
  <w:style w:type="paragraph" w:styleId="TableofFigures">
    <w:name w:val="table of figures"/>
    <w:basedOn w:val="Normal"/>
    <w:next w:val="Normal"/>
    <w:semiHidden/>
    <w:rsid w:val="00A777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774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77747"/>
    <w:rPr>
      <w:rFonts w:ascii="Wingdings" w:hAnsi="Wingdings"/>
    </w:rPr>
  </w:style>
  <w:style w:type="paragraph" w:customStyle="1" w:styleId="TableHeading">
    <w:name w:val="Table Heading"/>
    <w:basedOn w:val="HeadingBase"/>
    <w:rsid w:val="00A777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7747"/>
    <w:rPr>
      <w:color w:val="0033CC"/>
      <w:u w:val="none"/>
    </w:rPr>
  </w:style>
  <w:style w:type="paragraph" w:customStyle="1" w:styleId="BodyTextRight">
    <w:name w:val="Body Text Right"/>
    <w:basedOn w:val="BodyText"/>
    <w:rsid w:val="00A777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77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774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77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77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77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7747"/>
    <w:rPr>
      <w:sz w:val="32"/>
    </w:rPr>
  </w:style>
  <w:style w:type="paragraph" w:customStyle="1" w:styleId="HeadingProcedure">
    <w:name w:val="Heading Procedure"/>
    <w:basedOn w:val="HeadingBase"/>
    <w:next w:val="Normal"/>
    <w:rsid w:val="00A777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7747"/>
    <w:pPr>
      <w:spacing w:before="60" w:after="60"/>
    </w:pPr>
  </w:style>
  <w:style w:type="paragraph" w:styleId="ListContinue">
    <w:name w:val="List Continue"/>
    <w:basedOn w:val="List"/>
    <w:rsid w:val="00A77747"/>
    <w:pPr>
      <w:ind w:firstLine="0"/>
    </w:pPr>
  </w:style>
  <w:style w:type="paragraph" w:customStyle="1" w:styleId="ListNote">
    <w:name w:val="List Note"/>
    <w:basedOn w:val="List"/>
    <w:rsid w:val="00A777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77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77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7747"/>
    <w:rPr>
      <w:rFonts w:ascii="Courier New" w:hAnsi="Courier New"/>
    </w:rPr>
  </w:style>
  <w:style w:type="paragraph" w:customStyle="1" w:styleId="NoteBullet">
    <w:name w:val="Note Bullet"/>
    <w:basedOn w:val="Note"/>
    <w:rsid w:val="00A777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77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77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77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774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777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77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7747"/>
    <w:rPr>
      <w:b/>
      <w:smallCaps/>
    </w:rPr>
  </w:style>
  <w:style w:type="paragraph" w:customStyle="1" w:styleId="TableListNumber">
    <w:name w:val="Table List Number"/>
    <w:basedOn w:val="ListNumber"/>
    <w:rsid w:val="00A777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77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7747"/>
    <w:pPr>
      <w:numPr>
        <w:numId w:val="8"/>
      </w:numPr>
    </w:pPr>
  </w:style>
  <w:style w:type="paragraph" w:customStyle="1" w:styleId="ListAlpha2">
    <w:name w:val="List Alpha 2"/>
    <w:basedOn w:val="List2"/>
    <w:rsid w:val="00A77747"/>
    <w:pPr>
      <w:numPr>
        <w:numId w:val="7"/>
      </w:numPr>
    </w:pPr>
  </w:style>
  <w:style w:type="paragraph" w:styleId="List2">
    <w:name w:val="List 2"/>
    <w:basedOn w:val="BodyText"/>
    <w:rsid w:val="00A777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77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77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77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7774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7774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77747"/>
    <w:pPr>
      <w:numPr>
        <w:numId w:val="3"/>
      </w:numPr>
    </w:pPr>
  </w:style>
  <w:style w:type="paragraph" w:styleId="ListContinue2">
    <w:name w:val="List Continue 2"/>
    <w:basedOn w:val="List2"/>
    <w:rsid w:val="00A77747"/>
    <w:pPr>
      <w:ind w:firstLine="0"/>
    </w:pPr>
  </w:style>
  <w:style w:type="paragraph" w:styleId="ListContinue3">
    <w:name w:val="List Continue 3"/>
    <w:basedOn w:val="List3"/>
    <w:rsid w:val="00A77747"/>
    <w:pPr>
      <w:ind w:left="1021" w:firstLine="0"/>
    </w:pPr>
  </w:style>
  <w:style w:type="paragraph" w:styleId="ListContinue4">
    <w:name w:val="List Continue 4"/>
    <w:basedOn w:val="List4"/>
    <w:rsid w:val="00A77747"/>
    <w:pPr>
      <w:ind w:firstLine="0"/>
    </w:pPr>
  </w:style>
  <w:style w:type="paragraph" w:styleId="ListContinue5">
    <w:name w:val="List Continue 5"/>
    <w:basedOn w:val="List5"/>
    <w:rsid w:val="00A77747"/>
    <w:pPr>
      <w:ind w:firstLine="0"/>
    </w:pPr>
  </w:style>
  <w:style w:type="paragraph" w:styleId="ListNumber3">
    <w:name w:val="List Number 3"/>
    <w:basedOn w:val="List3"/>
    <w:rsid w:val="00A77747"/>
    <w:pPr>
      <w:numPr>
        <w:numId w:val="4"/>
      </w:numPr>
    </w:pPr>
  </w:style>
  <w:style w:type="paragraph" w:styleId="ListNumber4">
    <w:name w:val="List Number 4"/>
    <w:basedOn w:val="List4"/>
    <w:rsid w:val="00A77747"/>
    <w:pPr>
      <w:numPr>
        <w:numId w:val="5"/>
      </w:numPr>
    </w:pPr>
  </w:style>
  <w:style w:type="paragraph" w:styleId="ListNumber5">
    <w:name w:val="List Number 5"/>
    <w:basedOn w:val="List5"/>
    <w:rsid w:val="00A77747"/>
    <w:pPr>
      <w:numPr>
        <w:numId w:val="6"/>
      </w:numPr>
    </w:pPr>
  </w:style>
  <w:style w:type="paragraph" w:styleId="BlockText">
    <w:name w:val="Block Text"/>
    <w:basedOn w:val="Normal"/>
    <w:rsid w:val="00A777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77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7747"/>
    <w:rPr>
      <w:sz w:val="16"/>
      <w:vertAlign w:val="superscript"/>
    </w:rPr>
  </w:style>
  <w:style w:type="character" w:customStyle="1" w:styleId="Symbols">
    <w:name w:val="Symbols"/>
    <w:basedOn w:val="DefaultParagraphFont"/>
    <w:rsid w:val="00A77747"/>
    <w:rPr>
      <w:rFonts w:ascii="Symbol" w:hAnsi="Symbol"/>
    </w:rPr>
  </w:style>
  <w:style w:type="character" w:customStyle="1" w:styleId="MenuOptions">
    <w:name w:val="Menu Options"/>
    <w:basedOn w:val="DefaultParagraphFont"/>
    <w:rsid w:val="00A777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7747"/>
    <w:rPr>
      <w:b/>
    </w:rPr>
  </w:style>
  <w:style w:type="character" w:customStyle="1" w:styleId="Underlined">
    <w:name w:val="Underlined"/>
    <w:basedOn w:val="DefaultParagraphFont"/>
    <w:rsid w:val="00A77747"/>
    <w:rPr>
      <w:u w:val="single"/>
    </w:rPr>
  </w:style>
  <w:style w:type="paragraph" w:customStyle="1" w:styleId="TableBodyTextRight">
    <w:name w:val="Table Body Text Right"/>
    <w:basedOn w:val="TableBodyText"/>
    <w:rsid w:val="00A777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7747"/>
    <w:rPr>
      <w:sz w:val="18"/>
    </w:rPr>
  </w:style>
  <w:style w:type="paragraph" w:customStyle="1" w:styleId="BodySmallRight">
    <w:name w:val="Body Small Right"/>
    <w:basedOn w:val="BodyTextRight"/>
    <w:rsid w:val="00A77747"/>
    <w:rPr>
      <w:sz w:val="18"/>
      <w:szCs w:val="18"/>
    </w:rPr>
  </w:style>
  <w:style w:type="paragraph" w:customStyle="1" w:styleId="MarginEdition">
    <w:name w:val="Margin Edition"/>
    <w:basedOn w:val="MarginNote"/>
    <w:rsid w:val="00A777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7747"/>
    <w:rPr>
      <w:sz w:val="2"/>
      <w:szCs w:val="2"/>
    </w:rPr>
  </w:style>
  <w:style w:type="character" w:customStyle="1" w:styleId="Small">
    <w:name w:val="Small"/>
    <w:basedOn w:val="DefaultParagraphFont"/>
    <w:rsid w:val="00A77747"/>
    <w:rPr>
      <w:sz w:val="16"/>
    </w:rPr>
  </w:style>
  <w:style w:type="paragraph" w:customStyle="1" w:styleId="WideTable">
    <w:name w:val="Wide Table"/>
    <w:basedOn w:val="Normal"/>
    <w:rsid w:val="00A777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7747"/>
  </w:style>
  <w:style w:type="paragraph" w:styleId="Quote">
    <w:name w:val="Quote"/>
    <w:basedOn w:val="Heading1"/>
    <w:link w:val="QuoteChar"/>
    <w:qFormat/>
    <w:rsid w:val="00A777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77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7747"/>
    <w:pPr>
      <w:pageBreakBefore/>
    </w:pPr>
  </w:style>
  <w:style w:type="paragraph" w:customStyle="1" w:styleId="Border">
    <w:name w:val="Border"/>
    <w:basedOn w:val="Normal"/>
    <w:qFormat/>
    <w:rsid w:val="00A777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77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77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77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77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77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77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77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77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7747"/>
    <w:rPr>
      <w:u w:val="single"/>
    </w:rPr>
  </w:style>
  <w:style w:type="character" w:customStyle="1" w:styleId="BoldandItalics">
    <w:name w:val="Bold and Italics"/>
    <w:qFormat/>
    <w:rsid w:val="00A77747"/>
    <w:rPr>
      <w:b/>
      <w:i/>
      <w:u w:val="none"/>
    </w:rPr>
  </w:style>
  <w:style w:type="paragraph" w:styleId="BalloonText">
    <w:name w:val="Balloon Text"/>
    <w:basedOn w:val="Normal"/>
    <w:link w:val="BalloonTextChar"/>
    <w:rsid w:val="00A777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77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77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77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77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77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7747"/>
    <w:pPr>
      <w:spacing w:before="0" w:after="0"/>
    </w:pPr>
  </w:style>
  <w:style w:type="paragraph" w:customStyle="1" w:styleId="BodyTextBold">
    <w:name w:val="Body Text Bold"/>
    <w:basedOn w:val="BodyText"/>
    <w:qFormat/>
    <w:rsid w:val="00A77747"/>
    <w:rPr>
      <w:b/>
    </w:rPr>
  </w:style>
  <w:style w:type="character" w:styleId="Hyperlink">
    <w:name w:val="Hyperlink"/>
    <w:basedOn w:val="DefaultParagraphFont"/>
    <w:uiPriority w:val="99"/>
    <w:unhideWhenUsed/>
    <w:rsid w:val="00EA07B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1190</Words>
  <Characters>7049</Characters>
  <Application>Microsoft Office Word</Application>
  <DocSecurity>0</DocSecurity>
  <Lines>391</Lines>
  <Paragraphs>183</Paragraphs>
  <ScaleCrop>false</ScaleCrop>
  <Company>Author-it Software Corporation Ltd.</Company>
  <LinksUpToDate>false</LinksUpToDate>
  <CharactersWithSpaces>8056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MARL035 Demonstrate advanced knowledge of marine steam turbines and main boilers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2020-10-27T01:52:00Z</dcterms:created>
  <dcterms:modified xsi:type="dcterms:W3CDTF">2020-10-27T01:52:00Z</dcterms:modified>
</cp:coreProperties>
</file>