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A320C" w:rsidP="00AA320C">
      <w:pPr>
        <w:pStyle w:val="Title"/>
      </w:pPr>
      <w:r>
        <w:fldChar w:fldCharType="begin"/>
      </w:r>
      <w:r>
        <w:instrText xml:space="preserve"> TITLE   \* MERGEFORMAT </w:instrText>
      </w:r>
      <w:r>
        <w:fldChar w:fldCharType="separate"/>
      </w:r>
      <w:r>
        <w:t>MARL032 Demonstrate advanced knowledge of marine control systems and automation</w:t>
      </w:r>
      <w:r>
        <w:fldChar w:fldCharType="end"/>
      </w:r>
    </w:p>
    <w:p w:rsidR="00AA320C" w:rsidP="00AA320C">
      <w:pPr>
        <w:pStyle w:val="Version"/>
        <w:sectPr w:rsidSect="00D20E0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20E0B" w:rsidP="00D20E0B">
      <w:pPr>
        <w:pStyle w:val="SuperHeading"/>
      </w:pPr>
      <w:r w:rsidRPr="00D20E0B">
        <w:t>MARL032 Demonstrate advanced knowledge of marine control systems and automation</w:t>
      </w:r>
    </w:p>
    <w:p w:rsidR="00000000" w:rsidRPr="00D20E0B" w:rsidP="00D20E0B">
      <w:pPr>
        <w:pStyle w:val="Heading1"/>
      </w:pPr>
      <w:bookmarkStart w:id="1" w:name="O_661810"/>
      <w:bookmarkEnd w:id="1"/>
      <w:r w:rsidRPr="00D20E0B">
        <w:t>Modification History</w:t>
      </w:r>
    </w:p>
    <w:p w:rsidR="00000000" w:rsidRPr="00D20E0B" w:rsidP="00AA320C">
      <w:pPr>
        <w:pStyle w:val="BodyText"/>
      </w:pPr>
      <w:r w:rsidRPr="00D20E0B">
        <w:t>Release 1. New unit of competency.</w:t>
      </w:r>
    </w:p>
    <w:p w:rsidR="00000000" w:rsidRPr="00D20E0B" w:rsidP="00D20E0B">
      <w:pPr>
        <w:pStyle w:val="Heading1"/>
      </w:pPr>
      <w:bookmarkStart w:id="2" w:name="O_661811"/>
      <w:bookmarkEnd w:id="2"/>
      <w:r w:rsidRPr="00D20E0B">
        <w:t>Application</w:t>
      </w:r>
    </w:p>
    <w:p w:rsidR="00000000" w:rsidRPr="00D20E0B" w:rsidP="00AA320C">
      <w:pPr>
        <w:pStyle w:val="BodyText"/>
      </w:pPr>
      <w:r w:rsidRPr="00D20E0B">
        <w:t>This unit involves the skills and knowledge required to operate control systems on board a commercial vessel. It includes basic knowledge of control theory and knowledge required to analyse the operation and performance of signal transmissions systems, ele</w:t>
      </w:r>
      <w:r w:rsidRPr="00D20E0B">
        <w:t>ctronic transmitters, final control element arrangements, electronic temperature sensors and transmitters, governors, PID electronic controllers, machinery space monitoring alarm and control systems.</w:t>
      </w:r>
    </w:p>
    <w:p w:rsidR="00000000" w:rsidRPr="00D20E0B" w:rsidP="00AA320C">
      <w:pPr>
        <w:pStyle w:val="BodyText"/>
      </w:pPr>
      <w:r w:rsidRPr="00D20E0B">
        <w:t xml:space="preserve">It also includes knowledge of fault finding techniques </w:t>
      </w:r>
      <w:r w:rsidRPr="00D20E0B">
        <w:t>for control systems, measurement and test equipment used for fault finding electronic apparatus, operational applications of analogue and digital programmable logic controllers, and procedures for programming, operating, and maintaining PLC controlled syst</w:t>
      </w:r>
      <w:r w:rsidRPr="00D20E0B">
        <w:t>ems.</w:t>
      </w:r>
    </w:p>
    <w:p w:rsidR="00000000" w:rsidRPr="00D20E0B" w:rsidP="00AA320C">
      <w:pPr>
        <w:pStyle w:val="BodyText"/>
      </w:pPr>
      <w:r w:rsidRPr="00D20E0B">
        <w:t>This unit applies to the work of a Marine Engineer Class 1 on commercial vessels of unlimited propulsion power and forms part of the requirements for the Certificate of Competency Marine Engineer Class 1 issued by the Australian Maritime Safety Autho</w:t>
      </w:r>
      <w:r w:rsidRPr="00D20E0B">
        <w:t>rity (AMSA).</w:t>
      </w:r>
    </w:p>
    <w:p w:rsidR="00000000" w:rsidRPr="00D20E0B" w:rsidP="00AA320C">
      <w:pPr>
        <w:pStyle w:val="BodyText"/>
      </w:pPr>
      <w:r w:rsidRPr="00D20E0B">
        <w:t>No licensing, legislative or certification requirements apply to this unit at the time of publication.</w:t>
      </w:r>
    </w:p>
    <w:p w:rsidR="00000000" w:rsidRPr="00D20E0B" w:rsidP="00D20E0B">
      <w:pPr>
        <w:pStyle w:val="Heading1"/>
      </w:pPr>
      <w:bookmarkStart w:id="3" w:name="O_661812"/>
      <w:bookmarkEnd w:id="3"/>
      <w:r w:rsidRPr="00D20E0B">
        <w:t>Pre-requisite Unit</w:t>
      </w:r>
    </w:p>
    <w:p w:rsidR="00000000" w:rsidRPr="00D20E0B" w:rsidP="00AA320C">
      <w:pPr>
        <w:pStyle w:val="BodyText"/>
      </w:pPr>
      <w:r w:rsidRPr="00D20E0B">
        <w:t>Not applicable.</w:t>
      </w:r>
    </w:p>
    <w:p w:rsidR="00000000" w:rsidRPr="00D20E0B" w:rsidP="00D20E0B">
      <w:pPr>
        <w:pStyle w:val="Heading1"/>
      </w:pPr>
      <w:bookmarkStart w:id="4" w:name="O_661813"/>
      <w:bookmarkEnd w:id="4"/>
      <w:r w:rsidRPr="00D20E0B">
        <w:t>Competency Field</w:t>
      </w:r>
    </w:p>
    <w:p w:rsidR="00000000" w:rsidRPr="00D20E0B" w:rsidP="00AA320C">
      <w:pPr>
        <w:pStyle w:val="BodyText"/>
      </w:pPr>
      <w:r w:rsidRPr="00D20E0B">
        <w:t>L – Marine Engineering</w:t>
      </w:r>
    </w:p>
    <w:p w:rsidR="00000000" w:rsidRPr="00D20E0B" w:rsidP="00D20E0B">
      <w:pPr>
        <w:pStyle w:val="Heading1"/>
      </w:pPr>
      <w:bookmarkStart w:id="5" w:name="O_661814"/>
      <w:bookmarkEnd w:id="5"/>
      <w:r w:rsidRPr="00D20E0B">
        <w:t>Unit Sector</w:t>
      </w:r>
    </w:p>
    <w:p w:rsidR="00000000" w:rsidRPr="00D20E0B" w:rsidP="00AA320C">
      <w:pPr>
        <w:pStyle w:val="BodyText"/>
      </w:pPr>
      <w:r w:rsidRPr="00D20E0B">
        <w:t>No</w:t>
      </w:r>
      <w:r w:rsidRPr="00D20E0B">
        <w:t>t applicable.</w:t>
      </w:r>
    </w:p>
    <w:p w:rsidR="00000000" w:rsidRPr="00D20E0B" w:rsidP="00D20E0B">
      <w:pPr>
        <w:pStyle w:val="Heading1"/>
      </w:pPr>
      <w:bookmarkStart w:id="6" w:name="O_661815"/>
      <w:bookmarkEnd w:id="6"/>
      <w:r w:rsidRPr="00D20E0B">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AA320C">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D20E0B">
            <w:pPr>
              <w:pStyle w:val="BodyText"/>
              <w:rPr>
                <w:lang w:val="en-NZ"/>
              </w:rPr>
            </w:pPr>
            <w:r w:rsidRPr="00D20E0B">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D20E0B">
            <w:pPr>
              <w:pStyle w:val="BodyText"/>
              <w:rPr>
                <w:lang w:val="en-NZ"/>
              </w:rPr>
            </w:pPr>
            <w:r w:rsidRPr="00D20E0B">
              <w:t>Performance criteria describe the performance needed to demonstrate achievement of the element.</w:t>
            </w:r>
          </w:p>
        </w:tc>
      </w:tr>
      <w:tr w:rsidTr="00AA320C">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D20E0B" w:rsidP="00D20E0B">
            <w:pPr>
              <w:pStyle w:val="BodyText"/>
            </w:pPr>
            <w:r w:rsidRPr="00D20E0B">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D20E0B">
            <w:pPr>
              <w:pStyle w:val="BodyText"/>
              <w:rPr>
                <w:lang w:val="en-NZ"/>
              </w:rPr>
            </w:pPr>
            <w:r w:rsidRPr="00D20E0B">
              <w:rPr>
                <w:rStyle w:val="SpecialBold"/>
              </w:rPr>
              <w:t>Explain control theory</w:t>
            </w:r>
          </w:p>
        </w:tc>
        <w:tc>
          <w:tcPr>
            <w:tcW w:w="719" w:type="dxa"/>
            <w:tcBorders>
              <w:top w:val="nil"/>
              <w:left w:val="nil"/>
              <w:bottom w:val="nil"/>
              <w:right w:val="nil"/>
            </w:tcBorders>
            <w:tcMar>
              <w:top w:w="0" w:type="dxa"/>
              <w:left w:w="62" w:type="dxa"/>
              <w:bottom w:w="0" w:type="dxa"/>
              <w:right w:w="62" w:type="dxa"/>
            </w:tcMar>
          </w:tcPr>
          <w:p w:rsidR="00000000" w:rsidP="00D20E0B">
            <w:pPr>
              <w:pStyle w:val="BodyText"/>
              <w:rPr>
                <w:lang w:val="en-NZ"/>
              </w:rPr>
            </w:pPr>
            <w:r w:rsidRPr="00D20E0B">
              <w:t>1.1</w:t>
            </w:r>
          </w:p>
        </w:tc>
        <w:tc>
          <w:tcPr>
            <w:tcW w:w="6045" w:type="dxa"/>
            <w:tcBorders>
              <w:top w:val="nil"/>
              <w:left w:val="nil"/>
              <w:bottom w:val="nil"/>
              <w:right w:val="nil"/>
            </w:tcBorders>
            <w:tcMar>
              <w:top w:w="0" w:type="dxa"/>
              <w:left w:w="62" w:type="dxa"/>
              <w:bottom w:w="0" w:type="dxa"/>
              <w:right w:w="62" w:type="dxa"/>
            </w:tcMar>
          </w:tcPr>
          <w:p w:rsidR="00000000" w:rsidP="00D20E0B">
            <w:pPr>
              <w:pStyle w:val="BodyText"/>
              <w:rPr>
                <w:lang w:val="en-NZ"/>
              </w:rPr>
            </w:pPr>
            <w:r w:rsidRPr="00D20E0B">
              <w:t>Time lag is distinguished from time constant</w:t>
            </w:r>
          </w:p>
        </w:tc>
      </w:tr>
      <w:tr w:rsidTr="00AA320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20E0B">
            <w:pPr>
              <w:pStyle w:val="BodyText"/>
              <w:rPr>
                <w:lang w:val="en-NZ"/>
              </w:rPr>
            </w:pPr>
            <w:r w:rsidRPr="00D20E0B">
              <w:t>1.2</w:t>
            </w:r>
          </w:p>
        </w:tc>
        <w:tc>
          <w:tcPr>
            <w:tcW w:w="6045" w:type="dxa"/>
            <w:tcBorders>
              <w:top w:val="nil"/>
              <w:left w:val="nil"/>
              <w:bottom w:val="nil"/>
              <w:right w:val="nil"/>
            </w:tcBorders>
            <w:tcMar>
              <w:top w:w="0" w:type="dxa"/>
              <w:left w:w="62" w:type="dxa"/>
              <w:bottom w:w="0" w:type="dxa"/>
              <w:right w:w="62" w:type="dxa"/>
            </w:tcMar>
          </w:tcPr>
          <w:p w:rsidR="00000000" w:rsidP="00D20E0B">
            <w:pPr>
              <w:pStyle w:val="BodyText"/>
              <w:rPr>
                <w:lang w:val="en-NZ"/>
              </w:rPr>
            </w:pPr>
            <w:r w:rsidRPr="00D20E0B">
              <w:t xml:space="preserve">Effect resistance and capacitance has on process system response is demonstrated </w:t>
            </w:r>
          </w:p>
        </w:tc>
      </w:tr>
      <w:tr w:rsidTr="00AA320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20E0B">
            <w:pPr>
              <w:pStyle w:val="BodyText"/>
              <w:rPr>
                <w:lang w:val="en-NZ"/>
              </w:rPr>
            </w:pPr>
            <w:r w:rsidRPr="00D20E0B">
              <w:t>1.3</w:t>
            </w:r>
          </w:p>
        </w:tc>
        <w:tc>
          <w:tcPr>
            <w:tcW w:w="6045" w:type="dxa"/>
            <w:tcBorders>
              <w:top w:val="nil"/>
              <w:left w:val="nil"/>
              <w:bottom w:val="nil"/>
              <w:right w:val="nil"/>
            </w:tcBorders>
            <w:tcMar>
              <w:top w:w="0" w:type="dxa"/>
              <w:left w:w="62" w:type="dxa"/>
              <w:bottom w:w="0" w:type="dxa"/>
              <w:right w:w="62" w:type="dxa"/>
            </w:tcMar>
          </w:tcPr>
          <w:p w:rsidR="00000000" w:rsidP="00D20E0B">
            <w:pPr>
              <w:pStyle w:val="BodyText"/>
              <w:rPr>
                <w:lang w:val="en-NZ"/>
              </w:rPr>
            </w:pPr>
            <w:r w:rsidRPr="00D20E0B">
              <w:t>Transfer function is established and defined</w:t>
            </w:r>
          </w:p>
        </w:tc>
      </w:tr>
      <w:tr w:rsidTr="00AA320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20E0B">
            <w:pPr>
              <w:pStyle w:val="BodyText"/>
              <w:rPr>
                <w:lang w:val="en-NZ"/>
              </w:rPr>
            </w:pPr>
            <w:r w:rsidRPr="00D20E0B">
              <w:t>1.4</w:t>
            </w:r>
          </w:p>
        </w:tc>
        <w:tc>
          <w:tcPr>
            <w:tcW w:w="6045" w:type="dxa"/>
            <w:tcBorders>
              <w:top w:val="nil"/>
              <w:left w:val="nil"/>
              <w:bottom w:val="nil"/>
              <w:right w:val="nil"/>
            </w:tcBorders>
            <w:tcMar>
              <w:top w:w="0" w:type="dxa"/>
              <w:left w:w="62" w:type="dxa"/>
              <w:bottom w:w="0" w:type="dxa"/>
              <w:right w:w="62" w:type="dxa"/>
            </w:tcMar>
          </w:tcPr>
          <w:p w:rsidR="00000000" w:rsidP="00D20E0B">
            <w:pPr>
              <w:pStyle w:val="BodyText"/>
              <w:rPr>
                <w:lang w:val="en-NZ"/>
              </w:rPr>
            </w:pPr>
            <w:r w:rsidRPr="00D20E0B">
              <w:t>Effect of variations in undamped natural frequency on control systems is illustrated</w:t>
            </w:r>
          </w:p>
        </w:tc>
      </w:tr>
      <w:tr w:rsidTr="00AA320C">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D20E0B" w:rsidP="00D20E0B">
            <w:pPr>
              <w:pStyle w:val="BodyText"/>
            </w:pPr>
            <w:r w:rsidRPr="00D20E0B">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D20E0B">
            <w:pPr>
              <w:pStyle w:val="BodyText"/>
              <w:rPr>
                <w:lang w:val="en-NZ"/>
              </w:rPr>
            </w:pPr>
            <w:r w:rsidRPr="00D20E0B">
              <w:rPr>
                <w:rStyle w:val="SpecialBold"/>
              </w:rPr>
              <w:t>Analyse signal transmissions systems used for monitoring, controlling and shutting down machinery</w:t>
            </w:r>
          </w:p>
        </w:tc>
        <w:tc>
          <w:tcPr>
            <w:tcW w:w="719" w:type="dxa"/>
            <w:tcBorders>
              <w:top w:val="nil"/>
              <w:left w:val="nil"/>
              <w:bottom w:val="nil"/>
              <w:right w:val="nil"/>
            </w:tcBorders>
            <w:tcMar>
              <w:top w:w="0" w:type="dxa"/>
              <w:left w:w="62" w:type="dxa"/>
              <w:bottom w:w="0" w:type="dxa"/>
              <w:right w:w="62" w:type="dxa"/>
            </w:tcMar>
          </w:tcPr>
          <w:p w:rsidR="00000000" w:rsidP="00D20E0B">
            <w:pPr>
              <w:pStyle w:val="BodyText"/>
              <w:rPr>
                <w:lang w:val="en-NZ"/>
              </w:rPr>
            </w:pPr>
            <w:r w:rsidRPr="00D20E0B">
              <w:t>2.1</w:t>
            </w:r>
          </w:p>
        </w:tc>
        <w:tc>
          <w:tcPr>
            <w:tcW w:w="6045" w:type="dxa"/>
            <w:tcBorders>
              <w:top w:val="nil"/>
              <w:left w:val="nil"/>
              <w:bottom w:val="nil"/>
              <w:right w:val="nil"/>
            </w:tcBorders>
            <w:tcMar>
              <w:top w:w="0" w:type="dxa"/>
              <w:left w:w="62" w:type="dxa"/>
              <w:bottom w:w="0" w:type="dxa"/>
              <w:right w:w="62" w:type="dxa"/>
            </w:tcMar>
          </w:tcPr>
          <w:p w:rsidR="00000000" w:rsidP="00D20E0B">
            <w:pPr>
              <w:pStyle w:val="BodyText"/>
              <w:rPr>
                <w:lang w:val="en-NZ"/>
              </w:rPr>
            </w:pPr>
            <w:r w:rsidRPr="00D20E0B">
              <w:t xml:space="preserve">Methods and limitations of different signal transmissions systems </w:t>
            </w:r>
            <w:r w:rsidRPr="00D20E0B">
              <w:t>are compared</w:t>
            </w:r>
          </w:p>
        </w:tc>
      </w:tr>
      <w:tr w:rsidTr="00AA320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20E0B">
            <w:pPr>
              <w:pStyle w:val="BodyText"/>
              <w:rPr>
                <w:lang w:val="en-NZ"/>
              </w:rPr>
            </w:pPr>
            <w:r w:rsidRPr="00D20E0B">
              <w:t>2.2</w:t>
            </w:r>
          </w:p>
        </w:tc>
        <w:tc>
          <w:tcPr>
            <w:tcW w:w="6045" w:type="dxa"/>
            <w:tcBorders>
              <w:top w:val="nil"/>
              <w:left w:val="nil"/>
              <w:bottom w:val="nil"/>
              <w:right w:val="nil"/>
            </w:tcBorders>
            <w:tcMar>
              <w:top w:w="0" w:type="dxa"/>
              <w:left w:w="62" w:type="dxa"/>
              <w:bottom w:w="0" w:type="dxa"/>
              <w:right w:w="62" w:type="dxa"/>
            </w:tcMar>
          </w:tcPr>
          <w:p w:rsidR="00000000" w:rsidP="00D20E0B">
            <w:pPr>
              <w:pStyle w:val="BodyText"/>
              <w:rPr>
                <w:lang w:val="en-NZ"/>
              </w:rPr>
            </w:pPr>
            <w:r w:rsidRPr="00D20E0B">
              <w:t>Standard pneumatic system and standard analogue 4-20 mA system of signal transmission are compared and contrasted</w:t>
            </w:r>
          </w:p>
        </w:tc>
      </w:tr>
      <w:tr w:rsidTr="00AA320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20E0B">
            <w:pPr>
              <w:pStyle w:val="BodyText"/>
              <w:rPr>
                <w:lang w:val="en-NZ"/>
              </w:rPr>
            </w:pPr>
            <w:r w:rsidRPr="00D20E0B">
              <w:t>2.3</w:t>
            </w:r>
          </w:p>
        </w:tc>
        <w:tc>
          <w:tcPr>
            <w:tcW w:w="6045" w:type="dxa"/>
            <w:tcBorders>
              <w:top w:val="nil"/>
              <w:left w:val="nil"/>
              <w:bottom w:val="nil"/>
              <w:right w:val="nil"/>
            </w:tcBorders>
            <w:tcMar>
              <w:top w:w="0" w:type="dxa"/>
              <w:left w:w="62" w:type="dxa"/>
              <w:bottom w:w="0" w:type="dxa"/>
              <w:right w:w="62" w:type="dxa"/>
            </w:tcMar>
          </w:tcPr>
          <w:p w:rsidR="00000000" w:rsidP="00D20E0B">
            <w:pPr>
              <w:pStyle w:val="BodyText"/>
              <w:rPr>
                <w:lang w:val="en-NZ"/>
              </w:rPr>
            </w:pPr>
            <w:r w:rsidRPr="00D20E0B">
              <w:t>System of a communications bus using digital signal transmission with optical and electronic systems is explained</w:t>
            </w:r>
          </w:p>
        </w:tc>
      </w:tr>
      <w:tr w:rsidTr="00AA320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20E0B">
            <w:pPr>
              <w:pStyle w:val="BodyText"/>
              <w:rPr>
                <w:lang w:val="en-NZ"/>
              </w:rPr>
            </w:pPr>
            <w:r w:rsidRPr="00D20E0B">
              <w:t>2.4</w:t>
            </w:r>
          </w:p>
        </w:tc>
        <w:tc>
          <w:tcPr>
            <w:tcW w:w="6045" w:type="dxa"/>
            <w:tcBorders>
              <w:top w:val="nil"/>
              <w:left w:val="nil"/>
              <w:bottom w:val="nil"/>
              <w:right w:val="nil"/>
            </w:tcBorders>
            <w:tcMar>
              <w:top w:w="0" w:type="dxa"/>
              <w:left w:w="62" w:type="dxa"/>
              <w:bottom w:w="0" w:type="dxa"/>
              <w:right w:w="62" w:type="dxa"/>
            </w:tcMar>
          </w:tcPr>
          <w:p w:rsidR="00000000" w:rsidP="00D20E0B">
            <w:pPr>
              <w:pStyle w:val="BodyText"/>
              <w:rPr>
                <w:lang w:val="en-NZ"/>
              </w:rPr>
            </w:pPr>
            <w:r w:rsidRPr="00D20E0B">
              <w:t>Limitations and advantages of a communications bus system are analysed</w:t>
            </w:r>
          </w:p>
        </w:tc>
      </w:tr>
      <w:tr w:rsidTr="00AA320C">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D20E0B" w:rsidP="00D20E0B">
            <w:pPr>
              <w:pStyle w:val="BodyText"/>
            </w:pPr>
            <w:r w:rsidRPr="00D20E0B">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D20E0B">
            <w:pPr>
              <w:pStyle w:val="BodyText"/>
              <w:rPr>
                <w:lang w:val="en-NZ"/>
              </w:rPr>
            </w:pPr>
            <w:r w:rsidRPr="00D20E0B">
              <w:rPr>
                <w:rStyle w:val="SpecialBold"/>
              </w:rPr>
              <w:t>Analyse electronic transmitters</w:t>
            </w:r>
          </w:p>
        </w:tc>
        <w:tc>
          <w:tcPr>
            <w:tcW w:w="719" w:type="dxa"/>
            <w:tcBorders>
              <w:top w:val="nil"/>
              <w:left w:val="nil"/>
              <w:bottom w:val="nil"/>
              <w:right w:val="nil"/>
            </w:tcBorders>
            <w:tcMar>
              <w:top w:w="0" w:type="dxa"/>
              <w:left w:w="62" w:type="dxa"/>
              <w:bottom w:w="0" w:type="dxa"/>
              <w:right w:w="62" w:type="dxa"/>
            </w:tcMar>
          </w:tcPr>
          <w:p w:rsidR="00000000" w:rsidP="00D20E0B">
            <w:pPr>
              <w:pStyle w:val="BodyText"/>
              <w:rPr>
                <w:lang w:val="en-NZ"/>
              </w:rPr>
            </w:pPr>
            <w:r w:rsidRPr="00D20E0B">
              <w:t>3.1</w:t>
            </w:r>
          </w:p>
        </w:tc>
        <w:tc>
          <w:tcPr>
            <w:tcW w:w="6045" w:type="dxa"/>
            <w:tcBorders>
              <w:top w:val="nil"/>
              <w:left w:val="nil"/>
              <w:bottom w:val="nil"/>
              <w:right w:val="nil"/>
            </w:tcBorders>
            <w:tcMar>
              <w:top w:w="0" w:type="dxa"/>
              <w:left w:w="62" w:type="dxa"/>
              <w:bottom w:w="0" w:type="dxa"/>
              <w:right w:w="62" w:type="dxa"/>
            </w:tcMar>
          </w:tcPr>
          <w:p w:rsidR="00000000" w:rsidP="00D20E0B">
            <w:pPr>
              <w:pStyle w:val="BodyText"/>
              <w:rPr>
                <w:lang w:val="en-NZ"/>
              </w:rPr>
            </w:pPr>
            <w:r w:rsidRPr="00D20E0B">
              <w:t>Principles of operation of a typical 4-20 mA transmitter are explained</w:t>
            </w:r>
          </w:p>
        </w:tc>
      </w:tr>
      <w:tr w:rsidTr="00AA320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20E0B">
            <w:pPr>
              <w:pStyle w:val="BodyText"/>
              <w:rPr>
                <w:lang w:val="en-NZ"/>
              </w:rPr>
            </w:pPr>
            <w:r w:rsidRPr="00D20E0B">
              <w:t>3.2</w:t>
            </w:r>
          </w:p>
        </w:tc>
        <w:tc>
          <w:tcPr>
            <w:tcW w:w="6045" w:type="dxa"/>
            <w:tcBorders>
              <w:top w:val="nil"/>
              <w:left w:val="nil"/>
              <w:bottom w:val="nil"/>
              <w:right w:val="nil"/>
            </w:tcBorders>
            <w:tcMar>
              <w:top w:w="0" w:type="dxa"/>
              <w:left w:w="62" w:type="dxa"/>
              <w:bottom w:w="0" w:type="dxa"/>
              <w:right w:w="62" w:type="dxa"/>
            </w:tcMar>
          </w:tcPr>
          <w:p w:rsidR="00000000" w:rsidP="00D20E0B">
            <w:pPr>
              <w:pStyle w:val="BodyText"/>
              <w:rPr>
                <w:lang w:val="en-NZ"/>
              </w:rPr>
            </w:pPr>
            <w:r w:rsidRPr="00D20E0B">
              <w:t>Application of strain gauges and changes in capacitance as sensors for pressure and differential pressure transmitters are outlined</w:t>
            </w:r>
          </w:p>
        </w:tc>
      </w:tr>
      <w:tr w:rsidTr="00AA320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20E0B">
            <w:pPr>
              <w:pStyle w:val="BodyText"/>
              <w:rPr>
                <w:lang w:val="en-NZ"/>
              </w:rPr>
            </w:pPr>
            <w:r w:rsidRPr="00D20E0B">
              <w:t>3.3</w:t>
            </w:r>
          </w:p>
        </w:tc>
        <w:tc>
          <w:tcPr>
            <w:tcW w:w="6045" w:type="dxa"/>
            <w:tcBorders>
              <w:top w:val="nil"/>
              <w:left w:val="nil"/>
              <w:bottom w:val="nil"/>
              <w:right w:val="nil"/>
            </w:tcBorders>
            <w:tcMar>
              <w:top w:w="0" w:type="dxa"/>
              <w:left w:w="62" w:type="dxa"/>
              <w:bottom w:w="0" w:type="dxa"/>
              <w:right w:w="62" w:type="dxa"/>
            </w:tcMar>
          </w:tcPr>
          <w:p w:rsidR="00000000" w:rsidP="00D20E0B">
            <w:pPr>
              <w:pStyle w:val="BodyText"/>
              <w:rPr>
                <w:lang w:val="en-NZ"/>
              </w:rPr>
            </w:pPr>
            <w:r w:rsidRPr="00D20E0B">
              <w:t>Methods of testing transmitter outputs are recorded explained</w:t>
            </w:r>
          </w:p>
        </w:tc>
      </w:tr>
      <w:tr w:rsidTr="00AA320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20E0B">
            <w:pPr>
              <w:pStyle w:val="BodyText"/>
              <w:rPr>
                <w:lang w:val="en-NZ"/>
              </w:rPr>
            </w:pPr>
            <w:r w:rsidRPr="00D20E0B">
              <w:t>3.4</w:t>
            </w:r>
          </w:p>
        </w:tc>
        <w:tc>
          <w:tcPr>
            <w:tcW w:w="6045" w:type="dxa"/>
            <w:tcBorders>
              <w:top w:val="nil"/>
              <w:left w:val="nil"/>
              <w:bottom w:val="nil"/>
              <w:right w:val="nil"/>
            </w:tcBorders>
            <w:tcMar>
              <w:top w:w="0" w:type="dxa"/>
              <w:left w:w="62" w:type="dxa"/>
              <w:bottom w:w="0" w:type="dxa"/>
              <w:right w:w="62" w:type="dxa"/>
            </w:tcMar>
          </w:tcPr>
          <w:p w:rsidR="00000000" w:rsidP="00D20E0B">
            <w:pPr>
              <w:pStyle w:val="BodyText"/>
              <w:rPr>
                <w:lang w:val="en-NZ"/>
              </w:rPr>
            </w:pPr>
            <w:r w:rsidRPr="00D20E0B">
              <w:t>Application of differential pressure transmitters to liquid level sensing is analysed</w:t>
            </w:r>
          </w:p>
        </w:tc>
      </w:tr>
      <w:tr w:rsidTr="00AA320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20E0B">
            <w:pPr>
              <w:pStyle w:val="BodyText"/>
              <w:rPr>
                <w:lang w:val="en-NZ"/>
              </w:rPr>
            </w:pPr>
            <w:r w:rsidRPr="00D20E0B">
              <w:t>3.5</w:t>
            </w:r>
          </w:p>
        </w:tc>
        <w:tc>
          <w:tcPr>
            <w:tcW w:w="6045" w:type="dxa"/>
            <w:tcBorders>
              <w:top w:val="nil"/>
              <w:left w:val="nil"/>
              <w:bottom w:val="nil"/>
              <w:right w:val="nil"/>
            </w:tcBorders>
            <w:tcMar>
              <w:top w:w="0" w:type="dxa"/>
              <w:left w:w="62" w:type="dxa"/>
              <w:bottom w:w="0" w:type="dxa"/>
              <w:right w:w="62" w:type="dxa"/>
            </w:tcMar>
          </w:tcPr>
          <w:p w:rsidR="00000000" w:rsidP="00D20E0B">
            <w:pPr>
              <w:pStyle w:val="BodyText"/>
              <w:rPr>
                <w:lang w:val="en-NZ"/>
              </w:rPr>
            </w:pPr>
            <w:r w:rsidRPr="00D20E0B">
              <w:t>Use of a differential pressure transmitter to measure flow is analysed and compared with non-restrictive electronic systems</w:t>
            </w:r>
          </w:p>
        </w:tc>
      </w:tr>
      <w:tr w:rsidTr="00AA320C">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D20E0B" w:rsidP="00D20E0B">
            <w:pPr>
              <w:pStyle w:val="BodyText"/>
            </w:pPr>
            <w:r w:rsidRPr="00D20E0B">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P="00D20E0B">
            <w:pPr>
              <w:pStyle w:val="BodyText"/>
              <w:rPr>
                <w:lang w:val="en-NZ"/>
              </w:rPr>
            </w:pPr>
            <w:r w:rsidRPr="00D20E0B">
              <w:rPr>
                <w:rStyle w:val="SpecialBold"/>
              </w:rPr>
              <w:t>Evaluate final control element arran</w:t>
            </w:r>
            <w:r w:rsidRPr="00D20E0B">
              <w:rPr>
                <w:rStyle w:val="SpecialBold"/>
              </w:rPr>
              <w:t>gements</w:t>
            </w:r>
          </w:p>
        </w:tc>
        <w:tc>
          <w:tcPr>
            <w:tcW w:w="719" w:type="dxa"/>
            <w:tcBorders>
              <w:top w:val="nil"/>
              <w:left w:val="nil"/>
              <w:bottom w:val="nil"/>
              <w:right w:val="nil"/>
            </w:tcBorders>
            <w:tcMar>
              <w:top w:w="0" w:type="dxa"/>
              <w:left w:w="62" w:type="dxa"/>
              <w:bottom w:w="0" w:type="dxa"/>
              <w:right w:w="62" w:type="dxa"/>
            </w:tcMar>
          </w:tcPr>
          <w:p w:rsidR="00000000" w:rsidP="00D20E0B">
            <w:pPr>
              <w:pStyle w:val="BodyText"/>
              <w:rPr>
                <w:lang w:val="en-NZ"/>
              </w:rPr>
            </w:pPr>
            <w:r w:rsidRPr="00D20E0B">
              <w:t>4.1</w:t>
            </w:r>
          </w:p>
        </w:tc>
        <w:tc>
          <w:tcPr>
            <w:tcW w:w="6045" w:type="dxa"/>
            <w:tcBorders>
              <w:top w:val="nil"/>
              <w:left w:val="nil"/>
              <w:bottom w:val="nil"/>
              <w:right w:val="nil"/>
            </w:tcBorders>
            <w:tcMar>
              <w:top w:w="0" w:type="dxa"/>
              <w:left w:w="62" w:type="dxa"/>
              <w:bottom w:w="0" w:type="dxa"/>
              <w:right w:w="62" w:type="dxa"/>
            </w:tcMar>
          </w:tcPr>
          <w:p w:rsidR="00000000" w:rsidP="00D20E0B">
            <w:pPr>
              <w:pStyle w:val="BodyText"/>
              <w:rPr>
                <w:lang w:val="en-NZ"/>
              </w:rPr>
            </w:pPr>
            <w:r w:rsidRPr="00D20E0B">
              <w:t>Pneumatic, electric and hydraulic actuation are compared and contrasted</w:t>
            </w:r>
          </w:p>
        </w:tc>
      </w:tr>
      <w:tr w:rsidTr="00AA320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20E0B">
            <w:pPr>
              <w:pStyle w:val="BodyText"/>
              <w:rPr>
                <w:lang w:val="en-NZ"/>
              </w:rPr>
            </w:pPr>
            <w:r w:rsidRPr="00D20E0B">
              <w:t>4.2</w:t>
            </w:r>
          </w:p>
        </w:tc>
        <w:tc>
          <w:tcPr>
            <w:tcW w:w="6045" w:type="dxa"/>
            <w:tcBorders>
              <w:top w:val="nil"/>
              <w:left w:val="nil"/>
              <w:bottom w:val="nil"/>
              <w:right w:val="nil"/>
            </w:tcBorders>
            <w:tcMar>
              <w:top w:w="0" w:type="dxa"/>
              <w:left w:w="62" w:type="dxa"/>
              <w:bottom w:w="0" w:type="dxa"/>
              <w:right w:w="62" w:type="dxa"/>
            </w:tcMar>
          </w:tcPr>
          <w:p w:rsidR="00000000" w:rsidP="00D20E0B">
            <w:pPr>
              <w:pStyle w:val="BodyText"/>
              <w:rPr>
                <w:lang w:val="en-NZ"/>
              </w:rPr>
            </w:pPr>
            <w:r w:rsidRPr="00D20E0B">
              <w:t>Arrangements for locking pneumatic control valves in their last position on air failure are outlined</w:t>
            </w:r>
          </w:p>
        </w:tc>
      </w:tr>
      <w:tr w:rsidTr="00AA320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20E0B">
            <w:pPr>
              <w:pStyle w:val="BodyText"/>
              <w:rPr>
                <w:lang w:val="en-NZ"/>
              </w:rPr>
            </w:pPr>
            <w:r w:rsidRPr="00D20E0B">
              <w:t>4.3</w:t>
            </w:r>
          </w:p>
        </w:tc>
        <w:tc>
          <w:tcPr>
            <w:tcW w:w="6045" w:type="dxa"/>
            <w:tcBorders>
              <w:top w:val="nil"/>
              <w:left w:val="nil"/>
              <w:bottom w:val="nil"/>
              <w:right w:val="nil"/>
            </w:tcBorders>
            <w:tcMar>
              <w:top w:w="0" w:type="dxa"/>
              <w:left w:w="62" w:type="dxa"/>
              <w:bottom w:w="0" w:type="dxa"/>
              <w:right w:w="62" w:type="dxa"/>
            </w:tcMar>
          </w:tcPr>
          <w:p w:rsidR="00000000" w:rsidP="00D20E0B">
            <w:pPr>
              <w:pStyle w:val="BodyText"/>
              <w:rPr>
                <w:lang w:val="en-NZ"/>
              </w:rPr>
            </w:pPr>
            <w:r w:rsidRPr="00D20E0B">
              <w:t>Control valve trim characteristics are explained</w:t>
            </w:r>
          </w:p>
        </w:tc>
      </w:tr>
      <w:tr w:rsidTr="00AA320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20E0B">
            <w:pPr>
              <w:pStyle w:val="BodyText"/>
              <w:rPr>
                <w:lang w:val="en-NZ"/>
              </w:rPr>
            </w:pPr>
            <w:r w:rsidRPr="00D20E0B">
              <w:t>4.4</w:t>
            </w:r>
          </w:p>
        </w:tc>
        <w:tc>
          <w:tcPr>
            <w:tcW w:w="6045" w:type="dxa"/>
            <w:tcBorders>
              <w:top w:val="nil"/>
              <w:left w:val="nil"/>
              <w:bottom w:val="nil"/>
              <w:right w:val="nil"/>
            </w:tcBorders>
            <w:tcMar>
              <w:top w:w="0" w:type="dxa"/>
              <w:left w:w="62" w:type="dxa"/>
              <w:bottom w:w="0" w:type="dxa"/>
              <w:right w:w="62" w:type="dxa"/>
            </w:tcMar>
          </w:tcPr>
          <w:p w:rsidR="00000000" w:rsidP="00D20E0B">
            <w:pPr>
              <w:pStyle w:val="BodyText"/>
              <w:rPr>
                <w:lang w:val="en-NZ"/>
              </w:rPr>
            </w:pPr>
            <w:r w:rsidRPr="00D20E0B">
              <w:t>Control valve selection for machinery space duties are analysed</w:t>
            </w:r>
          </w:p>
        </w:tc>
      </w:tr>
      <w:tr w:rsidTr="00AA320C">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D20E0B" w:rsidP="00D20E0B">
            <w:pPr>
              <w:pStyle w:val="BodyText"/>
            </w:pPr>
            <w:r w:rsidRPr="00D20E0B">
              <w:rPr>
                <w:rStyle w:val="SpecialBold"/>
              </w:rPr>
              <w:t>5</w:t>
            </w:r>
          </w:p>
        </w:tc>
        <w:tc>
          <w:tcPr>
            <w:tcW w:w="2303" w:type="dxa"/>
            <w:vMerge w:val="restart"/>
            <w:tcBorders>
              <w:top w:val="nil"/>
              <w:left w:val="nil"/>
              <w:bottom w:val="nil"/>
              <w:right w:val="nil"/>
            </w:tcBorders>
            <w:tcMar>
              <w:top w:w="0" w:type="dxa"/>
              <w:left w:w="62" w:type="dxa"/>
              <w:bottom w:w="0" w:type="dxa"/>
              <w:right w:w="62" w:type="dxa"/>
            </w:tcMar>
          </w:tcPr>
          <w:p w:rsidR="00000000" w:rsidP="00D20E0B">
            <w:pPr>
              <w:pStyle w:val="BodyText"/>
              <w:rPr>
                <w:lang w:val="en-NZ"/>
              </w:rPr>
            </w:pPr>
            <w:r w:rsidRPr="00D20E0B">
              <w:rPr>
                <w:rStyle w:val="SpecialBold"/>
              </w:rPr>
              <w:t>Evaluate electronic temperature sensors and transmitters</w:t>
            </w:r>
          </w:p>
        </w:tc>
        <w:tc>
          <w:tcPr>
            <w:tcW w:w="719" w:type="dxa"/>
            <w:tcBorders>
              <w:top w:val="nil"/>
              <w:left w:val="nil"/>
              <w:bottom w:val="nil"/>
              <w:right w:val="nil"/>
            </w:tcBorders>
            <w:tcMar>
              <w:top w:w="0" w:type="dxa"/>
              <w:left w:w="62" w:type="dxa"/>
              <w:bottom w:w="0" w:type="dxa"/>
              <w:right w:w="62" w:type="dxa"/>
            </w:tcMar>
          </w:tcPr>
          <w:p w:rsidR="00000000" w:rsidP="00D20E0B">
            <w:pPr>
              <w:pStyle w:val="BodyText"/>
              <w:rPr>
                <w:lang w:val="en-NZ"/>
              </w:rPr>
            </w:pPr>
            <w:r w:rsidRPr="00D20E0B">
              <w:t>5.1</w:t>
            </w:r>
          </w:p>
        </w:tc>
        <w:tc>
          <w:tcPr>
            <w:tcW w:w="6045" w:type="dxa"/>
            <w:tcBorders>
              <w:top w:val="nil"/>
              <w:left w:val="nil"/>
              <w:bottom w:val="nil"/>
              <w:right w:val="nil"/>
            </w:tcBorders>
            <w:tcMar>
              <w:top w:w="0" w:type="dxa"/>
              <w:left w:w="62" w:type="dxa"/>
              <w:bottom w:w="0" w:type="dxa"/>
              <w:right w:w="62" w:type="dxa"/>
            </w:tcMar>
          </w:tcPr>
          <w:p w:rsidR="00000000" w:rsidP="00D20E0B">
            <w:pPr>
              <w:pStyle w:val="BodyText"/>
              <w:rPr>
                <w:lang w:val="en-NZ"/>
              </w:rPr>
            </w:pPr>
            <w:r w:rsidRPr="00D20E0B">
              <w:t>Colour coding of tails and compensating cables for thermo couple types are identified</w:t>
            </w:r>
          </w:p>
        </w:tc>
      </w:tr>
      <w:tr w:rsidTr="00AA320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20E0B">
            <w:pPr>
              <w:pStyle w:val="BodyText"/>
              <w:rPr>
                <w:lang w:val="en-NZ"/>
              </w:rPr>
            </w:pPr>
            <w:r w:rsidRPr="00D20E0B">
              <w:t>5.2</w:t>
            </w:r>
          </w:p>
        </w:tc>
        <w:tc>
          <w:tcPr>
            <w:tcW w:w="6045" w:type="dxa"/>
            <w:tcBorders>
              <w:top w:val="nil"/>
              <w:left w:val="nil"/>
              <w:bottom w:val="nil"/>
              <w:right w:val="nil"/>
            </w:tcBorders>
            <w:tcMar>
              <w:top w:w="0" w:type="dxa"/>
              <w:left w:w="62" w:type="dxa"/>
              <w:bottom w:w="0" w:type="dxa"/>
              <w:right w:w="62" w:type="dxa"/>
            </w:tcMar>
          </w:tcPr>
          <w:p w:rsidR="00000000" w:rsidP="00D20E0B">
            <w:pPr>
              <w:pStyle w:val="BodyText"/>
              <w:rPr>
                <w:lang w:val="en-NZ"/>
              </w:rPr>
            </w:pPr>
            <w:r w:rsidRPr="00D20E0B">
              <w:t>Temperature/mV outputs and application of common thermo couple types are illustrated</w:t>
            </w:r>
          </w:p>
        </w:tc>
      </w:tr>
      <w:tr w:rsidTr="00AA320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20E0B">
            <w:pPr>
              <w:pStyle w:val="BodyText"/>
              <w:rPr>
                <w:lang w:val="en-NZ"/>
              </w:rPr>
            </w:pPr>
            <w:r w:rsidRPr="00D20E0B">
              <w:t>5.3</w:t>
            </w:r>
          </w:p>
        </w:tc>
        <w:tc>
          <w:tcPr>
            <w:tcW w:w="6045" w:type="dxa"/>
            <w:tcBorders>
              <w:top w:val="nil"/>
              <w:left w:val="nil"/>
              <w:bottom w:val="nil"/>
              <w:right w:val="nil"/>
            </w:tcBorders>
            <w:tcMar>
              <w:top w:w="0" w:type="dxa"/>
              <w:left w:w="62" w:type="dxa"/>
              <w:bottom w:w="0" w:type="dxa"/>
              <w:right w:w="62" w:type="dxa"/>
            </w:tcMar>
          </w:tcPr>
          <w:p w:rsidR="00000000" w:rsidP="00D20E0B">
            <w:pPr>
              <w:pStyle w:val="BodyText"/>
              <w:rPr>
                <w:lang w:val="en-NZ"/>
              </w:rPr>
            </w:pPr>
            <w:r w:rsidRPr="00D20E0B">
              <w:t>Relationship between resistance and temperature for PT100 resistance temperature device and method of testing three wire arrangements is explained</w:t>
            </w:r>
          </w:p>
        </w:tc>
      </w:tr>
      <w:tr w:rsidTr="00AA320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20E0B">
            <w:pPr>
              <w:pStyle w:val="BodyText"/>
              <w:rPr>
                <w:lang w:val="en-NZ"/>
              </w:rPr>
            </w:pPr>
            <w:r w:rsidRPr="00D20E0B">
              <w:t>5.4</w:t>
            </w:r>
          </w:p>
        </w:tc>
        <w:tc>
          <w:tcPr>
            <w:tcW w:w="6045" w:type="dxa"/>
            <w:tcBorders>
              <w:top w:val="nil"/>
              <w:left w:val="nil"/>
              <w:bottom w:val="nil"/>
              <w:right w:val="nil"/>
            </w:tcBorders>
            <w:tcMar>
              <w:top w:w="0" w:type="dxa"/>
              <w:left w:w="62" w:type="dxa"/>
              <w:bottom w:w="0" w:type="dxa"/>
              <w:right w:w="62" w:type="dxa"/>
            </w:tcMar>
          </w:tcPr>
          <w:p w:rsidR="00000000" w:rsidP="00D20E0B">
            <w:pPr>
              <w:pStyle w:val="BodyText"/>
              <w:rPr>
                <w:lang w:val="en-NZ"/>
              </w:rPr>
            </w:pPr>
            <w:r w:rsidRPr="00D20E0B">
              <w:t>Arrangements of interfacing thermo couples and RTDs with 4-20ma systems and 1-5 volt interface cards are analysed</w:t>
            </w:r>
          </w:p>
        </w:tc>
      </w:tr>
      <w:tr w:rsidTr="00AA320C">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D20E0B" w:rsidP="00D20E0B">
            <w:pPr>
              <w:pStyle w:val="BodyText"/>
            </w:pPr>
            <w:r w:rsidRPr="00D20E0B">
              <w:rPr>
                <w:rStyle w:val="SpecialBold"/>
              </w:rPr>
              <w:t>6</w:t>
            </w:r>
          </w:p>
        </w:tc>
        <w:tc>
          <w:tcPr>
            <w:tcW w:w="2303" w:type="dxa"/>
            <w:vMerge w:val="restart"/>
            <w:tcBorders>
              <w:top w:val="nil"/>
              <w:left w:val="nil"/>
              <w:bottom w:val="nil"/>
              <w:right w:val="nil"/>
            </w:tcBorders>
            <w:tcMar>
              <w:top w:w="0" w:type="dxa"/>
              <w:left w:w="62" w:type="dxa"/>
              <w:bottom w:w="0" w:type="dxa"/>
              <w:right w:w="62" w:type="dxa"/>
            </w:tcMar>
          </w:tcPr>
          <w:p w:rsidR="00000000" w:rsidP="00D20E0B">
            <w:pPr>
              <w:pStyle w:val="BodyText"/>
              <w:rPr>
                <w:lang w:val="en-NZ"/>
              </w:rPr>
            </w:pPr>
            <w:r w:rsidRPr="00D20E0B">
              <w:rPr>
                <w:rStyle w:val="SpecialBold"/>
              </w:rPr>
              <w:t>Analyse PID electronic controllers</w:t>
            </w:r>
          </w:p>
        </w:tc>
        <w:tc>
          <w:tcPr>
            <w:tcW w:w="719" w:type="dxa"/>
            <w:tcBorders>
              <w:top w:val="nil"/>
              <w:left w:val="nil"/>
              <w:bottom w:val="nil"/>
              <w:right w:val="nil"/>
            </w:tcBorders>
            <w:tcMar>
              <w:top w:w="0" w:type="dxa"/>
              <w:left w:w="62" w:type="dxa"/>
              <w:bottom w:w="0" w:type="dxa"/>
              <w:right w:w="62" w:type="dxa"/>
            </w:tcMar>
          </w:tcPr>
          <w:p w:rsidR="00000000" w:rsidP="00D20E0B">
            <w:pPr>
              <w:pStyle w:val="BodyText"/>
              <w:rPr>
                <w:lang w:val="en-NZ"/>
              </w:rPr>
            </w:pPr>
            <w:r w:rsidRPr="00D20E0B">
              <w:t>6.1</w:t>
            </w:r>
          </w:p>
        </w:tc>
        <w:tc>
          <w:tcPr>
            <w:tcW w:w="6045" w:type="dxa"/>
            <w:tcBorders>
              <w:top w:val="nil"/>
              <w:left w:val="nil"/>
              <w:bottom w:val="nil"/>
              <w:right w:val="nil"/>
            </w:tcBorders>
            <w:tcMar>
              <w:top w:w="0" w:type="dxa"/>
              <w:left w:w="62" w:type="dxa"/>
              <w:bottom w:w="0" w:type="dxa"/>
              <w:right w:w="62" w:type="dxa"/>
            </w:tcMar>
          </w:tcPr>
          <w:p w:rsidR="00000000" w:rsidP="00D20E0B">
            <w:pPr>
              <w:pStyle w:val="BodyText"/>
              <w:rPr>
                <w:lang w:val="en-NZ"/>
              </w:rPr>
            </w:pPr>
            <w:r w:rsidRPr="00D20E0B">
              <w:t>Principle of operation of an electronic analogue 3-term controller and how adjustments are made is e</w:t>
            </w:r>
            <w:r w:rsidRPr="00D20E0B">
              <w:t>xplained</w:t>
            </w:r>
          </w:p>
        </w:tc>
      </w:tr>
      <w:tr w:rsidTr="00AA320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20E0B">
            <w:pPr>
              <w:pStyle w:val="BodyText"/>
              <w:rPr>
                <w:lang w:val="en-NZ"/>
              </w:rPr>
            </w:pPr>
            <w:r w:rsidRPr="00D20E0B">
              <w:t>6.2</w:t>
            </w:r>
          </w:p>
        </w:tc>
        <w:tc>
          <w:tcPr>
            <w:tcW w:w="6045" w:type="dxa"/>
            <w:tcBorders>
              <w:top w:val="nil"/>
              <w:left w:val="nil"/>
              <w:bottom w:val="nil"/>
              <w:right w:val="nil"/>
            </w:tcBorders>
            <w:tcMar>
              <w:top w:w="0" w:type="dxa"/>
              <w:left w:w="62" w:type="dxa"/>
              <w:bottom w:w="0" w:type="dxa"/>
              <w:right w:w="62" w:type="dxa"/>
            </w:tcMar>
          </w:tcPr>
          <w:p w:rsidR="00000000" w:rsidP="00D20E0B">
            <w:pPr>
              <w:pStyle w:val="BodyText"/>
              <w:rPr>
                <w:lang w:val="en-NZ"/>
              </w:rPr>
            </w:pPr>
            <w:r w:rsidRPr="00D20E0B">
              <w:t>Open loop response and PID controller testing and calibration is demonstrated</w:t>
            </w:r>
          </w:p>
        </w:tc>
      </w:tr>
      <w:tr w:rsidTr="00AA320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20E0B">
            <w:pPr>
              <w:pStyle w:val="BodyText"/>
              <w:rPr>
                <w:lang w:val="en-NZ"/>
              </w:rPr>
            </w:pPr>
            <w:r w:rsidRPr="00D20E0B">
              <w:t>6.3</w:t>
            </w:r>
          </w:p>
        </w:tc>
        <w:tc>
          <w:tcPr>
            <w:tcW w:w="6045" w:type="dxa"/>
            <w:tcBorders>
              <w:top w:val="nil"/>
              <w:left w:val="nil"/>
              <w:bottom w:val="nil"/>
              <w:right w:val="nil"/>
            </w:tcBorders>
            <w:tcMar>
              <w:top w:w="0" w:type="dxa"/>
              <w:left w:w="62" w:type="dxa"/>
              <w:bottom w:w="0" w:type="dxa"/>
              <w:right w:w="62" w:type="dxa"/>
            </w:tcMar>
          </w:tcPr>
          <w:p w:rsidR="00000000" w:rsidP="00D20E0B">
            <w:pPr>
              <w:pStyle w:val="BodyText"/>
              <w:rPr>
                <w:lang w:val="en-NZ"/>
              </w:rPr>
            </w:pPr>
            <w:r w:rsidRPr="00D20E0B">
              <w:t>Application of modern single loop digital controller is explained</w:t>
            </w:r>
          </w:p>
        </w:tc>
      </w:tr>
      <w:tr w:rsidTr="00AA320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20E0B">
            <w:pPr>
              <w:pStyle w:val="BodyText"/>
              <w:rPr>
                <w:lang w:val="en-NZ"/>
              </w:rPr>
            </w:pPr>
            <w:r w:rsidRPr="00D20E0B">
              <w:t>6.4</w:t>
            </w:r>
          </w:p>
        </w:tc>
        <w:tc>
          <w:tcPr>
            <w:tcW w:w="6045" w:type="dxa"/>
            <w:tcBorders>
              <w:top w:val="nil"/>
              <w:left w:val="nil"/>
              <w:bottom w:val="nil"/>
              <w:right w:val="nil"/>
            </w:tcBorders>
            <w:tcMar>
              <w:top w:w="0" w:type="dxa"/>
              <w:left w:w="62" w:type="dxa"/>
              <w:bottom w:w="0" w:type="dxa"/>
              <w:right w:w="62" w:type="dxa"/>
            </w:tcMar>
          </w:tcPr>
          <w:p w:rsidR="00000000" w:rsidP="00D20E0B">
            <w:pPr>
              <w:pStyle w:val="BodyText"/>
              <w:rPr>
                <w:lang w:val="en-NZ"/>
              </w:rPr>
            </w:pPr>
            <w:r w:rsidRPr="00D20E0B">
              <w:t>Programming requirements for manual and</w:t>
            </w:r>
            <w:r w:rsidRPr="00D20E0B">
              <w:t xml:space="preserve"> auto tuning when adjusting digital controllers are demonstrated</w:t>
            </w:r>
          </w:p>
        </w:tc>
      </w:tr>
      <w:tr w:rsidTr="00AA320C">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D20E0B" w:rsidP="00D20E0B">
            <w:pPr>
              <w:pStyle w:val="BodyText"/>
            </w:pPr>
            <w:r w:rsidRPr="00D20E0B">
              <w:rPr>
                <w:rStyle w:val="SpecialBold"/>
              </w:rPr>
              <w:t>7</w:t>
            </w:r>
          </w:p>
        </w:tc>
        <w:tc>
          <w:tcPr>
            <w:tcW w:w="2303" w:type="dxa"/>
            <w:vMerge w:val="restart"/>
            <w:tcBorders>
              <w:top w:val="nil"/>
              <w:left w:val="nil"/>
              <w:bottom w:val="nil"/>
              <w:right w:val="nil"/>
            </w:tcBorders>
            <w:tcMar>
              <w:top w:w="0" w:type="dxa"/>
              <w:left w:w="62" w:type="dxa"/>
              <w:bottom w:w="0" w:type="dxa"/>
              <w:right w:w="62" w:type="dxa"/>
            </w:tcMar>
          </w:tcPr>
          <w:p w:rsidR="00000000" w:rsidP="00D20E0B">
            <w:pPr>
              <w:pStyle w:val="BodyText"/>
              <w:rPr>
                <w:lang w:val="en-NZ"/>
              </w:rPr>
            </w:pPr>
            <w:r w:rsidRPr="00D20E0B">
              <w:rPr>
                <w:rStyle w:val="SpecialBold"/>
              </w:rPr>
              <w:t>Evaluate performance of machinery space monitoring alarm and control systems</w:t>
            </w:r>
          </w:p>
        </w:tc>
        <w:tc>
          <w:tcPr>
            <w:tcW w:w="719" w:type="dxa"/>
            <w:tcBorders>
              <w:top w:val="nil"/>
              <w:left w:val="nil"/>
              <w:bottom w:val="nil"/>
              <w:right w:val="nil"/>
            </w:tcBorders>
            <w:tcMar>
              <w:top w:w="0" w:type="dxa"/>
              <w:left w:w="62" w:type="dxa"/>
              <w:bottom w:w="0" w:type="dxa"/>
              <w:right w:w="62" w:type="dxa"/>
            </w:tcMar>
          </w:tcPr>
          <w:p w:rsidR="00000000" w:rsidP="00D20E0B">
            <w:pPr>
              <w:pStyle w:val="BodyText"/>
              <w:rPr>
                <w:lang w:val="en-NZ"/>
              </w:rPr>
            </w:pPr>
            <w:r w:rsidRPr="00D20E0B">
              <w:t>7.1</w:t>
            </w:r>
          </w:p>
        </w:tc>
        <w:tc>
          <w:tcPr>
            <w:tcW w:w="6045" w:type="dxa"/>
            <w:tcBorders>
              <w:top w:val="nil"/>
              <w:left w:val="nil"/>
              <w:bottom w:val="nil"/>
              <w:right w:val="nil"/>
            </w:tcBorders>
            <w:tcMar>
              <w:top w:w="0" w:type="dxa"/>
              <w:left w:w="62" w:type="dxa"/>
              <w:bottom w:w="0" w:type="dxa"/>
              <w:right w:w="62" w:type="dxa"/>
            </w:tcMar>
          </w:tcPr>
          <w:p w:rsidR="00000000" w:rsidP="00D20E0B">
            <w:pPr>
              <w:pStyle w:val="BodyText"/>
              <w:rPr>
                <w:lang w:val="en-NZ"/>
              </w:rPr>
            </w:pPr>
            <w:r w:rsidRPr="00D20E0B">
              <w:t>Capacitance sensing and float level monitoring systems are compared</w:t>
            </w:r>
          </w:p>
        </w:tc>
      </w:tr>
      <w:tr w:rsidTr="00AA320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20E0B">
            <w:pPr>
              <w:pStyle w:val="BodyText"/>
              <w:rPr>
                <w:lang w:val="en-NZ"/>
              </w:rPr>
            </w:pPr>
            <w:r w:rsidRPr="00D20E0B">
              <w:t>7.2</w:t>
            </w:r>
          </w:p>
        </w:tc>
        <w:tc>
          <w:tcPr>
            <w:tcW w:w="6045" w:type="dxa"/>
            <w:tcBorders>
              <w:top w:val="nil"/>
              <w:left w:val="nil"/>
              <w:bottom w:val="nil"/>
              <w:right w:val="nil"/>
            </w:tcBorders>
            <w:tcMar>
              <w:top w:w="0" w:type="dxa"/>
              <w:left w:w="62" w:type="dxa"/>
              <w:bottom w:w="0" w:type="dxa"/>
              <w:right w:w="62" w:type="dxa"/>
            </w:tcMar>
          </w:tcPr>
          <w:p w:rsidR="00000000" w:rsidP="00D20E0B">
            <w:pPr>
              <w:pStyle w:val="BodyText"/>
              <w:rPr>
                <w:lang w:val="en-NZ"/>
              </w:rPr>
            </w:pPr>
            <w:r w:rsidRPr="00D20E0B">
              <w:t>Single, two and three element boiler water level control systems involving feedwater and cascade systems are analysed</w:t>
            </w:r>
          </w:p>
        </w:tc>
      </w:tr>
      <w:tr w:rsidTr="00AA320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20E0B">
            <w:pPr>
              <w:pStyle w:val="BodyText"/>
              <w:rPr>
                <w:lang w:val="en-NZ"/>
              </w:rPr>
            </w:pPr>
            <w:r w:rsidRPr="00D20E0B">
              <w:t>7.3</w:t>
            </w:r>
          </w:p>
        </w:tc>
        <w:tc>
          <w:tcPr>
            <w:tcW w:w="6045" w:type="dxa"/>
            <w:tcBorders>
              <w:top w:val="nil"/>
              <w:left w:val="nil"/>
              <w:bottom w:val="nil"/>
              <w:right w:val="nil"/>
            </w:tcBorders>
            <w:tcMar>
              <w:top w:w="0" w:type="dxa"/>
              <w:left w:w="62" w:type="dxa"/>
              <w:bottom w:w="0" w:type="dxa"/>
              <w:right w:w="62" w:type="dxa"/>
            </w:tcMar>
          </w:tcPr>
          <w:p w:rsidR="00000000" w:rsidP="00D20E0B">
            <w:pPr>
              <w:pStyle w:val="BodyText"/>
              <w:rPr>
                <w:lang w:val="en-NZ"/>
              </w:rPr>
            </w:pPr>
            <w:r w:rsidRPr="00D20E0B">
              <w:t>Requirements and systems to provide advanced combustion control systems and sequential control for burner management are outlined</w:t>
            </w:r>
          </w:p>
        </w:tc>
      </w:tr>
      <w:tr w:rsidTr="00AA320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20E0B">
            <w:pPr>
              <w:pStyle w:val="BodyText"/>
              <w:rPr>
                <w:lang w:val="en-NZ"/>
              </w:rPr>
            </w:pPr>
            <w:r w:rsidRPr="00D20E0B">
              <w:t>7.4</w:t>
            </w:r>
          </w:p>
        </w:tc>
        <w:tc>
          <w:tcPr>
            <w:tcW w:w="6045" w:type="dxa"/>
            <w:tcBorders>
              <w:top w:val="nil"/>
              <w:left w:val="nil"/>
              <w:bottom w:val="nil"/>
              <w:right w:val="nil"/>
            </w:tcBorders>
            <w:tcMar>
              <w:top w:w="0" w:type="dxa"/>
              <w:left w:w="62" w:type="dxa"/>
              <w:bottom w:w="0" w:type="dxa"/>
              <w:right w:w="62" w:type="dxa"/>
            </w:tcMar>
          </w:tcPr>
          <w:p w:rsidR="00000000" w:rsidP="00D20E0B">
            <w:pPr>
              <w:pStyle w:val="BodyText"/>
              <w:rPr>
                <w:lang w:val="en-NZ"/>
              </w:rPr>
            </w:pPr>
            <w:r w:rsidRPr="00D20E0B">
              <w:t>Concepts and arrangements for central cooling and load dependent cooling control systems are explained</w:t>
            </w:r>
          </w:p>
        </w:tc>
      </w:tr>
      <w:tr w:rsidTr="00AA320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20E0B">
            <w:pPr>
              <w:pStyle w:val="BodyText"/>
              <w:rPr>
                <w:lang w:val="en-NZ"/>
              </w:rPr>
            </w:pPr>
            <w:r w:rsidRPr="00D20E0B">
              <w:t>7.5</w:t>
            </w:r>
          </w:p>
        </w:tc>
        <w:tc>
          <w:tcPr>
            <w:tcW w:w="6045" w:type="dxa"/>
            <w:tcBorders>
              <w:top w:val="nil"/>
              <w:left w:val="nil"/>
              <w:bottom w:val="nil"/>
              <w:right w:val="nil"/>
            </w:tcBorders>
            <w:tcMar>
              <w:top w:w="0" w:type="dxa"/>
              <w:left w:w="62" w:type="dxa"/>
              <w:bottom w:w="0" w:type="dxa"/>
              <w:right w:w="62" w:type="dxa"/>
            </w:tcMar>
          </w:tcPr>
          <w:p w:rsidR="00000000" w:rsidP="00D20E0B">
            <w:pPr>
              <w:pStyle w:val="BodyText"/>
              <w:rPr>
                <w:lang w:val="en-NZ"/>
              </w:rPr>
            </w:pPr>
            <w:r w:rsidRPr="00D20E0B">
              <w:t>Main engine control arrangements for fixed pitch propeller and CPP systems requiring sequential control are analysed</w:t>
            </w:r>
          </w:p>
        </w:tc>
      </w:tr>
      <w:tr w:rsidTr="00AA320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20E0B">
            <w:pPr>
              <w:pStyle w:val="BodyText"/>
              <w:rPr>
                <w:lang w:val="en-NZ"/>
              </w:rPr>
            </w:pPr>
            <w:r w:rsidRPr="00D20E0B">
              <w:t>7.6</w:t>
            </w:r>
          </w:p>
        </w:tc>
        <w:tc>
          <w:tcPr>
            <w:tcW w:w="6045" w:type="dxa"/>
            <w:tcBorders>
              <w:top w:val="nil"/>
              <w:left w:val="nil"/>
              <w:bottom w:val="nil"/>
              <w:right w:val="nil"/>
            </w:tcBorders>
            <w:tcMar>
              <w:top w:w="0" w:type="dxa"/>
              <w:left w:w="62" w:type="dxa"/>
              <w:bottom w:w="0" w:type="dxa"/>
              <w:right w:w="62" w:type="dxa"/>
            </w:tcMar>
          </w:tcPr>
          <w:p w:rsidR="00000000" w:rsidP="00D20E0B">
            <w:pPr>
              <w:pStyle w:val="BodyText"/>
              <w:rPr>
                <w:lang w:val="en-NZ"/>
              </w:rPr>
            </w:pPr>
            <w:r w:rsidRPr="00D20E0B">
              <w:t>Tests and procedures to meet UMS requirements are explained, and alarm and monitoring systems involving data loggers, alarm print outers, and trend analysis are evaluated</w:t>
            </w:r>
          </w:p>
        </w:tc>
      </w:tr>
      <w:tr w:rsidTr="00AA320C">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D20E0B" w:rsidP="00D20E0B">
            <w:pPr>
              <w:pStyle w:val="BodyText"/>
            </w:pPr>
            <w:r w:rsidRPr="00D20E0B">
              <w:rPr>
                <w:rStyle w:val="SpecialBold"/>
              </w:rPr>
              <w:t>8</w:t>
            </w:r>
          </w:p>
        </w:tc>
        <w:tc>
          <w:tcPr>
            <w:tcW w:w="2303" w:type="dxa"/>
            <w:vMerge w:val="restart"/>
            <w:tcBorders>
              <w:top w:val="nil"/>
              <w:left w:val="nil"/>
              <w:bottom w:val="nil"/>
              <w:right w:val="nil"/>
            </w:tcBorders>
            <w:tcMar>
              <w:top w:w="0" w:type="dxa"/>
              <w:left w:w="62" w:type="dxa"/>
              <w:bottom w:w="0" w:type="dxa"/>
              <w:right w:w="62" w:type="dxa"/>
            </w:tcMar>
          </w:tcPr>
          <w:p w:rsidR="00000000" w:rsidP="00D20E0B">
            <w:pPr>
              <w:pStyle w:val="BodyText"/>
              <w:rPr>
                <w:lang w:val="en-NZ"/>
              </w:rPr>
            </w:pPr>
            <w:r w:rsidRPr="00D20E0B">
              <w:rPr>
                <w:rStyle w:val="SpecialBold"/>
              </w:rPr>
              <w:t>Explain fault-finding techniques for control systems</w:t>
            </w:r>
          </w:p>
        </w:tc>
        <w:tc>
          <w:tcPr>
            <w:tcW w:w="719" w:type="dxa"/>
            <w:tcBorders>
              <w:top w:val="nil"/>
              <w:left w:val="nil"/>
              <w:bottom w:val="nil"/>
              <w:right w:val="nil"/>
            </w:tcBorders>
            <w:tcMar>
              <w:top w:w="0" w:type="dxa"/>
              <w:left w:w="62" w:type="dxa"/>
              <w:bottom w:w="0" w:type="dxa"/>
              <w:right w:w="62" w:type="dxa"/>
            </w:tcMar>
          </w:tcPr>
          <w:p w:rsidR="00000000" w:rsidP="00D20E0B">
            <w:pPr>
              <w:pStyle w:val="BodyText"/>
              <w:rPr>
                <w:lang w:val="en-NZ"/>
              </w:rPr>
            </w:pPr>
            <w:r w:rsidRPr="00D20E0B">
              <w:t>8.1</w:t>
            </w:r>
          </w:p>
        </w:tc>
        <w:tc>
          <w:tcPr>
            <w:tcW w:w="6045" w:type="dxa"/>
            <w:tcBorders>
              <w:top w:val="nil"/>
              <w:left w:val="nil"/>
              <w:bottom w:val="nil"/>
              <w:right w:val="nil"/>
            </w:tcBorders>
            <w:tcMar>
              <w:top w:w="0" w:type="dxa"/>
              <w:left w:w="62" w:type="dxa"/>
              <w:bottom w:w="0" w:type="dxa"/>
              <w:right w:w="62" w:type="dxa"/>
            </w:tcMar>
          </w:tcPr>
          <w:p w:rsidR="00000000" w:rsidP="00D20E0B">
            <w:pPr>
              <w:pStyle w:val="BodyText"/>
              <w:rPr>
                <w:lang w:val="en-NZ"/>
              </w:rPr>
            </w:pPr>
            <w:r w:rsidRPr="00D20E0B">
              <w:t xml:space="preserve">Governor adjustments are </w:t>
            </w:r>
            <w:r w:rsidRPr="00D20E0B">
              <w:t>demonstrated and effect of incorrect adjustments is explained</w:t>
            </w:r>
          </w:p>
        </w:tc>
      </w:tr>
      <w:tr w:rsidTr="00AA320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20E0B">
            <w:pPr>
              <w:pStyle w:val="BodyText"/>
              <w:rPr>
                <w:lang w:val="en-NZ"/>
              </w:rPr>
            </w:pPr>
            <w:r w:rsidRPr="00D20E0B">
              <w:t>8.2</w:t>
            </w:r>
          </w:p>
        </w:tc>
        <w:tc>
          <w:tcPr>
            <w:tcW w:w="6045" w:type="dxa"/>
            <w:tcBorders>
              <w:top w:val="nil"/>
              <w:left w:val="nil"/>
              <w:bottom w:val="nil"/>
              <w:right w:val="nil"/>
            </w:tcBorders>
            <w:tcMar>
              <w:top w:w="0" w:type="dxa"/>
              <w:left w:w="62" w:type="dxa"/>
              <w:bottom w:w="0" w:type="dxa"/>
              <w:right w:w="62" w:type="dxa"/>
            </w:tcMar>
          </w:tcPr>
          <w:p w:rsidR="00000000" w:rsidP="00D20E0B">
            <w:pPr>
              <w:pStyle w:val="BodyText"/>
              <w:rPr>
                <w:lang w:val="en-NZ"/>
              </w:rPr>
            </w:pPr>
            <w:r w:rsidRPr="00D20E0B">
              <w:t xml:space="preserve">Common defects in mechanical and electronic governors are itemised </w:t>
            </w:r>
          </w:p>
        </w:tc>
      </w:tr>
      <w:tr w:rsidTr="00AA320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20E0B">
            <w:pPr>
              <w:pStyle w:val="BodyText"/>
              <w:rPr>
                <w:lang w:val="en-NZ"/>
              </w:rPr>
            </w:pPr>
            <w:r w:rsidRPr="00D20E0B">
              <w:t>8.3</w:t>
            </w:r>
          </w:p>
        </w:tc>
        <w:tc>
          <w:tcPr>
            <w:tcW w:w="6045" w:type="dxa"/>
            <w:tcBorders>
              <w:top w:val="nil"/>
              <w:left w:val="nil"/>
              <w:bottom w:val="nil"/>
              <w:right w:val="nil"/>
            </w:tcBorders>
            <w:tcMar>
              <w:top w:w="0" w:type="dxa"/>
              <w:left w:w="62" w:type="dxa"/>
              <w:bottom w:w="0" w:type="dxa"/>
              <w:right w:w="62" w:type="dxa"/>
            </w:tcMar>
          </w:tcPr>
          <w:p w:rsidR="00000000" w:rsidP="00D20E0B">
            <w:pPr>
              <w:pStyle w:val="BodyText"/>
              <w:rPr>
                <w:lang w:val="en-NZ"/>
              </w:rPr>
            </w:pPr>
            <w:r w:rsidRPr="00D20E0B">
              <w:t>Indication of faults and procedures of fault finding in 4-20mA loops are explained</w:t>
            </w:r>
          </w:p>
        </w:tc>
      </w:tr>
      <w:tr w:rsidTr="00AA320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20E0B">
            <w:pPr>
              <w:pStyle w:val="BodyText"/>
              <w:rPr>
                <w:lang w:val="en-NZ"/>
              </w:rPr>
            </w:pPr>
            <w:r w:rsidRPr="00D20E0B">
              <w:t>8.4</w:t>
            </w:r>
          </w:p>
        </w:tc>
        <w:tc>
          <w:tcPr>
            <w:tcW w:w="6045" w:type="dxa"/>
            <w:tcBorders>
              <w:top w:val="nil"/>
              <w:left w:val="nil"/>
              <w:bottom w:val="nil"/>
              <w:right w:val="nil"/>
            </w:tcBorders>
            <w:tcMar>
              <w:top w:w="0" w:type="dxa"/>
              <w:left w:w="62" w:type="dxa"/>
              <w:bottom w:w="0" w:type="dxa"/>
              <w:right w:w="62" w:type="dxa"/>
            </w:tcMar>
          </w:tcPr>
          <w:p w:rsidR="00000000" w:rsidP="00D20E0B">
            <w:pPr>
              <w:pStyle w:val="BodyText"/>
              <w:rPr>
                <w:lang w:val="en-NZ"/>
              </w:rPr>
            </w:pPr>
            <w:r w:rsidRPr="00D20E0B">
              <w:t>Fault-finding techniques in pneumatic control systems and their respective components are analysed</w:t>
            </w:r>
          </w:p>
        </w:tc>
      </w:tr>
      <w:tr w:rsidTr="00AA320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20E0B">
            <w:pPr>
              <w:pStyle w:val="BodyText"/>
              <w:rPr>
                <w:lang w:val="en-NZ"/>
              </w:rPr>
            </w:pPr>
            <w:r w:rsidRPr="00D20E0B">
              <w:t>8.5</w:t>
            </w:r>
          </w:p>
        </w:tc>
        <w:tc>
          <w:tcPr>
            <w:tcW w:w="6045" w:type="dxa"/>
            <w:tcBorders>
              <w:top w:val="nil"/>
              <w:left w:val="nil"/>
              <w:bottom w:val="nil"/>
              <w:right w:val="nil"/>
            </w:tcBorders>
            <w:tcMar>
              <w:top w:w="0" w:type="dxa"/>
              <w:left w:w="62" w:type="dxa"/>
              <w:bottom w:w="0" w:type="dxa"/>
              <w:right w:w="62" w:type="dxa"/>
            </w:tcMar>
          </w:tcPr>
          <w:p w:rsidR="00000000" w:rsidP="00D20E0B">
            <w:pPr>
              <w:pStyle w:val="BodyText"/>
              <w:rPr>
                <w:lang w:val="en-NZ"/>
              </w:rPr>
            </w:pPr>
            <w:r w:rsidRPr="00D20E0B">
              <w:t>Fault-finding flow diagram is illustrated</w:t>
            </w:r>
          </w:p>
        </w:tc>
      </w:tr>
      <w:tr w:rsidTr="00AA320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20E0B">
            <w:pPr>
              <w:pStyle w:val="BodyText"/>
              <w:rPr>
                <w:lang w:val="en-NZ"/>
              </w:rPr>
            </w:pPr>
            <w:r w:rsidRPr="00D20E0B">
              <w:t>8.6</w:t>
            </w:r>
          </w:p>
        </w:tc>
        <w:tc>
          <w:tcPr>
            <w:tcW w:w="6045" w:type="dxa"/>
            <w:tcBorders>
              <w:top w:val="nil"/>
              <w:left w:val="nil"/>
              <w:bottom w:val="nil"/>
              <w:right w:val="nil"/>
            </w:tcBorders>
            <w:tcMar>
              <w:top w:w="0" w:type="dxa"/>
              <w:left w:w="62" w:type="dxa"/>
              <w:bottom w:w="0" w:type="dxa"/>
              <w:right w:w="62" w:type="dxa"/>
            </w:tcMar>
          </w:tcPr>
          <w:p w:rsidR="00000000" w:rsidP="00D20E0B">
            <w:pPr>
              <w:pStyle w:val="BodyText"/>
              <w:rPr>
                <w:lang w:val="en-NZ"/>
              </w:rPr>
            </w:pPr>
            <w:r w:rsidRPr="00D20E0B">
              <w:t>Off limit performance, fault detection and principles of rectifications for common engine room control systems are evaluated</w:t>
            </w:r>
          </w:p>
        </w:tc>
      </w:tr>
      <w:tr w:rsidTr="00AA320C">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D20E0B" w:rsidP="00D20E0B">
            <w:pPr>
              <w:pStyle w:val="BodyText"/>
            </w:pPr>
            <w:r w:rsidRPr="00D20E0B">
              <w:rPr>
                <w:rStyle w:val="SpecialBold"/>
              </w:rPr>
              <w:t>9</w:t>
            </w:r>
          </w:p>
        </w:tc>
        <w:tc>
          <w:tcPr>
            <w:tcW w:w="2303" w:type="dxa"/>
            <w:vMerge w:val="restart"/>
            <w:tcBorders>
              <w:top w:val="nil"/>
              <w:left w:val="nil"/>
              <w:bottom w:val="nil"/>
              <w:right w:val="nil"/>
            </w:tcBorders>
            <w:tcMar>
              <w:top w:w="0" w:type="dxa"/>
              <w:left w:w="62" w:type="dxa"/>
              <w:bottom w:w="0" w:type="dxa"/>
              <w:right w:w="62" w:type="dxa"/>
            </w:tcMar>
          </w:tcPr>
          <w:p w:rsidR="00000000" w:rsidP="00D20E0B">
            <w:pPr>
              <w:pStyle w:val="BodyText"/>
              <w:rPr>
                <w:lang w:val="en-NZ"/>
              </w:rPr>
            </w:pPr>
            <w:r w:rsidRPr="00D20E0B">
              <w:rPr>
                <w:rStyle w:val="SpecialBold"/>
              </w:rPr>
              <w:t>Analyse measurement and test equipment used for fault-finding electronic apparatus</w:t>
            </w:r>
          </w:p>
        </w:tc>
        <w:tc>
          <w:tcPr>
            <w:tcW w:w="719" w:type="dxa"/>
            <w:tcBorders>
              <w:top w:val="nil"/>
              <w:left w:val="nil"/>
              <w:bottom w:val="nil"/>
              <w:right w:val="nil"/>
            </w:tcBorders>
            <w:tcMar>
              <w:top w:w="0" w:type="dxa"/>
              <w:left w:w="62" w:type="dxa"/>
              <w:bottom w:w="0" w:type="dxa"/>
              <w:right w:w="62" w:type="dxa"/>
            </w:tcMar>
          </w:tcPr>
          <w:p w:rsidR="00000000" w:rsidP="00D20E0B">
            <w:pPr>
              <w:pStyle w:val="BodyText"/>
              <w:rPr>
                <w:lang w:val="en-NZ"/>
              </w:rPr>
            </w:pPr>
            <w:r w:rsidRPr="00D20E0B">
              <w:t>9.1</w:t>
            </w:r>
          </w:p>
        </w:tc>
        <w:tc>
          <w:tcPr>
            <w:tcW w:w="6045" w:type="dxa"/>
            <w:tcBorders>
              <w:top w:val="nil"/>
              <w:left w:val="nil"/>
              <w:bottom w:val="nil"/>
              <w:right w:val="nil"/>
            </w:tcBorders>
            <w:tcMar>
              <w:top w:w="0" w:type="dxa"/>
              <w:left w:w="62" w:type="dxa"/>
              <w:bottom w:w="0" w:type="dxa"/>
              <w:right w:w="62" w:type="dxa"/>
            </w:tcMar>
          </w:tcPr>
          <w:p w:rsidR="00000000" w:rsidP="00D20E0B">
            <w:pPr>
              <w:pStyle w:val="BodyText"/>
              <w:rPr>
                <w:lang w:val="en-NZ"/>
              </w:rPr>
            </w:pPr>
            <w:r w:rsidRPr="00D20E0B">
              <w:t>Principles of operation of cathode ray os</w:t>
            </w:r>
            <w:r w:rsidRPr="00D20E0B">
              <w:t>cilloscope are explained</w:t>
            </w:r>
          </w:p>
        </w:tc>
      </w:tr>
      <w:tr w:rsidTr="00AA320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20E0B">
            <w:pPr>
              <w:pStyle w:val="BodyText"/>
              <w:rPr>
                <w:lang w:val="en-NZ"/>
              </w:rPr>
            </w:pPr>
            <w:r w:rsidRPr="00D20E0B">
              <w:t>9.2</w:t>
            </w:r>
          </w:p>
        </w:tc>
        <w:tc>
          <w:tcPr>
            <w:tcW w:w="6045" w:type="dxa"/>
            <w:tcBorders>
              <w:top w:val="nil"/>
              <w:left w:val="nil"/>
              <w:bottom w:val="nil"/>
              <w:right w:val="nil"/>
            </w:tcBorders>
            <w:tcMar>
              <w:top w:w="0" w:type="dxa"/>
              <w:left w:w="62" w:type="dxa"/>
              <w:bottom w:w="0" w:type="dxa"/>
              <w:right w:w="62" w:type="dxa"/>
            </w:tcMar>
          </w:tcPr>
          <w:p w:rsidR="00000000" w:rsidP="00D20E0B">
            <w:pPr>
              <w:pStyle w:val="BodyText"/>
              <w:rPr>
                <w:lang w:val="en-NZ"/>
              </w:rPr>
            </w:pPr>
            <w:r w:rsidRPr="00D20E0B">
              <w:t>Need for pulse shaping in electronics is examined</w:t>
            </w:r>
          </w:p>
        </w:tc>
      </w:tr>
      <w:tr w:rsidTr="00AA320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20E0B">
            <w:pPr>
              <w:pStyle w:val="BodyText"/>
              <w:rPr>
                <w:lang w:val="en-NZ"/>
              </w:rPr>
            </w:pPr>
            <w:r w:rsidRPr="00D20E0B">
              <w:t>9.3</w:t>
            </w:r>
          </w:p>
        </w:tc>
        <w:tc>
          <w:tcPr>
            <w:tcW w:w="6045" w:type="dxa"/>
            <w:tcBorders>
              <w:top w:val="nil"/>
              <w:left w:val="nil"/>
              <w:bottom w:val="nil"/>
              <w:right w:val="nil"/>
            </w:tcBorders>
            <w:tcMar>
              <w:top w:w="0" w:type="dxa"/>
              <w:left w:w="62" w:type="dxa"/>
              <w:bottom w:w="0" w:type="dxa"/>
              <w:right w:w="62" w:type="dxa"/>
            </w:tcMar>
          </w:tcPr>
          <w:p w:rsidR="00000000" w:rsidP="00D20E0B">
            <w:pPr>
              <w:pStyle w:val="BodyText"/>
              <w:rPr>
                <w:lang w:val="en-NZ"/>
              </w:rPr>
            </w:pPr>
            <w:r w:rsidRPr="00D20E0B">
              <w:t>Different methods of testing common alarms systems are compared</w:t>
            </w:r>
          </w:p>
        </w:tc>
      </w:tr>
      <w:tr w:rsidTr="00AA320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20E0B">
            <w:pPr>
              <w:pStyle w:val="BodyText"/>
              <w:rPr>
                <w:lang w:val="en-NZ"/>
              </w:rPr>
            </w:pPr>
            <w:r w:rsidRPr="00D20E0B">
              <w:t>9.4</w:t>
            </w:r>
          </w:p>
        </w:tc>
        <w:tc>
          <w:tcPr>
            <w:tcW w:w="6045" w:type="dxa"/>
            <w:tcBorders>
              <w:top w:val="nil"/>
              <w:left w:val="nil"/>
              <w:bottom w:val="nil"/>
              <w:right w:val="nil"/>
            </w:tcBorders>
            <w:tcMar>
              <w:top w:w="0" w:type="dxa"/>
              <w:left w:w="62" w:type="dxa"/>
              <w:bottom w:w="0" w:type="dxa"/>
              <w:right w:w="62" w:type="dxa"/>
            </w:tcMar>
          </w:tcPr>
          <w:p w:rsidR="00000000" w:rsidP="00D20E0B">
            <w:pPr>
              <w:pStyle w:val="BodyText"/>
              <w:rPr>
                <w:lang w:val="en-NZ"/>
              </w:rPr>
            </w:pPr>
            <w:r w:rsidRPr="00D20E0B">
              <w:t>Methods used in stabilisation, surveillance and monitoring of control power supplies are demonstrated</w:t>
            </w:r>
          </w:p>
        </w:tc>
      </w:tr>
      <w:tr w:rsidTr="00AA320C">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D20E0B" w:rsidP="00D20E0B">
            <w:pPr>
              <w:pStyle w:val="BodyText"/>
            </w:pPr>
            <w:r w:rsidRPr="00D20E0B">
              <w:rPr>
                <w:rStyle w:val="SpecialBold"/>
              </w:rPr>
              <w:t>10</w:t>
            </w:r>
          </w:p>
        </w:tc>
        <w:tc>
          <w:tcPr>
            <w:tcW w:w="2303" w:type="dxa"/>
            <w:vMerge w:val="restart"/>
            <w:tcBorders>
              <w:top w:val="nil"/>
              <w:left w:val="nil"/>
              <w:bottom w:val="nil"/>
              <w:right w:val="nil"/>
            </w:tcBorders>
            <w:tcMar>
              <w:top w:w="0" w:type="dxa"/>
              <w:left w:w="62" w:type="dxa"/>
              <w:bottom w:w="0" w:type="dxa"/>
              <w:right w:w="62" w:type="dxa"/>
            </w:tcMar>
          </w:tcPr>
          <w:p w:rsidR="00000000" w:rsidP="00D20E0B">
            <w:pPr>
              <w:pStyle w:val="BodyText"/>
              <w:rPr>
                <w:lang w:val="en-NZ"/>
              </w:rPr>
            </w:pPr>
            <w:r w:rsidRPr="00D20E0B">
              <w:rPr>
                <w:rStyle w:val="SpecialBold"/>
              </w:rPr>
              <w:t>Analyse governors</w:t>
            </w:r>
          </w:p>
        </w:tc>
        <w:tc>
          <w:tcPr>
            <w:tcW w:w="719" w:type="dxa"/>
            <w:tcBorders>
              <w:top w:val="nil"/>
              <w:left w:val="nil"/>
              <w:bottom w:val="nil"/>
              <w:right w:val="nil"/>
            </w:tcBorders>
            <w:tcMar>
              <w:top w:w="0" w:type="dxa"/>
              <w:left w:w="62" w:type="dxa"/>
              <w:bottom w:w="0" w:type="dxa"/>
              <w:right w:w="62" w:type="dxa"/>
            </w:tcMar>
          </w:tcPr>
          <w:p w:rsidR="00000000" w:rsidP="00D20E0B">
            <w:pPr>
              <w:pStyle w:val="BodyText"/>
              <w:rPr>
                <w:lang w:val="en-NZ"/>
              </w:rPr>
            </w:pPr>
            <w:r w:rsidRPr="00D20E0B">
              <w:t>10.1</w:t>
            </w:r>
          </w:p>
        </w:tc>
        <w:tc>
          <w:tcPr>
            <w:tcW w:w="6045" w:type="dxa"/>
            <w:tcBorders>
              <w:top w:val="nil"/>
              <w:left w:val="nil"/>
              <w:bottom w:val="nil"/>
              <w:right w:val="nil"/>
            </w:tcBorders>
            <w:tcMar>
              <w:top w:w="0" w:type="dxa"/>
              <w:left w:w="62" w:type="dxa"/>
              <w:bottom w:w="0" w:type="dxa"/>
              <w:right w:w="62" w:type="dxa"/>
            </w:tcMar>
          </w:tcPr>
          <w:p w:rsidR="00000000" w:rsidP="00D20E0B">
            <w:pPr>
              <w:pStyle w:val="BodyText"/>
              <w:rPr>
                <w:lang w:val="en-NZ"/>
              </w:rPr>
            </w:pPr>
            <w:r w:rsidRPr="00D20E0B">
              <w:t>Governor faults are diagnosed and interpreted, identifying and evaluating appropriate adjustments and maintenance to be made</w:t>
            </w:r>
          </w:p>
        </w:tc>
      </w:tr>
      <w:tr w:rsidTr="00AA320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20E0B">
            <w:pPr>
              <w:pStyle w:val="BodyText"/>
              <w:rPr>
                <w:lang w:val="en-NZ"/>
              </w:rPr>
            </w:pPr>
            <w:r w:rsidRPr="00D20E0B">
              <w:t>10.2</w:t>
            </w:r>
          </w:p>
        </w:tc>
        <w:tc>
          <w:tcPr>
            <w:tcW w:w="6045" w:type="dxa"/>
            <w:tcBorders>
              <w:top w:val="nil"/>
              <w:left w:val="nil"/>
              <w:bottom w:val="nil"/>
              <w:right w:val="nil"/>
            </w:tcBorders>
            <w:tcMar>
              <w:top w:w="0" w:type="dxa"/>
              <w:left w:w="62" w:type="dxa"/>
              <w:bottom w:w="0" w:type="dxa"/>
              <w:right w:w="62" w:type="dxa"/>
            </w:tcMar>
          </w:tcPr>
          <w:p w:rsidR="00000000" w:rsidP="00D20E0B">
            <w:pPr>
              <w:pStyle w:val="BodyText"/>
              <w:rPr>
                <w:lang w:val="en-NZ"/>
              </w:rPr>
            </w:pPr>
            <w:r w:rsidRPr="00D20E0B">
              <w:t>Specific governor applications requiring torque limitation, critical speed range avoidance are outlined</w:t>
            </w:r>
          </w:p>
        </w:tc>
      </w:tr>
      <w:tr w:rsidTr="00AA320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20E0B">
            <w:pPr>
              <w:pStyle w:val="BodyText"/>
              <w:rPr>
                <w:lang w:val="en-NZ"/>
              </w:rPr>
            </w:pPr>
            <w:r w:rsidRPr="00D20E0B">
              <w:t>10.3</w:t>
            </w:r>
          </w:p>
        </w:tc>
        <w:tc>
          <w:tcPr>
            <w:tcW w:w="6045" w:type="dxa"/>
            <w:tcBorders>
              <w:top w:val="nil"/>
              <w:left w:val="nil"/>
              <w:bottom w:val="nil"/>
              <w:right w:val="nil"/>
            </w:tcBorders>
            <w:tcMar>
              <w:top w:w="0" w:type="dxa"/>
              <w:left w:w="62" w:type="dxa"/>
              <w:bottom w:w="0" w:type="dxa"/>
              <w:right w:w="62" w:type="dxa"/>
            </w:tcMar>
          </w:tcPr>
          <w:p w:rsidR="00000000" w:rsidP="00D20E0B">
            <w:pPr>
              <w:pStyle w:val="BodyText"/>
              <w:rPr>
                <w:lang w:val="en-NZ"/>
              </w:rPr>
            </w:pPr>
            <w:r w:rsidRPr="00D20E0B">
              <w:t>Typical electronic governors are explained using labelled diagrams to indicate major components and features</w:t>
            </w:r>
          </w:p>
        </w:tc>
      </w:tr>
      <w:tr w:rsidTr="00AA320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20E0B">
            <w:pPr>
              <w:pStyle w:val="BodyText"/>
              <w:rPr>
                <w:lang w:val="en-NZ"/>
              </w:rPr>
            </w:pPr>
            <w:r w:rsidRPr="00D20E0B">
              <w:t>10.4</w:t>
            </w:r>
          </w:p>
        </w:tc>
        <w:tc>
          <w:tcPr>
            <w:tcW w:w="6045" w:type="dxa"/>
            <w:tcBorders>
              <w:top w:val="nil"/>
              <w:left w:val="nil"/>
              <w:bottom w:val="nil"/>
              <w:right w:val="nil"/>
            </w:tcBorders>
            <w:tcMar>
              <w:top w:w="0" w:type="dxa"/>
              <w:left w:w="62" w:type="dxa"/>
              <w:bottom w:w="0" w:type="dxa"/>
              <w:right w:w="62" w:type="dxa"/>
            </w:tcMar>
          </w:tcPr>
          <w:p w:rsidR="00000000" w:rsidP="00D20E0B">
            <w:pPr>
              <w:pStyle w:val="BodyText"/>
              <w:rPr>
                <w:lang w:val="en-NZ"/>
              </w:rPr>
            </w:pPr>
            <w:r w:rsidRPr="00D20E0B">
              <w:t>Governor adjustments to allow operation of propulsion and power generation diesels in both shared load and standalone applications are specified</w:t>
            </w:r>
          </w:p>
        </w:tc>
      </w:tr>
      <w:tr w:rsidTr="00AA320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20E0B">
            <w:pPr>
              <w:pStyle w:val="BodyText"/>
              <w:rPr>
                <w:lang w:val="en-NZ"/>
              </w:rPr>
            </w:pPr>
            <w:r w:rsidRPr="00D20E0B">
              <w:t>10.5</w:t>
            </w:r>
          </w:p>
        </w:tc>
        <w:tc>
          <w:tcPr>
            <w:tcW w:w="6045" w:type="dxa"/>
            <w:tcBorders>
              <w:top w:val="nil"/>
              <w:left w:val="nil"/>
              <w:bottom w:val="nil"/>
              <w:right w:val="nil"/>
            </w:tcBorders>
            <w:tcMar>
              <w:top w:w="0" w:type="dxa"/>
              <w:left w:w="62" w:type="dxa"/>
              <w:bottom w:w="0" w:type="dxa"/>
              <w:right w:w="62" w:type="dxa"/>
            </w:tcMar>
          </w:tcPr>
          <w:p w:rsidR="00000000" w:rsidP="00D20E0B">
            <w:pPr>
              <w:pStyle w:val="BodyText"/>
              <w:rPr>
                <w:lang w:val="en-NZ"/>
              </w:rPr>
            </w:pPr>
            <w:r w:rsidRPr="00D20E0B">
              <w:t>Response of a diesel engine governor on change in engine load using both feedback and feed forward cont</w:t>
            </w:r>
            <w:r w:rsidRPr="00D20E0B">
              <w:t xml:space="preserve">rol is explained using labelled diagrams to indicate major components and adjustments </w:t>
            </w:r>
          </w:p>
        </w:tc>
      </w:tr>
      <w:tr w:rsidTr="00AA320C">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D20E0B" w:rsidP="00D20E0B">
            <w:pPr>
              <w:pStyle w:val="BodyText"/>
            </w:pPr>
            <w:r w:rsidRPr="00D20E0B">
              <w:rPr>
                <w:rStyle w:val="SpecialBold"/>
              </w:rPr>
              <w:t>11</w:t>
            </w:r>
          </w:p>
        </w:tc>
        <w:tc>
          <w:tcPr>
            <w:tcW w:w="2303" w:type="dxa"/>
            <w:vMerge w:val="restart"/>
            <w:tcBorders>
              <w:top w:val="nil"/>
              <w:left w:val="nil"/>
              <w:bottom w:val="nil"/>
              <w:right w:val="nil"/>
            </w:tcBorders>
            <w:tcMar>
              <w:top w:w="0" w:type="dxa"/>
              <w:left w:w="62" w:type="dxa"/>
              <w:bottom w:w="0" w:type="dxa"/>
              <w:right w:w="62" w:type="dxa"/>
            </w:tcMar>
          </w:tcPr>
          <w:p w:rsidR="00000000" w:rsidP="00D20E0B">
            <w:pPr>
              <w:pStyle w:val="BodyText"/>
              <w:rPr>
                <w:lang w:val="en-NZ"/>
              </w:rPr>
            </w:pPr>
            <w:r w:rsidRPr="00D20E0B">
              <w:rPr>
                <w:rStyle w:val="SpecialBold"/>
              </w:rPr>
              <w:t>Explain operational applications of analogue and digital programmable logic controllers (PLC)</w:t>
            </w:r>
          </w:p>
        </w:tc>
        <w:tc>
          <w:tcPr>
            <w:tcW w:w="719" w:type="dxa"/>
            <w:tcBorders>
              <w:top w:val="nil"/>
              <w:left w:val="nil"/>
              <w:bottom w:val="nil"/>
              <w:right w:val="nil"/>
            </w:tcBorders>
            <w:tcMar>
              <w:top w:w="0" w:type="dxa"/>
              <w:left w:w="62" w:type="dxa"/>
              <w:bottom w:w="0" w:type="dxa"/>
              <w:right w:w="62" w:type="dxa"/>
            </w:tcMar>
          </w:tcPr>
          <w:p w:rsidR="00000000" w:rsidP="00D20E0B">
            <w:pPr>
              <w:pStyle w:val="BodyText"/>
              <w:rPr>
                <w:lang w:val="en-NZ"/>
              </w:rPr>
            </w:pPr>
            <w:r w:rsidRPr="00D20E0B">
              <w:t>11.1</w:t>
            </w:r>
          </w:p>
        </w:tc>
        <w:tc>
          <w:tcPr>
            <w:tcW w:w="6045" w:type="dxa"/>
            <w:tcBorders>
              <w:top w:val="nil"/>
              <w:left w:val="nil"/>
              <w:bottom w:val="nil"/>
              <w:right w:val="nil"/>
            </w:tcBorders>
            <w:tcMar>
              <w:top w:w="0" w:type="dxa"/>
              <w:left w:w="62" w:type="dxa"/>
              <w:bottom w:w="0" w:type="dxa"/>
              <w:right w:w="62" w:type="dxa"/>
            </w:tcMar>
          </w:tcPr>
          <w:p w:rsidR="00000000" w:rsidP="00D20E0B">
            <w:pPr>
              <w:pStyle w:val="BodyText"/>
              <w:rPr>
                <w:lang w:val="en-NZ"/>
              </w:rPr>
            </w:pPr>
            <w:r w:rsidRPr="00D20E0B">
              <w:t>Methods of programming PLCs are assessed</w:t>
            </w:r>
          </w:p>
        </w:tc>
      </w:tr>
      <w:tr w:rsidTr="00AA320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20E0B">
            <w:pPr>
              <w:pStyle w:val="BodyText"/>
              <w:rPr>
                <w:lang w:val="en-NZ"/>
              </w:rPr>
            </w:pPr>
            <w:r w:rsidRPr="00D20E0B">
              <w:t>11.2</w:t>
            </w:r>
          </w:p>
        </w:tc>
        <w:tc>
          <w:tcPr>
            <w:tcW w:w="6045" w:type="dxa"/>
            <w:tcBorders>
              <w:top w:val="nil"/>
              <w:left w:val="nil"/>
              <w:bottom w:val="nil"/>
              <w:right w:val="nil"/>
            </w:tcBorders>
            <w:tcMar>
              <w:top w:w="0" w:type="dxa"/>
              <w:left w:w="62" w:type="dxa"/>
              <w:bottom w:w="0" w:type="dxa"/>
              <w:right w:w="62" w:type="dxa"/>
            </w:tcMar>
          </w:tcPr>
          <w:p w:rsidR="00000000" w:rsidP="00D20E0B">
            <w:pPr>
              <w:pStyle w:val="BodyText"/>
              <w:rPr>
                <w:lang w:val="en-NZ"/>
              </w:rPr>
            </w:pPr>
            <w:r w:rsidRPr="00D20E0B">
              <w:t>Memory applications of PLCs are outlined</w:t>
            </w:r>
          </w:p>
        </w:tc>
      </w:tr>
      <w:tr w:rsidTr="00AA320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20E0B">
            <w:pPr>
              <w:pStyle w:val="BodyText"/>
              <w:rPr>
                <w:lang w:val="en-NZ"/>
              </w:rPr>
            </w:pPr>
            <w:r w:rsidRPr="00D20E0B">
              <w:t>11.3</w:t>
            </w:r>
          </w:p>
        </w:tc>
        <w:tc>
          <w:tcPr>
            <w:tcW w:w="6045" w:type="dxa"/>
            <w:tcBorders>
              <w:top w:val="nil"/>
              <w:left w:val="nil"/>
              <w:bottom w:val="nil"/>
              <w:right w:val="nil"/>
            </w:tcBorders>
            <w:tcMar>
              <w:top w:w="0" w:type="dxa"/>
              <w:left w:w="62" w:type="dxa"/>
              <w:bottom w:w="0" w:type="dxa"/>
              <w:right w:w="62" w:type="dxa"/>
            </w:tcMar>
          </w:tcPr>
          <w:p w:rsidR="00000000" w:rsidP="00D20E0B">
            <w:pPr>
              <w:pStyle w:val="BodyText"/>
              <w:rPr>
                <w:lang w:val="en-NZ"/>
              </w:rPr>
            </w:pPr>
            <w:r w:rsidRPr="00D20E0B">
              <w:t>Input devices used with analogue PLCs are identified</w:t>
            </w:r>
          </w:p>
        </w:tc>
      </w:tr>
      <w:tr w:rsidTr="00AA320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20E0B">
            <w:pPr>
              <w:pStyle w:val="BodyText"/>
              <w:rPr>
                <w:lang w:val="en-NZ"/>
              </w:rPr>
            </w:pPr>
            <w:r w:rsidRPr="00D20E0B">
              <w:t>11.4</w:t>
            </w:r>
          </w:p>
        </w:tc>
        <w:tc>
          <w:tcPr>
            <w:tcW w:w="6045" w:type="dxa"/>
            <w:tcBorders>
              <w:top w:val="nil"/>
              <w:left w:val="nil"/>
              <w:bottom w:val="nil"/>
              <w:right w:val="nil"/>
            </w:tcBorders>
            <w:tcMar>
              <w:top w:w="0" w:type="dxa"/>
              <w:left w:w="62" w:type="dxa"/>
              <w:bottom w:w="0" w:type="dxa"/>
              <w:right w:w="62" w:type="dxa"/>
            </w:tcMar>
          </w:tcPr>
          <w:p w:rsidR="00000000" w:rsidP="00D20E0B">
            <w:pPr>
              <w:pStyle w:val="BodyText"/>
              <w:rPr>
                <w:lang w:val="en-NZ"/>
              </w:rPr>
            </w:pPr>
            <w:r w:rsidRPr="00D20E0B">
              <w:t>Fibre optic data transmission systems are explained</w:t>
            </w:r>
          </w:p>
        </w:tc>
      </w:tr>
      <w:tr w:rsidTr="00AA320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20E0B">
            <w:pPr>
              <w:pStyle w:val="BodyText"/>
              <w:rPr>
                <w:lang w:val="en-NZ"/>
              </w:rPr>
            </w:pPr>
            <w:r w:rsidRPr="00D20E0B">
              <w:t>11.5</w:t>
            </w:r>
          </w:p>
        </w:tc>
        <w:tc>
          <w:tcPr>
            <w:tcW w:w="6045" w:type="dxa"/>
            <w:tcBorders>
              <w:top w:val="nil"/>
              <w:left w:val="nil"/>
              <w:bottom w:val="nil"/>
              <w:right w:val="nil"/>
            </w:tcBorders>
            <w:tcMar>
              <w:top w:w="0" w:type="dxa"/>
              <w:left w:w="62" w:type="dxa"/>
              <w:bottom w:w="0" w:type="dxa"/>
              <w:right w:w="62" w:type="dxa"/>
            </w:tcMar>
          </w:tcPr>
          <w:p w:rsidR="00000000" w:rsidP="00D20E0B">
            <w:pPr>
              <w:pStyle w:val="BodyText"/>
              <w:rPr>
                <w:lang w:val="en-NZ"/>
              </w:rPr>
            </w:pPr>
            <w:r w:rsidRPr="00D20E0B">
              <w:t>Methods used for storing binary data and operating registers are explained</w:t>
            </w:r>
          </w:p>
        </w:tc>
      </w:tr>
      <w:tr w:rsidTr="00AA320C">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D20E0B" w:rsidP="00D20E0B">
            <w:pPr>
              <w:pStyle w:val="BodyText"/>
            </w:pPr>
            <w:r w:rsidRPr="00D20E0B">
              <w:rPr>
                <w:rStyle w:val="SpecialBold"/>
              </w:rPr>
              <w:t>12</w:t>
            </w:r>
          </w:p>
        </w:tc>
        <w:tc>
          <w:tcPr>
            <w:tcW w:w="2303" w:type="dxa"/>
            <w:vMerge w:val="restart"/>
            <w:tcBorders>
              <w:top w:val="nil"/>
              <w:left w:val="nil"/>
              <w:bottom w:val="nil"/>
              <w:right w:val="nil"/>
            </w:tcBorders>
            <w:tcMar>
              <w:top w:w="0" w:type="dxa"/>
              <w:left w:w="62" w:type="dxa"/>
              <w:bottom w:w="0" w:type="dxa"/>
              <w:right w:w="62" w:type="dxa"/>
            </w:tcMar>
          </w:tcPr>
          <w:p w:rsidR="00000000" w:rsidP="00D20E0B">
            <w:pPr>
              <w:pStyle w:val="BodyText"/>
              <w:rPr>
                <w:lang w:val="en-NZ"/>
              </w:rPr>
            </w:pPr>
            <w:r w:rsidRPr="00D20E0B">
              <w:rPr>
                <w:rStyle w:val="SpecialBold"/>
              </w:rPr>
              <w:t>Document procedures for programming, operating and maintaining PLC controlled systems</w:t>
            </w:r>
          </w:p>
        </w:tc>
        <w:tc>
          <w:tcPr>
            <w:tcW w:w="719" w:type="dxa"/>
            <w:tcBorders>
              <w:top w:val="nil"/>
              <w:left w:val="nil"/>
              <w:bottom w:val="nil"/>
              <w:right w:val="nil"/>
            </w:tcBorders>
            <w:tcMar>
              <w:top w:w="0" w:type="dxa"/>
              <w:left w:w="62" w:type="dxa"/>
              <w:bottom w:w="0" w:type="dxa"/>
              <w:right w:w="62" w:type="dxa"/>
            </w:tcMar>
          </w:tcPr>
          <w:p w:rsidR="00000000" w:rsidP="00D20E0B">
            <w:pPr>
              <w:pStyle w:val="BodyText"/>
              <w:rPr>
                <w:lang w:val="en-NZ"/>
              </w:rPr>
            </w:pPr>
            <w:r w:rsidRPr="00D20E0B">
              <w:t>12.1</w:t>
            </w:r>
          </w:p>
        </w:tc>
        <w:tc>
          <w:tcPr>
            <w:tcW w:w="6045" w:type="dxa"/>
            <w:tcBorders>
              <w:top w:val="nil"/>
              <w:left w:val="nil"/>
              <w:bottom w:val="nil"/>
              <w:right w:val="nil"/>
            </w:tcBorders>
            <w:tcMar>
              <w:top w:w="0" w:type="dxa"/>
              <w:left w:w="62" w:type="dxa"/>
              <w:bottom w:w="0" w:type="dxa"/>
              <w:right w:w="62" w:type="dxa"/>
            </w:tcMar>
          </w:tcPr>
          <w:p w:rsidR="00000000" w:rsidP="00D20E0B">
            <w:pPr>
              <w:pStyle w:val="BodyText"/>
              <w:rPr>
                <w:lang w:val="en-NZ"/>
              </w:rPr>
            </w:pPr>
            <w:r w:rsidRPr="00D20E0B">
              <w:t>Procedure for identifying required control system functions are explained</w:t>
            </w:r>
          </w:p>
        </w:tc>
      </w:tr>
      <w:tr w:rsidTr="00AA320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20E0B">
            <w:pPr>
              <w:pStyle w:val="BodyText"/>
              <w:rPr>
                <w:lang w:val="en-NZ"/>
              </w:rPr>
            </w:pPr>
            <w:r w:rsidRPr="00D20E0B">
              <w:t>12.2</w:t>
            </w:r>
          </w:p>
        </w:tc>
        <w:tc>
          <w:tcPr>
            <w:tcW w:w="6045" w:type="dxa"/>
            <w:tcBorders>
              <w:top w:val="nil"/>
              <w:left w:val="nil"/>
              <w:bottom w:val="nil"/>
              <w:right w:val="nil"/>
            </w:tcBorders>
            <w:tcMar>
              <w:top w:w="0" w:type="dxa"/>
              <w:left w:w="62" w:type="dxa"/>
              <w:bottom w:w="0" w:type="dxa"/>
              <w:right w:w="62" w:type="dxa"/>
            </w:tcMar>
          </w:tcPr>
          <w:p w:rsidR="00000000" w:rsidP="00D20E0B">
            <w:pPr>
              <w:pStyle w:val="BodyText"/>
              <w:rPr>
                <w:lang w:val="en-NZ"/>
              </w:rPr>
            </w:pPr>
            <w:r w:rsidRPr="00D20E0B">
              <w:t>Procedure for connecting PLC to system control elements is outlined</w:t>
            </w:r>
          </w:p>
        </w:tc>
      </w:tr>
      <w:tr w:rsidTr="00AA320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20E0B">
            <w:pPr>
              <w:pStyle w:val="BodyText"/>
              <w:rPr>
                <w:lang w:val="en-NZ"/>
              </w:rPr>
            </w:pPr>
            <w:r w:rsidRPr="00D20E0B">
              <w:t>12.3</w:t>
            </w:r>
          </w:p>
        </w:tc>
        <w:tc>
          <w:tcPr>
            <w:tcW w:w="6045" w:type="dxa"/>
            <w:tcBorders>
              <w:top w:val="nil"/>
              <w:left w:val="nil"/>
              <w:bottom w:val="nil"/>
              <w:right w:val="nil"/>
            </w:tcBorders>
            <w:tcMar>
              <w:top w:w="0" w:type="dxa"/>
              <w:left w:w="62" w:type="dxa"/>
              <w:bottom w:w="0" w:type="dxa"/>
              <w:right w:w="62" w:type="dxa"/>
            </w:tcMar>
          </w:tcPr>
          <w:p w:rsidR="00000000" w:rsidP="00D20E0B">
            <w:pPr>
              <w:pStyle w:val="BodyText"/>
              <w:rPr>
                <w:lang w:val="en-NZ"/>
              </w:rPr>
            </w:pPr>
            <w:r w:rsidRPr="00D20E0B">
              <w:t>System operating procedure is outlined</w:t>
            </w:r>
          </w:p>
        </w:tc>
      </w:tr>
      <w:tr w:rsidTr="00AA320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20E0B">
            <w:pPr>
              <w:pStyle w:val="BodyText"/>
              <w:rPr>
                <w:lang w:val="en-NZ"/>
              </w:rPr>
            </w:pPr>
            <w:r w:rsidRPr="00D20E0B">
              <w:t>12.4</w:t>
            </w:r>
          </w:p>
        </w:tc>
        <w:tc>
          <w:tcPr>
            <w:tcW w:w="6045" w:type="dxa"/>
            <w:tcBorders>
              <w:top w:val="nil"/>
              <w:left w:val="nil"/>
              <w:bottom w:val="nil"/>
              <w:right w:val="nil"/>
            </w:tcBorders>
            <w:tcMar>
              <w:top w:w="0" w:type="dxa"/>
              <w:left w:w="62" w:type="dxa"/>
              <w:bottom w:w="0" w:type="dxa"/>
              <w:right w:w="62" w:type="dxa"/>
            </w:tcMar>
          </w:tcPr>
          <w:p w:rsidR="00000000" w:rsidP="00D20E0B">
            <w:pPr>
              <w:pStyle w:val="BodyText"/>
              <w:rPr>
                <w:lang w:val="en-NZ"/>
              </w:rPr>
            </w:pPr>
            <w:r w:rsidRPr="00D20E0B">
              <w:t xml:space="preserve">Procedure for modifying system and program as necessary to provide adequate and appropriate safety requirements, is outlined </w:t>
            </w:r>
          </w:p>
        </w:tc>
      </w:tr>
      <w:tr w:rsidTr="00AA320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20E0B">
            <w:pPr>
              <w:pStyle w:val="BodyText"/>
              <w:rPr>
                <w:lang w:val="en-NZ"/>
              </w:rPr>
            </w:pPr>
            <w:r w:rsidRPr="00D20E0B">
              <w:t>12.5</w:t>
            </w:r>
          </w:p>
        </w:tc>
        <w:tc>
          <w:tcPr>
            <w:tcW w:w="6045" w:type="dxa"/>
            <w:tcBorders>
              <w:top w:val="nil"/>
              <w:left w:val="nil"/>
              <w:bottom w:val="nil"/>
              <w:right w:val="nil"/>
            </w:tcBorders>
            <w:tcMar>
              <w:top w:w="0" w:type="dxa"/>
              <w:left w:w="62" w:type="dxa"/>
              <w:bottom w:w="0" w:type="dxa"/>
              <w:right w:w="62" w:type="dxa"/>
            </w:tcMar>
          </w:tcPr>
          <w:p w:rsidR="00000000" w:rsidP="00D20E0B">
            <w:pPr>
              <w:pStyle w:val="BodyText"/>
              <w:rPr>
                <w:lang w:val="en-NZ"/>
              </w:rPr>
            </w:pPr>
            <w:r w:rsidRPr="00D20E0B">
              <w:t>Maintenance and fault-finding procedures are outlined</w:t>
            </w:r>
          </w:p>
        </w:tc>
      </w:tr>
      <w:tr w:rsidTr="00AA320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20E0B">
            <w:pPr>
              <w:pStyle w:val="BodyText"/>
              <w:rPr>
                <w:lang w:val="en-NZ"/>
              </w:rPr>
            </w:pPr>
            <w:r w:rsidRPr="00D20E0B">
              <w:t>12.6</w:t>
            </w:r>
          </w:p>
        </w:tc>
        <w:tc>
          <w:tcPr>
            <w:tcW w:w="6045" w:type="dxa"/>
            <w:tcBorders>
              <w:top w:val="nil"/>
              <w:left w:val="nil"/>
              <w:bottom w:val="nil"/>
              <w:right w:val="nil"/>
            </w:tcBorders>
            <w:tcMar>
              <w:top w:w="0" w:type="dxa"/>
              <w:left w:w="62" w:type="dxa"/>
              <w:bottom w:w="0" w:type="dxa"/>
              <w:right w:w="62" w:type="dxa"/>
            </w:tcMar>
          </w:tcPr>
          <w:p w:rsidR="00000000" w:rsidRPr="00D20E0B" w:rsidP="00D20E0B">
            <w:pPr>
              <w:pStyle w:val="BodyText"/>
            </w:pPr>
            <w:r w:rsidRPr="00D20E0B">
              <w:t>Required docu</w:t>
            </w:r>
            <w:r w:rsidRPr="00D20E0B">
              <w:t>mentation is prepared and accuracy is verified</w:t>
            </w:r>
          </w:p>
        </w:tc>
      </w:tr>
    </w:tbl>
    <w:p w:rsidR="00000000" w:rsidRPr="00D20E0B" w:rsidP="00D20E0B">
      <w:pPr>
        <w:pStyle w:val="BodyText"/>
      </w:pPr>
    </w:p>
    <w:p w:rsidR="00000000" w:rsidRPr="00D20E0B" w:rsidP="00D20E0B">
      <w:pPr>
        <w:pStyle w:val="AllowPageBreak"/>
      </w:pPr>
    </w:p>
    <w:p w:rsidR="00000000" w:rsidRPr="00D20E0B" w:rsidP="00D20E0B">
      <w:pPr>
        <w:pStyle w:val="Heading1"/>
      </w:pPr>
      <w:bookmarkStart w:id="7" w:name="O_661816"/>
      <w:bookmarkEnd w:id="7"/>
      <w:r w:rsidRPr="00D20E0B">
        <w:t>Foundation Skills</w:t>
      </w:r>
    </w:p>
    <w:tbl>
      <w:tblPr>
        <w:tblW w:w="9498" w:type="dxa"/>
        <w:tblLayout w:type="fixed"/>
        <w:tblCellMar>
          <w:left w:w="62" w:type="dxa"/>
          <w:right w:w="62" w:type="dxa"/>
        </w:tblCellMar>
        <w:tblLook w:val="0000"/>
      </w:tblPr>
      <w:tblGrid>
        <w:gridCol w:w="9498"/>
      </w:tblGrid>
      <w:tr w:rsidTr="00D20E0B">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D20E0B" w:rsidP="00D20E0B">
            <w:pPr>
              <w:pStyle w:val="BodyText"/>
            </w:pPr>
            <w:r w:rsidRPr="00D20E0B">
              <w:t>Foundation skills essential to performance are explicit in the performance criteria of this unit of competency.</w:t>
            </w:r>
          </w:p>
        </w:tc>
      </w:tr>
    </w:tbl>
    <w:p w:rsidR="00000000" w:rsidRPr="00D20E0B" w:rsidP="00D20E0B">
      <w:pPr>
        <w:pStyle w:val="BodyText"/>
      </w:pPr>
    </w:p>
    <w:p w:rsidR="00000000" w:rsidRPr="00D20E0B" w:rsidP="00D20E0B">
      <w:pPr>
        <w:pStyle w:val="AllowPageBreak"/>
      </w:pPr>
    </w:p>
    <w:p w:rsidR="00000000" w:rsidRPr="00D20E0B" w:rsidP="00D20E0B">
      <w:pPr>
        <w:pStyle w:val="Heading1"/>
      </w:pPr>
      <w:bookmarkStart w:id="8" w:name="O_661817"/>
      <w:bookmarkEnd w:id="8"/>
      <w:r w:rsidRPr="00D20E0B">
        <w:t>Range of Conditions</w:t>
      </w:r>
    </w:p>
    <w:tbl>
      <w:tblPr>
        <w:tblW w:w="9498" w:type="dxa"/>
        <w:tblLayout w:type="fixed"/>
        <w:tblCellMar>
          <w:left w:w="62" w:type="dxa"/>
          <w:right w:w="62" w:type="dxa"/>
        </w:tblCellMar>
        <w:tblLook w:val="0000"/>
      </w:tblPr>
      <w:tblGrid>
        <w:gridCol w:w="2735"/>
        <w:gridCol w:w="6763"/>
      </w:tblGrid>
      <w:tr w:rsidTr="00D20E0B">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P="00D20E0B">
            <w:pPr>
              <w:pStyle w:val="BodyText"/>
              <w:rPr>
                <w:lang w:val="en-NZ"/>
              </w:rPr>
            </w:pPr>
            <w:r w:rsidRPr="00D20E0B">
              <w:t>Range is restricted to essential operating conditions and any other variables essential to the work environment.</w:t>
            </w:r>
          </w:p>
        </w:tc>
      </w:tr>
      <w:tr w:rsidTr="00D20E0B">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RPr="00D20E0B" w:rsidP="00D20E0B">
            <w:pPr>
              <w:pStyle w:val="BodyText"/>
            </w:pPr>
            <w:r w:rsidRPr="00D20E0B">
              <w:t>Methods of testing transmitter outputs include one or more of the following:</w:t>
            </w:r>
          </w:p>
          <w:p w:rsidR="00000000" w:rsidP="00D20E0B">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RPr="00D20E0B" w:rsidP="00D20E0B">
            <w:pPr>
              <w:pStyle w:val="ListBullet"/>
            </w:pPr>
            <w:r w:rsidRPr="00D20E0B">
              <w:t>MA test point</w:t>
            </w:r>
          </w:p>
          <w:p w:rsidR="00000000" w:rsidRPr="00D20E0B" w:rsidP="00D20E0B">
            <w:pPr>
              <w:pStyle w:val="ListBullet"/>
            </w:pPr>
            <w:r w:rsidRPr="00D20E0B">
              <w:t>MV test point</w:t>
            </w:r>
          </w:p>
          <w:p w:rsidR="00000000" w:rsidP="00D20E0B">
            <w:pPr>
              <w:pStyle w:val="ListBullet"/>
              <w:rPr>
                <w:lang w:val="en-NZ"/>
              </w:rPr>
            </w:pPr>
            <w:r w:rsidRPr="00D20E0B">
              <w:t>no test points</w:t>
            </w:r>
          </w:p>
        </w:tc>
      </w:tr>
      <w:tr w:rsidTr="00D20E0B">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AA320C" w:rsidP="00D20E0B">
            <w:pPr>
              <w:pStyle w:val="BodyText"/>
            </w:pPr>
            <w:r w:rsidRPr="00D20E0B">
              <w:t>Faults must include:</w:t>
            </w:r>
          </w:p>
          <w:p w:rsidR="00AA320C" w:rsidP="00D20E0B">
            <w:pPr>
              <w:pStyle w:val="BodyText"/>
            </w:pPr>
          </w:p>
          <w:p w:rsidR="00000000" w:rsidP="00D20E0B">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RPr="00D20E0B" w:rsidP="00D20E0B">
            <w:pPr>
              <w:pStyle w:val="ListBullet"/>
            </w:pPr>
            <w:r w:rsidRPr="00D20E0B">
              <w:t>earths</w:t>
            </w:r>
          </w:p>
          <w:p w:rsidR="00000000" w:rsidRPr="00D20E0B" w:rsidP="00D20E0B">
            <w:pPr>
              <w:pStyle w:val="ListBullet"/>
            </w:pPr>
            <w:r w:rsidRPr="00D20E0B">
              <w:t>electronic component failure</w:t>
            </w:r>
          </w:p>
          <w:p w:rsidR="00000000" w:rsidRPr="00D20E0B" w:rsidP="00D20E0B">
            <w:pPr>
              <w:pStyle w:val="ListBullet"/>
            </w:pPr>
            <w:r w:rsidRPr="00D20E0B">
              <w:t>high resistance joints</w:t>
            </w:r>
          </w:p>
          <w:p w:rsidR="00000000" w:rsidRPr="00D20E0B" w:rsidP="00D20E0B">
            <w:pPr>
              <w:pStyle w:val="ListBullet"/>
            </w:pPr>
            <w:r w:rsidRPr="00D20E0B">
              <w:t>open circuits</w:t>
            </w:r>
          </w:p>
          <w:p w:rsidR="00000000" w:rsidRPr="00D20E0B" w:rsidP="00D20E0B">
            <w:pPr>
              <w:pStyle w:val="ListBullet"/>
            </w:pPr>
            <w:r w:rsidRPr="00D20E0B">
              <w:t>power supply faults</w:t>
            </w:r>
          </w:p>
          <w:p w:rsidR="00000000" w:rsidP="00D20E0B">
            <w:pPr>
              <w:pStyle w:val="ListBullet"/>
              <w:rPr>
                <w:lang w:val="en-NZ"/>
              </w:rPr>
            </w:pPr>
            <w:r w:rsidRPr="00D20E0B">
              <w:t>short circuits</w:t>
            </w:r>
          </w:p>
        </w:tc>
      </w:tr>
      <w:tr w:rsidTr="00D20E0B">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D20E0B">
            <w:pPr>
              <w:pStyle w:val="BodyText"/>
              <w:rPr>
                <w:lang w:val="en-NZ"/>
              </w:rPr>
            </w:pPr>
            <w:r w:rsidRPr="00D20E0B">
              <w:t xml:space="preserve">Governor adjustments must include: </w:t>
            </w:r>
          </w:p>
        </w:tc>
        <w:tc>
          <w:tcPr>
            <w:tcW w:w="6763" w:type="dxa"/>
            <w:tcBorders>
              <w:top w:val="nil"/>
              <w:left w:val="nil"/>
              <w:bottom w:val="nil"/>
              <w:right w:val="nil"/>
            </w:tcBorders>
            <w:tcMar>
              <w:top w:w="0" w:type="dxa"/>
              <w:left w:w="62" w:type="dxa"/>
              <w:bottom w:w="0" w:type="dxa"/>
              <w:right w:w="62" w:type="dxa"/>
            </w:tcMar>
          </w:tcPr>
          <w:p w:rsidR="00000000" w:rsidRPr="00D20E0B" w:rsidP="00D20E0B">
            <w:pPr>
              <w:pStyle w:val="ListBullet"/>
            </w:pPr>
            <w:r w:rsidRPr="00D20E0B">
              <w:t>mismatching between prime mover types and responses</w:t>
            </w:r>
          </w:p>
        </w:tc>
      </w:tr>
    </w:tbl>
    <w:p w:rsidR="00000000" w:rsidRPr="00D20E0B" w:rsidP="00D20E0B">
      <w:pPr>
        <w:pStyle w:val="BodyText"/>
      </w:pPr>
    </w:p>
    <w:p w:rsidR="00000000" w:rsidRPr="00D20E0B" w:rsidP="00D20E0B">
      <w:pPr>
        <w:pStyle w:val="AllowPageBreak"/>
      </w:pPr>
    </w:p>
    <w:p w:rsidR="00000000" w:rsidRPr="00D20E0B" w:rsidP="00D20E0B">
      <w:pPr>
        <w:pStyle w:val="Heading1"/>
      </w:pPr>
      <w:bookmarkStart w:id="9" w:name="O_661818"/>
      <w:bookmarkEnd w:id="9"/>
      <w:r w:rsidRPr="00D20E0B">
        <w:t>Unit Mapping Information</w:t>
      </w:r>
    </w:p>
    <w:p w:rsidR="00000000" w:rsidRPr="00D20E0B" w:rsidP="00AA320C">
      <w:pPr>
        <w:pStyle w:val="BodyText"/>
      </w:pPr>
      <w:r w:rsidRPr="00D20E0B">
        <w:t>This unit replaces and is equivalent to MARL6019A Demonstrate advanced knowledge of marine control systems and automation.</w:t>
      </w:r>
    </w:p>
    <w:p w:rsidR="00000000" w:rsidRPr="00D20E0B" w:rsidP="00D20E0B">
      <w:pPr>
        <w:pStyle w:val="Heading1"/>
      </w:pPr>
      <w:bookmarkStart w:id="10" w:name="O_661825"/>
      <w:bookmarkEnd w:id="10"/>
      <w:r w:rsidRPr="00D20E0B">
        <w:t>Links</w:t>
      </w:r>
    </w:p>
    <w:p w:rsidR="00000000" w:rsidRPr="00D20E0B" w:rsidP="00AA320C">
      <w:pPr>
        <w:pStyle w:val="BodyText"/>
      </w:pPr>
      <w:r w:rsidRPr="00D20E0B">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066B3A">
        <w:rPr>
          <w:rStyle w:val="Hyperlink"/>
        </w:rPr>
        <w:t>https://vetnet.gov.au/Pages/TrainingDocs.aspx?q=772efb7b-4cce-47fe-9bbd-ee3b1d1eb4c2</w:t>
      </w:r>
      <w:r>
        <w:fldChar w:fldCharType="end"/>
      </w:r>
    </w:p>
    <w:p w:rsidR="00000000" w:rsidRPr="00D20E0B" w:rsidP="00AA320C">
      <w:pPr>
        <w:pStyle w:val="BodyText"/>
        <w:sectPr w:rsidSect="00D20E0B">
          <w:headerReference w:type="default" r:id="rId10"/>
          <w:footerReference w:type="default" r:id="rId11"/>
          <w:pgSz w:w="11908" w:h="16833"/>
          <w:pgMar w:top="1702" w:right="1418" w:bottom="1702" w:left="1418" w:header="992" w:footer="992" w:gutter="0"/>
          <w:cols w:space="720"/>
          <w:noEndnote/>
          <w:docGrid w:linePitch="299"/>
        </w:sectPr>
      </w:pPr>
    </w:p>
    <w:p w:rsidR="00000000" w:rsidRPr="00D20E0B" w:rsidP="00D20E0B">
      <w:pPr>
        <w:pStyle w:val="SuperHeading"/>
      </w:pPr>
      <w:r w:rsidRPr="00D20E0B">
        <w:t>Assessment Requirements for MARL032 Demonstrate advanced knowledge of marine control systems and automation</w:t>
      </w:r>
    </w:p>
    <w:p w:rsidR="00000000" w:rsidRPr="00D20E0B" w:rsidP="00D20E0B">
      <w:pPr>
        <w:pStyle w:val="Heading1"/>
      </w:pPr>
      <w:bookmarkStart w:id="11" w:name="O_661820"/>
      <w:bookmarkEnd w:id="11"/>
      <w:r w:rsidRPr="00D20E0B">
        <w:t>Modification History</w:t>
      </w:r>
    </w:p>
    <w:p w:rsidR="00000000" w:rsidRPr="00D20E0B" w:rsidP="00AA320C">
      <w:pPr>
        <w:pStyle w:val="BodyText"/>
      </w:pPr>
      <w:r w:rsidRPr="00D20E0B">
        <w:t>Rel</w:t>
      </w:r>
      <w:r w:rsidRPr="00D20E0B">
        <w:t>ease 1. New unit of competency.</w:t>
      </w:r>
    </w:p>
    <w:p w:rsidR="00000000" w:rsidRPr="00D20E0B" w:rsidP="00D20E0B">
      <w:pPr>
        <w:pStyle w:val="Heading1"/>
      </w:pPr>
      <w:bookmarkStart w:id="12" w:name="O_661821"/>
      <w:bookmarkEnd w:id="12"/>
      <w:r w:rsidRPr="00D20E0B">
        <w:t>Performance Evidence</w:t>
      </w:r>
    </w:p>
    <w:tbl>
      <w:tblPr>
        <w:tblW w:w="9498" w:type="dxa"/>
        <w:tblLayout w:type="fixed"/>
        <w:tblCellMar>
          <w:left w:w="62" w:type="dxa"/>
          <w:right w:w="62" w:type="dxa"/>
        </w:tblCellMar>
        <w:tblLook w:val="0000"/>
      </w:tblPr>
      <w:tblGrid>
        <w:gridCol w:w="9498"/>
      </w:tblGrid>
      <w:tr w:rsidTr="00D20E0B">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D20E0B">
            <w:pPr>
              <w:pStyle w:val="BodyText"/>
              <w:rPr>
                <w:lang w:val="en-NZ"/>
              </w:rPr>
            </w:pPr>
            <w:r w:rsidRPr="00D20E0B">
              <w:t>Evidence required to demonstrate competence in this unit must be relevant to and satisfy all of the requirements of the elements, performance criteria and range of conditions on at least</w:t>
            </w:r>
            <w:r w:rsidRPr="00D20E0B">
              <w:t xml:space="preserve"> one occasion and include:</w:t>
            </w:r>
          </w:p>
        </w:tc>
      </w:tr>
      <w:tr w:rsidTr="00D20E0B">
        <w:tblPrEx>
          <w:tblW w:w="9498" w:type="dxa"/>
          <w:tblLayout w:type="fixed"/>
          <w:tblCellMar>
            <w:left w:w="62" w:type="dxa"/>
            <w:right w:w="62" w:type="dxa"/>
          </w:tblCellMar>
          <w:tblLook w:val="0000"/>
        </w:tblPrEx>
        <w:trPr>
          <w:trHeight w:val="2752"/>
        </w:trPr>
        <w:tc>
          <w:tcPr>
            <w:tcW w:w="9498" w:type="dxa"/>
            <w:tcBorders>
              <w:top w:val="nil"/>
              <w:left w:val="nil"/>
              <w:bottom w:val="nil"/>
              <w:right w:val="nil"/>
            </w:tcBorders>
            <w:tcMar>
              <w:top w:w="0" w:type="dxa"/>
              <w:left w:w="62" w:type="dxa"/>
              <w:bottom w:w="0" w:type="dxa"/>
              <w:right w:w="62" w:type="dxa"/>
            </w:tcMar>
          </w:tcPr>
          <w:p w:rsidR="00000000" w:rsidRPr="00D20E0B" w:rsidP="00D20E0B">
            <w:pPr>
              <w:pStyle w:val="ListBullet"/>
            </w:pPr>
            <w:r w:rsidRPr="00D20E0B">
              <w:t>accessing information and sketching diagrams, and interpreting and explaining testing requirements related to control systems on commercial vessels</w:t>
            </w:r>
          </w:p>
          <w:p w:rsidR="00000000" w:rsidRPr="00D20E0B" w:rsidP="00D20E0B">
            <w:pPr>
              <w:pStyle w:val="ListBullet"/>
            </w:pPr>
            <w:r w:rsidRPr="00D20E0B">
              <w:t>applying relevant work health and safety/occupational health and safety (WHS/OHS) requirements and work practices</w:t>
            </w:r>
          </w:p>
          <w:p w:rsidR="00000000" w:rsidRPr="00D20E0B" w:rsidP="00D20E0B">
            <w:pPr>
              <w:pStyle w:val="ListBullet"/>
            </w:pPr>
            <w:r w:rsidRPr="00D20E0B">
              <w:t>assessing own work outcomes and maintaining knowledge of current codes, standards, regulations and industry practices</w:t>
            </w:r>
          </w:p>
          <w:p w:rsidR="00000000" w:rsidRPr="00D20E0B" w:rsidP="00D20E0B">
            <w:pPr>
              <w:pStyle w:val="ListBullet"/>
            </w:pPr>
            <w:r w:rsidRPr="00D20E0B">
              <w:t>explaining advance princ</w:t>
            </w:r>
            <w:r w:rsidRPr="00D20E0B">
              <w:t>iples of marine automation and process control, and imparting knowledge and ideas verbally, in writing and visually</w:t>
            </w:r>
          </w:p>
          <w:p w:rsidR="00000000" w:rsidRPr="00D20E0B" w:rsidP="00D20E0B">
            <w:pPr>
              <w:pStyle w:val="ListBullet"/>
            </w:pPr>
            <w:r w:rsidRPr="00D20E0B">
              <w:t>identifying and interpreting numerical and graphical information, including schematic diagrams, relevant to control systems on commercial ve</w:t>
            </w:r>
            <w:r w:rsidRPr="00D20E0B">
              <w:t>ssels</w:t>
            </w:r>
          </w:p>
          <w:p w:rsidR="00000000" w:rsidRPr="00D20E0B" w:rsidP="00D20E0B">
            <w:pPr>
              <w:pStyle w:val="ListBullet"/>
            </w:pPr>
            <w:r w:rsidRPr="00D20E0B">
              <w:t>identifying and suggesting ways of rectifying faults and malfunctions in control systems on commercial vessels</w:t>
            </w:r>
          </w:p>
          <w:p w:rsidR="00000000" w:rsidRPr="00D20E0B" w:rsidP="00D20E0B">
            <w:pPr>
              <w:pStyle w:val="ListBullet"/>
            </w:pPr>
            <w:r w:rsidRPr="00D20E0B">
              <w:t>identifying methods, procedures and materials needed to operate and maintain control systems on commercial vessels</w:t>
            </w:r>
          </w:p>
          <w:p w:rsidR="00000000" w:rsidRPr="00D20E0B" w:rsidP="00D20E0B">
            <w:pPr>
              <w:pStyle w:val="ListBullet"/>
            </w:pPr>
            <w:r w:rsidRPr="00D20E0B">
              <w:t>reading and interpreting</w:t>
            </w:r>
            <w:r w:rsidRPr="00D20E0B">
              <w:t xml:space="preserve"> written information related to operating control systems on commercial vessels.</w:t>
            </w:r>
          </w:p>
        </w:tc>
      </w:tr>
    </w:tbl>
    <w:p w:rsidR="00000000" w:rsidRPr="00D20E0B" w:rsidP="00D20E0B">
      <w:pPr>
        <w:pStyle w:val="BodyText"/>
      </w:pPr>
    </w:p>
    <w:p w:rsidR="00000000" w:rsidRPr="00D20E0B" w:rsidP="00D20E0B">
      <w:pPr>
        <w:pStyle w:val="AllowPageBreak"/>
      </w:pPr>
    </w:p>
    <w:p w:rsidR="00000000" w:rsidRPr="00D20E0B" w:rsidP="00D20E0B">
      <w:pPr>
        <w:pStyle w:val="Heading1"/>
      </w:pPr>
      <w:bookmarkStart w:id="13" w:name="O_661822"/>
      <w:bookmarkEnd w:id="13"/>
      <w:r w:rsidRPr="00D20E0B">
        <w:t>Knowledge Evidence</w:t>
      </w:r>
    </w:p>
    <w:tbl>
      <w:tblPr>
        <w:tblW w:w="9498" w:type="dxa"/>
        <w:tblLayout w:type="fixed"/>
        <w:tblCellMar>
          <w:left w:w="62" w:type="dxa"/>
          <w:right w:w="62" w:type="dxa"/>
        </w:tblCellMar>
        <w:tblLook w:val="0000"/>
      </w:tblPr>
      <w:tblGrid>
        <w:gridCol w:w="9498"/>
      </w:tblGrid>
      <w:tr w:rsidTr="00D20E0B">
        <w:tblPrEx>
          <w:tblW w:w="9498" w:type="dxa"/>
          <w:tblLayout w:type="fixed"/>
          <w:tblCellMar>
            <w:left w:w="62" w:type="dxa"/>
            <w:right w:w="62" w:type="dxa"/>
          </w:tblCellMar>
          <w:tblLook w:val="0000"/>
        </w:tblPrEx>
        <w:trPr>
          <w:trHeight w:val="913"/>
        </w:trPr>
        <w:tc>
          <w:tcPr>
            <w:tcW w:w="9498" w:type="dxa"/>
            <w:tcBorders>
              <w:top w:val="nil"/>
              <w:left w:val="nil"/>
              <w:bottom w:val="nil"/>
              <w:right w:val="nil"/>
            </w:tcBorders>
            <w:tcMar>
              <w:top w:w="0" w:type="dxa"/>
              <w:left w:w="62" w:type="dxa"/>
              <w:bottom w:w="0" w:type="dxa"/>
              <w:right w:w="62" w:type="dxa"/>
            </w:tcMar>
          </w:tcPr>
          <w:p w:rsidR="00000000" w:rsidP="00D20E0B">
            <w:pPr>
              <w:pStyle w:val="BodyText"/>
              <w:rPr>
                <w:lang w:val="en-NZ"/>
              </w:rPr>
            </w:pPr>
            <w:r w:rsidRPr="00D20E0B">
              <w:t>Evidence required to demonstrate competence in this unit must be relevant to and satisfy all of the requirements of the elements, perform</w:t>
            </w:r>
            <w:r w:rsidRPr="00D20E0B">
              <w:t>ance criteria and range of conditions and include knowledge of:</w:t>
            </w:r>
          </w:p>
        </w:tc>
      </w:tr>
      <w:tr w:rsidTr="00D20E0B">
        <w:tblPrEx>
          <w:tblW w:w="9498" w:type="dxa"/>
          <w:tblLayout w:type="fixed"/>
          <w:tblCellMar>
            <w:left w:w="62" w:type="dxa"/>
            <w:right w:w="62" w:type="dxa"/>
          </w:tblCellMar>
          <w:tblLook w:val="0000"/>
        </w:tblPrEx>
        <w:trPr>
          <w:trHeight w:val="568"/>
        </w:trPr>
        <w:tc>
          <w:tcPr>
            <w:tcW w:w="9498" w:type="dxa"/>
            <w:tcBorders>
              <w:top w:val="nil"/>
              <w:left w:val="nil"/>
              <w:bottom w:val="nil"/>
              <w:right w:val="nil"/>
            </w:tcBorders>
            <w:tcMar>
              <w:top w:w="0" w:type="dxa"/>
              <w:left w:w="62" w:type="dxa"/>
              <w:bottom w:w="0" w:type="dxa"/>
              <w:right w:w="62" w:type="dxa"/>
            </w:tcMar>
          </w:tcPr>
          <w:p w:rsidR="00000000" w:rsidRPr="00D20E0B" w:rsidP="00D20E0B">
            <w:pPr>
              <w:pStyle w:val="ListBullet"/>
            </w:pPr>
            <w:r w:rsidRPr="00D20E0B">
              <w:t>analogue and digital programmable logic controllers</w:t>
            </w:r>
          </w:p>
          <w:p w:rsidR="00000000" w:rsidRPr="00D20E0B" w:rsidP="00D20E0B">
            <w:pPr>
              <w:pStyle w:val="ListBullet"/>
            </w:pPr>
            <w:r w:rsidRPr="00D20E0B">
              <w:t>Australian Standards for drawing symbols/layouts for schematic diagrams</w:t>
            </w:r>
          </w:p>
          <w:p w:rsidR="00000000" w:rsidRPr="00D20E0B" w:rsidP="00D20E0B">
            <w:pPr>
              <w:pStyle w:val="ListBullet"/>
            </w:pPr>
            <w:r w:rsidRPr="00D20E0B">
              <w:t>charact</w:t>
            </w:r>
            <w:r w:rsidRPr="00D20E0B">
              <w:t>eristics and functions of temperature, pressure and viscosity of fuel</w:t>
            </w:r>
          </w:p>
          <w:p w:rsidR="00000000" w:rsidRPr="00D20E0B" w:rsidP="00D20E0B">
            <w:pPr>
              <w:pStyle w:val="ListBullet"/>
            </w:pPr>
            <w:r w:rsidRPr="00D20E0B">
              <w:t>concept of ‘fail safe’ philosophy</w:t>
            </w:r>
          </w:p>
          <w:p w:rsidR="00000000" w:rsidRPr="00D20E0B" w:rsidP="00D20E0B">
            <w:pPr>
              <w:pStyle w:val="ListBullet"/>
            </w:pPr>
            <w:r w:rsidRPr="00D20E0B">
              <w:t>concepts of unmanned machinery spaces (UMS), and automated monitoring and control of machinery</w:t>
            </w:r>
          </w:p>
          <w:p w:rsidR="00000000" w:rsidRPr="00D20E0B" w:rsidP="00D20E0B">
            <w:pPr>
              <w:pStyle w:val="ListBullet"/>
            </w:pPr>
            <w:r w:rsidRPr="00D20E0B">
              <w:t>control and monitoring of ship machinery</w:t>
            </w:r>
          </w:p>
          <w:p w:rsidR="00000000" w:rsidRPr="00D20E0B" w:rsidP="00D20E0B">
            <w:pPr>
              <w:pStyle w:val="ListBullet"/>
            </w:pPr>
            <w:r w:rsidRPr="00D20E0B">
              <w:t>control:</w:t>
            </w:r>
          </w:p>
          <w:p w:rsidR="00000000" w:rsidRPr="00D20E0B" w:rsidP="00D20E0B">
            <w:pPr>
              <w:pStyle w:val="ListBullet2"/>
            </w:pPr>
            <w:r w:rsidRPr="00D20E0B">
              <w:t>loops</w:t>
            </w:r>
          </w:p>
          <w:p w:rsidR="00000000" w:rsidRPr="00D20E0B" w:rsidP="00D20E0B">
            <w:pPr>
              <w:pStyle w:val="ListBullet2"/>
            </w:pPr>
            <w:r w:rsidRPr="00D20E0B">
              <w:t>theory</w:t>
            </w:r>
          </w:p>
          <w:p w:rsidR="00000000" w:rsidRPr="00D20E0B" w:rsidP="00D20E0B">
            <w:pPr>
              <w:pStyle w:val="ListBullet"/>
            </w:pPr>
            <w:r w:rsidRPr="00D20E0B">
              <w:t>electronic:</w:t>
            </w:r>
          </w:p>
          <w:p w:rsidR="00000000" w:rsidRPr="00D20E0B" w:rsidP="00D20E0B">
            <w:pPr>
              <w:pStyle w:val="ListBullet2"/>
            </w:pPr>
            <w:r w:rsidRPr="00D20E0B">
              <w:t>temperature sensors and transmitters</w:t>
            </w:r>
          </w:p>
          <w:p w:rsidR="00000000" w:rsidRPr="00D20E0B" w:rsidP="00D20E0B">
            <w:pPr>
              <w:pStyle w:val="ListBullet2"/>
            </w:pPr>
            <w:r w:rsidRPr="00D20E0B">
              <w:t>transmitters</w:t>
            </w:r>
          </w:p>
          <w:p w:rsidR="00000000" w:rsidRPr="00D20E0B" w:rsidP="00D20E0B">
            <w:pPr>
              <w:pStyle w:val="ListBullet"/>
            </w:pPr>
            <w:r w:rsidRPr="00D20E0B">
              <w:t>fault-finding techniques for control systems</w:t>
            </w:r>
          </w:p>
          <w:p w:rsidR="00000000" w:rsidRPr="00D20E0B" w:rsidP="00D20E0B">
            <w:pPr>
              <w:pStyle w:val="ListBullet"/>
            </w:pPr>
            <w:r w:rsidRPr="00D20E0B">
              <w:t>final control element arrangements</w:t>
            </w:r>
          </w:p>
          <w:p w:rsidR="00000000" w:rsidRPr="00D20E0B" w:rsidP="00D20E0B">
            <w:pPr>
              <w:pStyle w:val="ListBullet"/>
            </w:pPr>
            <w:r w:rsidRPr="00D20E0B">
              <w:t>governors</w:t>
            </w:r>
          </w:p>
          <w:p w:rsidR="00000000" w:rsidRPr="00D20E0B" w:rsidP="00D20E0B">
            <w:pPr>
              <w:pStyle w:val="ListBullet"/>
            </w:pPr>
            <w:r w:rsidRPr="00D20E0B">
              <w:t>instrument process and control terms</w:t>
            </w:r>
          </w:p>
          <w:p w:rsidR="00000000" w:rsidRPr="00D20E0B" w:rsidP="00D20E0B">
            <w:pPr>
              <w:pStyle w:val="ListBullet"/>
            </w:pPr>
            <w:r w:rsidRPr="00D20E0B">
              <w:t>machinery space monitoring alarm and control systems</w:t>
            </w:r>
          </w:p>
          <w:p w:rsidR="00000000" w:rsidRPr="00D20E0B" w:rsidP="00D20E0B">
            <w:pPr>
              <w:pStyle w:val="ListBullet"/>
            </w:pPr>
            <w:r w:rsidRPr="00D20E0B">
              <w:t>meas</w:t>
            </w:r>
            <w:r w:rsidRPr="00D20E0B">
              <w:t>urement and test equipment used for fault-finding electronic apparatus</w:t>
            </w:r>
          </w:p>
          <w:p w:rsidR="00000000" w:rsidRPr="00D20E0B" w:rsidP="00D20E0B">
            <w:pPr>
              <w:pStyle w:val="ListBullet"/>
            </w:pPr>
            <w:r w:rsidRPr="00D20E0B">
              <w:t>mechanical and electrical sensors</w:t>
            </w:r>
          </w:p>
          <w:p w:rsidR="00000000" w:rsidRPr="00D20E0B" w:rsidP="00D20E0B">
            <w:pPr>
              <w:pStyle w:val="ListBullet"/>
            </w:pPr>
            <w:r w:rsidRPr="00D20E0B">
              <w:t>PID electronic controllers</w:t>
            </w:r>
          </w:p>
          <w:p w:rsidR="00000000" w:rsidRPr="00D20E0B" w:rsidP="00D20E0B">
            <w:pPr>
              <w:pStyle w:val="ListBullet"/>
            </w:pPr>
            <w:r w:rsidRPr="00D20E0B">
              <w:t>pneumatic and electrical instrumentation transmitters</w:t>
            </w:r>
          </w:p>
          <w:p w:rsidR="00000000" w:rsidRPr="00D20E0B" w:rsidP="00D20E0B">
            <w:pPr>
              <w:pStyle w:val="ListBullet"/>
            </w:pPr>
            <w:r w:rsidRPr="00D20E0B">
              <w:t>principles of:</w:t>
            </w:r>
          </w:p>
          <w:p w:rsidR="00000000" w:rsidRPr="00D20E0B" w:rsidP="00D20E0B">
            <w:pPr>
              <w:pStyle w:val="ListBullet2"/>
            </w:pPr>
            <w:r w:rsidRPr="00D20E0B">
              <w:t>basic electronic circuits</w:t>
            </w:r>
          </w:p>
          <w:p w:rsidR="00000000" w:rsidRPr="00D20E0B" w:rsidP="00D20E0B">
            <w:pPr>
              <w:pStyle w:val="ListBullet2"/>
            </w:pPr>
            <w:r w:rsidRPr="00D20E0B">
              <w:t>basic pneumatic systems and action of pneumatic instruments</w:t>
            </w:r>
          </w:p>
          <w:p w:rsidR="00000000" w:rsidRPr="00D20E0B" w:rsidP="00D20E0B">
            <w:pPr>
              <w:pStyle w:val="ListBullet2"/>
            </w:pPr>
            <w:r w:rsidRPr="00D20E0B">
              <w:t>process control</w:t>
            </w:r>
          </w:p>
          <w:p w:rsidR="00000000" w:rsidRPr="00D20E0B" w:rsidP="00D20E0B">
            <w:pPr>
              <w:pStyle w:val="ListBullet"/>
            </w:pPr>
            <w:r w:rsidRPr="00D20E0B">
              <w:t>safety devices, alarms and monitoring systems</w:t>
            </w:r>
          </w:p>
          <w:p w:rsidR="00000000" w:rsidRPr="00D20E0B" w:rsidP="00D20E0B">
            <w:pPr>
              <w:pStyle w:val="ListBullet"/>
            </w:pPr>
            <w:r w:rsidRPr="00D20E0B">
              <w:t>sensing and transmitting elements</w:t>
            </w:r>
          </w:p>
          <w:p w:rsidR="00000000" w:rsidRPr="00D20E0B" w:rsidP="00D20E0B">
            <w:pPr>
              <w:pStyle w:val="ListBullet"/>
            </w:pPr>
            <w:r w:rsidRPr="00D20E0B">
              <w:t>signal transmissions systems used for monitoring, controlling and shutting down machinery</w:t>
            </w:r>
          </w:p>
          <w:p w:rsidR="00000000" w:rsidRPr="00D20E0B" w:rsidP="00D20E0B">
            <w:pPr>
              <w:pStyle w:val="ListBullet"/>
            </w:pPr>
            <w:r w:rsidRPr="00D20E0B">
              <w:t>tests and</w:t>
            </w:r>
            <w:r w:rsidRPr="00D20E0B">
              <w:t xml:space="preserve"> procedures required to meet UMS requirements</w:t>
            </w:r>
          </w:p>
          <w:p w:rsidR="00000000" w:rsidRPr="00D20E0B" w:rsidP="00D20E0B">
            <w:pPr>
              <w:pStyle w:val="ListBullet"/>
            </w:pPr>
            <w:r w:rsidRPr="00D20E0B">
              <w:t>WHS/OHS legislation, policies and procedures.</w:t>
            </w:r>
          </w:p>
        </w:tc>
      </w:tr>
    </w:tbl>
    <w:p w:rsidR="00000000" w:rsidRPr="00D20E0B" w:rsidP="00D20E0B">
      <w:pPr>
        <w:pStyle w:val="BodyText"/>
      </w:pPr>
    </w:p>
    <w:p w:rsidR="00000000" w:rsidRPr="00D20E0B" w:rsidP="00D20E0B">
      <w:pPr>
        <w:pStyle w:val="AllowPageBreak"/>
      </w:pPr>
    </w:p>
    <w:p w:rsidR="00000000" w:rsidRPr="00D20E0B" w:rsidP="00D20E0B">
      <w:pPr>
        <w:pStyle w:val="Heading1"/>
      </w:pPr>
      <w:bookmarkStart w:id="14" w:name="O_661823"/>
      <w:bookmarkEnd w:id="14"/>
      <w:r w:rsidRPr="00D20E0B">
        <w:t>Assessment Conditions</w:t>
      </w:r>
    </w:p>
    <w:p w:rsidR="00000000" w:rsidRPr="00D20E0B" w:rsidP="00AA320C">
      <w:pPr>
        <w:pStyle w:val="BodyText"/>
      </w:pPr>
      <w:r w:rsidRPr="00D20E0B">
        <w:t>Assessors must satisfy National Vocational Education and Training Regulator (NVR)/Australian Quality Training Framework (AQTF) assessor requirements.</w:t>
      </w:r>
    </w:p>
    <w:p w:rsidR="00000000" w:rsidRPr="00D20E0B" w:rsidP="00AA320C">
      <w:pPr>
        <w:pStyle w:val="BodyText"/>
      </w:pPr>
      <w:r w:rsidRPr="00D20E0B">
        <w:t>Assessment must satisfy the National Vocational Education and Training Regulator (NVR)/Australian Quality</w:t>
      </w:r>
      <w:r w:rsidRPr="00D20E0B">
        <w:t xml:space="preserve"> Training Framework (AQTF) standards.</w:t>
      </w:r>
    </w:p>
    <w:p w:rsidR="00000000" w:rsidRPr="00D20E0B" w:rsidP="00AA320C">
      <w:pPr>
        <w:pStyle w:val="BodyText"/>
      </w:pPr>
      <w:r w:rsidRPr="00D20E0B">
        <w:t>Assessment processes and techniques must be appropriate to the language, literacy and numeracy requirements of the work being performed and the needs of the candidate.</w:t>
      </w:r>
    </w:p>
    <w:p w:rsidR="00000000" w:rsidRPr="00D20E0B" w:rsidP="00AA320C">
      <w:pPr>
        <w:pStyle w:val="BodyText"/>
      </w:pPr>
      <w:r w:rsidRPr="00D20E0B">
        <w:t>Assessment must occur in workplace operational s</w:t>
      </w:r>
      <w:r w:rsidRPr="00D20E0B">
        <w:t>ituations or where these are not available, in simulated workplace operational situations or an industry-approved marine operations site that replicates workplace conditions where advanced knowledge of marine control systems and automation can be demonstra</w:t>
      </w:r>
      <w:r w:rsidRPr="00D20E0B">
        <w:t>ted.</w:t>
      </w:r>
    </w:p>
    <w:p w:rsidR="00000000" w:rsidRPr="00D20E0B" w:rsidP="00AA320C">
      <w:pPr>
        <w:pStyle w:val="BodyText"/>
      </w:pPr>
      <w:r w:rsidRPr="00D20E0B">
        <w:t>Resources for assessment include access to:</w:t>
      </w:r>
    </w:p>
    <w:p w:rsidR="00000000" w:rsidRPr="00D20E0B" w:rsidP="00D20E0B">
      <w:pPr>
        <w:pStyle w:val="ListBullet"/>
      </w:pPr>
      <w:r w:rsidRPr="00D20E0B">
        <w:t>applicable documentation including workplace procedures, regulations, codes of practice and operation manuals</w:t>
      </w:r>
    </w:p>
    <w:p w:rsidR="00000000" w:rsidRPr="00D20E0B" w:rsidP="00D20E0B">
      <w:pPr>
        <w:pStyle w:val="ListBullet"/>
      </w:pPr>
      <w:r w:rsidRPr="00D20E0B">
        <w:t>appropriate range of relevant operational situations in the workplace</w:t>
      </w:r>
    </w:p>
    <w:p w:rsidR="00000000" w:rsidRPr="00D20E0B" w:rsidP="00D20E0B">
      <w:pPr>
        <w:pStyle w:val="ListBullet"/>
      </w:pPr>
      <w:r w:rsidRPr="00D20E0B">
        <w:t>technical reference library with current publications on automation and process control</w:t>
      </w:r>
    </w:p>
    <w:p w:rsidR="00000000" w:rsidRPr="00D20E0B" w:rsidP="00D20E0B">
      <w:pPr>
        <w:pStyle w:val="ListBullet"/>
      </w:pPr>
      <w:r w:rsidRPr="00D20E0B">
        <w:t>tools, equipment, materials and personal protective equipment currently used in industry.</w:t>
      </w:r>
    </w:p>
    <w:p w:rsidR="00000000" w:rsidRPr="00D20E0B" w:rsidP="00D20E0B">
      <w:pPr>
        <w:pStyle w:val="BodyText"/>
      </w:pPr>
    </w:p>
    <w:p w:rsidR="00000000" w:rsidRPr="00D20E0B" w:rsidP="00AA320C">
      <w:pPr>
        <w:pStyle w:val="BodyText"/>
      </w:pPr>
      <w:r w:rsidRPr="00D20E0B">
        <w:t>Performance should be demonstrated consistently over time and in a suitable r</w:t>
      </w:r>
      <w:r w:rsidRPr="00D20E0B">
        <w:t>ange of contexts.</w:t>
      </w:r>
    </w:p>
    <w:p w:rsidR="00000000" w:rsidRPr="00D20E0B" w:rsidP="00D20E0B">
      <w:pPr>
        <w:pStyle w:val="Heading1"/>
      </w:pPr>
      <w:bookmarkStart w:id="15" w:name="O_661826"/>
      <w:bookmarkEnd w:id="15"/>
      <w:r w:rsidRPr="00D20E0B">
        <w:t>Links</w:t>
      </w:r>
    </w:p>
    <w:p w:rsidR="00000000" w:rsidRPr="00D20E0B" w:rsidP="00AA320C">
      <w:pPr>
        <w:pStyle w:val="BodyText"/>
      </w:pPr>
      <w:r w:rsidRPr="00D20E0B">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066B3A">
        <w:rPr>
          <w:rStyle w:val="Hyperlink"/>
        </w:rPr>
        <w:t>https://vetnet.gov.au/Pages/TrainingDocs.aspx?q=772efb7b-4cce-47fe-9bbd-ee3b1d1eb4c2</w:t>
      </w:r>
      <w:r>
        <w:fldChar w:fldCharType="end"/>
      </w:r>
    </w:p>
    <w:p w:rsidR="00000000" w:rsidRPr="00D20E0B" w:rsidP="00D20E0B"/>
    <w:sectPr w:rsidSect="00D20E0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E0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E0B" w:rsidRPr="00AA320C" w:rsidP="00AA320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E0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320C" w:rsidP="00D20E0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AA320C" w:rsidP="00D20E0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AA320C" w:rsidP="00D20E0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E0B" w:rsidP="00D20E0B">
    <w:pPr>
      <w:pStyle w:val="Footer"/>
      <w:framePr w:wrap="around"/>
    </w:pPr>
    <w:r>
      <w:fldChar w:fldCharType="begin"/>
    </w:r>
    <w:r>
      <w:instrText xml:space="preserve"> DOCPROPERTY  Subject  \* MERGEFORMAT </w:instrText>
    </w:r>
    <w:r>
      <w:fldChar w:fldCharType="separate"/>
    </w:r>
    <w:r w:rsidR="00AA320C">
      <w:t>Approved</w:t>
    </w:r>
    <w:r w:rsidR="00AA320C">
      <w:fldChar w:fldCharType="end"/>
    </w:r>
    <w:r>
      <w:tab/>
      <w:t xml:space="preserve">Page </w:t>
    </w:r>
    <w:r>
      <w:fldChar w:fldCharType="begin"/>
    </w:r>
    <w:r>
      <w:instrText xml:space="preserve"> PAGE  \* Arabic  \* MERGEFORMAT </w:instrText>
    </w:r>
    <w:r>
      <w:fldChar w:fldCharType="separate"/>
    </w:r>
    <w:r w:rsidR="00AA320C">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A320C">
      <w:rPr>
        <w:noProof/>
      </w:rPr>
      <w:t>7</w:t>
    </w:r>
    <w:r>
      <w:rPr>
        <w:noProof/>
      </w:rPr>
      <w:fldChar w:fldCharType="end"/>
    </w:r>
  </w:p>
  <w:p w:rsidR="00D20E0B" w:rsidP="00D20E0B">
    <w:pPr>
      <w:pStyle w:val="Footer"/>
      <w:framePr w:wrap="around"/>
    </w:pPr>
    <w:r>
      <w:t xml:space="preserve">© Commonwealth of Australia, </w:t>
    </w:r>
    <w:r>
      <w:fldChar w:fldCharType="begin"/>
    </w:r>
    <w:r>
      <w:instrText xml:space="preserve"> DATE  \@ "yyyy"  \* MERGEFORMAT </w:instrText>
    </w:r>
    <w:r>
      <w:fldChar w:fldCharType="separate"/>
    </w:r>
    <w:r w:rsidR="00AA320C">
      <w:rPr>
        <w:noProof/>
      </w:rPr>
      <w:t>2025</w:t>
    </w:r>
    <w:r>
      <w:fldChar w:fldCharType="end"/>
    </w:r>
    <w:r>
      <w:tab/>
    </w:r>
    <w:r>
      <w:fldChar w:fldCharType="begin"/>
    </w:r>
    <w:r>
      <w:instrText xml:space="preserve"> DOCPROPERTY  Author  \* MERGEFORMAT </w:instrText>
    </w:r>
    <w:r>
      <w:fldChar w:fldCharType="separate"/>
    </w:r>
    <w:r w:rsidR="00AA320C">
      <w:t>Industry Skills Australia</w:t>
    </w:r>
    <w:r w:rsidR="00AA320C">
      <w:fldChar w:fldCharType="end"/>
    </w:r>
  </w:p>
  <w:p w:rsidR="00D20E0B" w:rsidP="00D20E0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E0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320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20E0B" w:rsidRPr="00AA320C" w:rsidP="00AA320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E0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320C" w:rsidRPr="002D2AF8" w:rsidP="00D20E0B">
    <w:pPr>
      <w:pStyle w:val="Header"/>
      <w:framePr w:wrap="around"/>
    </w:pPr>
    <w:r>
      <w:fldChar w:fldCharType="begin"/>
    </w:r>
    <w:r>
      <w:instrText xml:space="preserve"> TITLE   \* MERGEFORMAT </w:instrText>
    </w:r>
    <w:r>
      <w:fldChar w:fldCharType="separate"/>
    </w:r>
    <w:r>
      <w:t>MARL032 Demonstrate advanced knowledge of marine control systems and automation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A320C" w:rsidP="00D20E0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E0B" w:rsidRPr="002D2AF8" w:rsidP="00D20E0B">
    <w:pPr>
      <w:pStyle w:val="Header"/>
      <w:framePr w:wrap="around"/>
    </w:pPr>
    <w:r>
      <w:fldChar w:fldCharType="begin"/>
    </w:r>
    <w:r>
      <w:instrText xml:space="preserve"> TITLE   \* MERGEFORMAT </w:instrText>
    </w:r>
    <w:r>
      <w:fldChar w:fldCharType="separate"/>
    </w:r>
    <w:r w:rsidR="00AA320C">
      <w:t>MARL032 Demonstrate advanced knowledge of marine control systems and automation</w:t>
    </w:r>
    <w:r w:rsidR="00AA320C">
      <w:fldChar w:fldCharType="end"/>
    </w:r>
    <w:r>
      <w:tab/>
      <w:t xml:space="preserve">Date this document was generated: </w:t>
    </w:r>
    <w:r>
      <w:fldChar w:fldCharType="begin"/>
    </w:r>
    <w:r>
      <w:instrText xml:space="preserve"> CREATEDATE  \@ "d MMMM yyyy"  \* MERGEFORMAT </w:instrText>
    </w:r>
    <w:r>
      <w:fldChar w:fldCharType="separate"/>
    </w:r>
    <w:r w:rsidR="00AA320C">
      <w:rPr>
        <w:noProof/>
      </w:rPr>
      <w:t>2 March 2025</w:t>
    </w:r>
    <w:r>
      <w:fldChar w:fldCharType="end"/>
    </w:r>
  </w:p>
  <w:p w:rsidR="00D20E0B" w:rsidP="00D20E0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55E364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0FE23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BEC440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0E0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20E0B"/>
    <w:pPr>
      <w:spacing w:before="360" w:after="60"/>
      <w:outlineLvl w:val="0"/>
    </w:pPr>
    <w:rPr>
      <w:sz w:val="32"/>
    </w:rPr>
  </w:style>
  <w:style w:type="paragraph" w:styleId="Heading2">
    <w:name w:val="heading 2"/>
    <w:basedOn w:val="HeadingBase"/>
    <w:next w:val="BodyText"/>
    <w:link w:val="Heading2Char"/>
    <w:qFormat/>
    <w:rsid w:val="00D20E0B"/>
    <w:pPr>
      <w:keepLines/>
      <w:spacing w:before="240" w:after="120"/>
      <w:outlineLvl w:val="1"/>
    </w:pPr>
    <w:rPr>
      <w:sz w:val="28"/>
      <w:szCs w:val="40"/>
    </w:rPr>
  </w:style>
  <w:style w:type="paragraph" w:styleId="Heading3">
    <w:name w:val="heading 3"/>
    <w:basedOn w:val="HeadingBase"/>
    <w:next w:val="BodyText"/>
    <w:link w:val="Heading3Char"/>
    <w:qFormat/>
    <w:rsid w:val="00D20E0B"/>
    <w:pPr>
      <w:spacing w:before="180" w:after="120"/>
      <w:outlineLvl w:val="2"/>
    </w:pPr>
    <w:rPr>
      <w:spacing w:val="-10"/>
      <w:kern w:val="32"/>
    </w:rPr>
  </w:style>
  <w:style w:type="paragraph" w:styleId="Heading4">
    <w:name w:val="heading 4"/>
    <w:basedOn w:val="HeadingBase"/>
    <w:next w:val="BodyText"/>
    <w:link w:val="Heading4Char"/>
    <w:qFormat/>
    <w:rsid w:val="00D20E0B"/>
    <w:pPr>
      <w:spacing w:before="160" w:after="120"/>
      <w:outlineLvl w:val="3"/>
    </w:pPr>
    <w:rPr>
      <w:sz w:val="22"/>
    </w:rPr>
  </w:style>
  <w:style w:type="paragraph" w:styleId="Heading5">
    <w:name w:val="heading 5"/>
    <w:basedOn w:val="HeadingBase"/>
    <w:next w:val="Normal"/>
    <w:link w:val="Heading5Char"/>
    <w:qFormat/>
    <w:rsid w:val="00D20E0B"/>
    <w:pPr>
      <w:spacing w:before="80"/>
      <w:outlineLvl w:val="4"/>
    </w:pPr>
    <w:rPr>
      <w:color w:val="918585"/>
      <w:sz w:val="20"/>
    </w:rPr>
  </w:style>
  <w:style w:type="paragraph" w:styleId="Heading6">
    <w:name w:val="heading 6"/>
    <w:basedOn w:val="HeadingBase"/>
    <w:next w:val="Normal"/>
    <w:link w:val="Heading6Char"/>
    <w:qFormat/>
    <w:rsid w:val="00D20E0B"/>
    <w:pPr>
      <w:spacing w:before="60"/>
      <w:outlineLvl w:val="5"/>
    </w:pPr>
    <w:rPr>
      <w:color w:val="918585"/>
      <w:sz w:val="20"/>
    </w:rPr>
  </w:style>
  <w:style w:type="paragraph" w:styleId="Heading7">
    <w:name w:val="heading 7"/>
    <w:basedOn w:val="Normal"/>
    <w:next w:val="Normal"/>
    <w:link w:val="Heading7Char"/>
    <w:qFormat/>
    <w:rsid w:val="00D20E0B"/>
    <w:pPr>
      <w:ind w:left="720"/>
      <w:outlineLvl w:val="6"/>
    </w:pPr>
    <w:rPr>
      <w:i/>
    </w:rPr>
  </w:style>
  <w:style w:type="paragraph" w:styleId="Heading8">
    <w:name w:val="heading 8"/>
    <w:basedOn w:val="Normal"/>
    <w:next w:val="Normal"/>
    <w:link w:val="Heading8Char"/>
    <w:qFormat/>
    <w:rsid w:val="00D20E0B"/>
    <w:pPr>
      <w:ind w:left="720"/>
      <w:outlineLvl w:val="7"/>
    </w:pPr>
    <w:rPr>
      <w:i/>
    </w:rPr>
  </w:style>
  <w:style w:type="paragraph" w:styleId="Heading9">
    <w:name w:val="heading 9"/>
    <w:basedOn w:val="Normal"/>
    <w:next w:val="Normal"/>
    <w:link w:val="Heading9Char"/>
    <w:qFormat/>
    <w:rsid w:val="00D20E0B"/>
    <w:pPr>
      <w:ind w:left="720"/>
      <w:outlineLvl w:val="8"/>
    </w:pPr>
    <w:rPr>
      <w:i/>
    </w:rPr>
  </w:style>
  <w:style w:type="character" w:default="1" w:styleId="DefaultParagraphFont">
    <w:name w:val="Default Paragraph Font"/>
    <w:uiPriority w:val="1"/>
    <w:unhideWhenUsed/>
    <w:rsid w:val="00D20E0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20E0B"/>
  </w:style>
  <w:style w:type="character" w:customStyle="1" w:styleId="Heading1Char">
    <w:name w:val="Heading 1 Char"/>
    <w:basedOn w:val="DefaultParagraphFont"/>
    <w:link w:val="Heading1"/>
    <w:rsid w:val="00D20E0B"/>
    <w:rPr>
      <w:rFonts w:ascii="Times New Roman" w:eastAsia="Times New Roman" w:hAnsi="Times New Roman" w:cs="Times New Roman"/>
      <w:b/>
      <w:sz w:val="32"/>
      <w:szCs w:val="20"/>
      <w:lang w:eastAsia="en-US"/>
    </w:rPr>
  </w:style>
  <w:style w:type="paragraph" w:styleId="BodyText">
    <w:name w:val="Body Text"/>
    <w:basedOn w:val="Normal"/>
    <w:link w:val="BodyTextChar"/>
    <w:rsid w:val="00D20E0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20E0B"/>
    <w:rPr>
      <w:rFonts w:ascii="Times New Roman" w:eastAsia="Times New Roman" w:hAnsi="Times New Roman" w:cs="Times New Roman"/>
      <w:sz w:val="24"/>
      <w:lang w:eastAsia="en-US"/>
    </w:rPr>
  </w:style>
  <w:style w:type="paragraph" w:styleId="ListBullet">
    <w:name w:val="List Bullet"/>
    <w:basedOn w:val="List"/>
    <w:rsid w:val="00D20E0B"/>
    <w:pPr>
      <w:numPr>
        <w:numId w:val="12"/>
      </w:numPr>
      <w:tabs>
        <w:tab w:val="clear" w:pos="340"/>
      </w:tabs>
      <w:spacing w:before="40" w:after="40"/>
    </w:pPr>
  </w:style>
  <w:style w:type="character" w:customStyle="1" w:styleId="SpecialBold">
    <w:name w:val="Special Bold"/>
    <w:basedOn w:val="DefaultParagraphFont"/>
    <w:rsid w:val="00D20E0B"/>
    <w:rPr>
      <w:b/>
      <w:spacing w:val="0"/>
    </w:rPr>
  </w:style>
  <w:style w:type="paragraph" w:styleId="ListBullet2">
    <w:name w:val="List Bullet 2"/>
    <w:basedOn w:val="List2"/>
    <w:rsid w:val="00D20E0B"/>
    <w:pPr>
      <w:numPr>
        <w:numId w:val="13"/>
      </w:numPr>
      <w:tabs>
        <w:tab w:val="clear" w:pos="680"/>
      </w:tabs>
    </w:pPr>
  </w:style>
  <w:style w:type="paragraph" w:customStyle="1" w:styleId="SuperHeading">
    <w:name w:val="SuperHeading"/>
    <w:basedOn w:val="Normal"/>
    <w:rsid w:val="00D20E0B"/>
    <w:pPr>
      <w:spacing w:before="240" w:after="120"/>
      <w:outlineLvl w:val="0"/>
    </w:pPr>
    <w:rPr>
      <w:rFonts w:ascii="Times New Roman" w:hAnsi="Times New Roman"/>
      <w:b/>
      <w:sz w:val="32"/>
    </w:rPr>
  </w:style>
  <w:style w:type="paragraph" w:customStyle="1" w:styleId="AllowPageBreak">
    <w:name w:val="AllowPageBreak"/>
    <w:rsid w:val="00D20E0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20E0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20E0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20E0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20E0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20E0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20E0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20E0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20E0B"/>
    <w:rPr>
      <w:rFonts w:ascii="Courier New" w:eastAsia="Times New Roman" w:hAnsi="Courier New" w:cs="Times New Roman"/>
      <w:i/>
      <w:szCs w:val="20"/>
      <w:lang w:eastAsia="en-US"/>
    </w:rPr>
  </w:style>
  <w:style w:type="paragraph" w:customStyle="1" w:styleId="HeadingBase">
    <w:name w:val="Heading Base"/>
    <w:rsid w:val="00D20E0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20E0B"/>
    <w:pPr>
      <w:tabs>
        <w:tab w:val="right" w:leader="dot" w:pos="9072"/>
      </w:tabs>
      <w:ind w:left="567"/>
    </w:pPr>
    <w:rPr>
      <w:szCs w:val="22"/>
    </w:rPr>
  </w:style>
  <w:style w:type="paragraph" w:customStyle="1" w:styleId="TOCBase">
    <w:name w:val="TOC Base"/>
    <w:rsid w:val="00D20E0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20E0B"/>
    <w:pPr>
      <w:tabs>
        <w:tab w:val="right" w:leader="dot" w:pos="9072"/>
      </w:tabs>
      <w:spacing w:before="40" w:after="40"/>
      <w:ind w:left="284"/>
    </w:pPr>
    <w:rPr>
      <w:rFonts w:ascii="Times New Roman" w:hAnsi="Times New Roman"/>
    </w:rPr>
  </w:style>
  <w:style w:type="paragraph" w:styleId="TOC1">
    <w:name w:val="toc 1"/>
    <w:basedOn w:val="TOCBase"/>
    <w:next w:val="Normal"/>
    <w:rsid w:val="00D20E0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20E0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20E0B"/>
    <w:rPr>
      <w:rFonts w:ascii="Times New Roman" w:eastAsia="Times New Roman" w:hAnsi="Times New Roman" w:cs="Times New Roman"/>
      <w:sz w:val="16"/>
      <w:lang w:eastAsia="en-US"/>
    </w:rPr>
  </w:style>
  <w:style w:type="paragraph" w:styleId="Title">
    <w:name w:val="Title"/>
    <w:basedOn w:val="HeadingBase"/>
    <w:link w:val="TitleChar"/>
    <w:qFormat/>
    <w:rsid w:val="00D20E0B"/>
    <w:pPr>
      <w:spacing w:before="5040"/>
      <w:jc w:val="center"/>
    </w:pPr>
    <w:rPr>
      <w:sz w:val="48"/>
      <w:szCs w:val="72"/>
      <w:lang w:val="en-US"/>
    </w:rPr>
  </w:style>
  <w:style w:type="character" w:customStyle="1" w:styleId="TitleChar">
    <w:name w:val="Title Char"/>
    <w:basedOn w:val="DefaultParagraphFont"/>
    <w:link w:val="Title"/>
    <w:rsid w:val="00D20E0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20E0B"/>
    <w:pPr>
      <w:tabs>
        <w:tab w:val="left" w:pos="3600"/>
        <w:tab w:val="left" w:pos="3958"/>
      </w:tabs>
    </w:pPr>
  </w:style>
  <w:style w:type="paragraph" w:styleId="List">
    <w:name w:val="List"/>
    <w:basedOn w:val="BodyText"/>
    <w:next w:val="BodyText"/>
    <w:rsid w:val="00D20E0B"/>
    <w:pPr>
      <w:tabs>
        <w:tab w:val="left" w:pos="340"/>
      </w:tabs>
      <w:spacing w:before="60" w:after="60"/>
      <w:ind w:left="340" w:hanging="340"/>
    </w:pPr>
  </w:style>
  <w:style w:type="paragraph" w:customStyle="1" w:styleId="Note">
    <w:name w:val="Note"/>
    <w:basedOn w:val="BodyText"/>
    <w:rsid w:val="00D20E0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20E0B"/>
    <w:pPr>
      <w:framePr w:wrap="auto" w:hAnchor="text" w:y="6049"/>
    </w:pPr>
    <w:rPr>
      <w:color w:val="000000"/>
      <w:sz w:val="40"/>
    </w:rPr>
  </w:style>
  <w:style w:type="paragraph" w:customStyle="1" w:styleId="TOCTitle">
    <w:name w:val="TOCTitle"/>
    <w:basedOn w:val="Heading1"/>
    <w:rsid w:val="00D20E0B"/>
    <w:pPr>
      <w:spacing w:after="240"/>
      <w:jc w:val="center"/>
      <w:outlineLvl w:val="9"/>
    </w:pPr>
    <w:rPr>
      <w:caps/>
    </w:rPr>
  </w:style>
  <w:style w:type="paragraph" w:customStyle="1" w:styleId="Version">
    <w:name w:val="Version"/>
    <w:rsid w:val="00D20E0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20E0B"/>
    <w:pPr>
      <w:keepNext w:val="0"/>
      <w:tabs>
        <w:tab w:val="right" w:pos="4176"/>
      </w:tabs>
      <w:ind w:left="198" w:hanging="198"/>
    </w:pPr>
    <w:rPr>
      <w:rFonts w:ascii="Garamond" w:hAnsi="Garamond"/>
    </w:rPr>
  </w:style>
  <w:style w:type="paragraph" w:styleId="IndexHeading">
    <w:name w:val="index heading"/>
    <w:basedOn w:val="Normal"/>
    <w:next w:val="Index1"/>
    <w:semiHidden/>
    <w:rsid w:val="00D20E0B"/>
    <w:pPr>
      <w:spacing w:before="120" w:after="120"/>
    </w:pPr>
    <w:rPr>
      <w:rFonts w:ascii="Arial" w:hAnsi="Arial"/>
      <w:b/>
      <w:color w:val="918585"/>
      <w:sz w:val="24"/>
    </w:rPr>
  </w:style>
  <w:style w:type="paragraph" w:styleId="Header">
    <w:name w:val="header"/>
    <w:basedOn w:val="Normal"/>
    <w:link w:val="HeaderChar"/>
    <w:rsid w:val="00D20E0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20E0B"/>
    <w:rPr>
      <w:rFonts w:ascii="Times New Roman" w:eastAsia="Times New Roman" w:hAnsi="Times New Roman" w:cs="Times New Roman"/>
      <w:sz w:val="16"/>
      <w:szCs w:val="20"/>
      <w:lang w:val="en-GB" w:eastAsia="en-US"/>
    </w:rPr>
  </w:style>
  <w:style w:type="paragraph" w:customStyle="1" w:styleId="Chapter">
    <w:name w:val="Chapter"/>
    <w:basedOn w:val="Normal"/>
    <w:rsid w:val="00D20E0B"/>
    <w:pPr>
      <w:spacing w:before="240"/>
    </w:pPr>
    <w:rPr>
      <w:rFonts w:ascii="Times New Roman" w:hAnsi="Times New Roman"/>
      <w:smallCaps/>
      <w:spacing w:val="80"/>
      <w:sz w:val="28"/>
    </w:rPr>
  </w:style>
  <w:style w:type="paragraph" w:customStyle="1" w:styleId="InChapter">
    <w:name w:val="InChapter"/>
    <w:basedOn w:val="Heading3"/>
    <w:rsid w:val="00D20E0B"/>
    <w:pPr>
      <w:spacing w:after="240"/>
      <w:outlineLvl w:val="9"/>
    </w:pPr>
    <w:rPr>
      <w:noProof/>
    </w:rPr>
  </w:style>
  <w:style w:type="paragraph" w:styleId="Index2">
    <w:name w:val="index 2"/>
    <w:basedOn w:val="Normal"/>
    <w:next w:val="Normal"/>
    <w:semiHidden/>
    <w:rsid w:val="00D20E0B"/>
    <w:pPr>
      <w:tabs>
        <w:tab w:val="right" w:pos="4176"/>
      </w:tabs>
      <w:ind w:left="568" w:hanging="284"/>
    </w:pPr>
    <w:rPr>
      <w:rFonts w:ascii="Garamond" w:hAnsi="Garamond"/>
    </w:rPr>
  </w:style>
  <w:style w:type="paragraph" w:customStyle="1" w:styleId="Byline">
    <w:name w:val="Byline"/>
    <w:rsid w:val="00D20E0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20E0B"/>
    <w:pPr>
      <w:tabs>
        <w:tab w:val="clear" w:pos="3600"/>
        <w:tab w:val="clear" w:pos="3958"/>
      </w:tabs>
      <w:jc w:val="right"/>
    </w:pPr>
  </w:style>
  <w:style w:type="character" w:styleId="Emphasis">
    <w:name w:val="Emphasis"/>
    <w:basedOn w:val="DefaultParagraphFont"/>
    <w:qFormat/>
    <w:rsid w:val="00D20E0B"/>
    <w:rPr>
      <w:i/>
    </w:rPr>
  </w:style>
  <w:style w:type="paragraph" w:styleId="Caption">
    <w:name w:val="caption"/>
    <w:basedOn w:val="BodyText"/>
    <w:next w:val="Normal"/>
    <w:qFormat/>
    <w:rsid w:val="00D20E0B"/>
    <w:pPr>
      <w:framePr w:w="2268" w:hSpace="181" w:vSpace="181" w:wrap="around" w:vAnchor="text" w:hAnchor="page" w:x="1135" w:y="285" w:anchorLock="1"/>
    </w:pPr>
    <w:rPr>
      <w:i/>
    </w:rPr>
  </w:style>
  <w:style w:type="paragraph" w:customStyle="1" w:styleId="MiniTOCTitle">
    <w:name w:val="MiniTOCTitle"/>
    <w:basedOn w:val="Heading4"/>
    <w:rsid w:val="00D20E0B"/>
    <w:pPr>
      <w:spacing w:before="240"/>
      <w:outlineLvl w:val="9"/>
    </w:pPr>
    <w:rPr>
      <w:noProof/>
      <w:sz w:val="24"/>
    </w:rPr>
  </w:style>
  <w:style w:type="paragraph" w:customStyle="1" w:styleId="MiniTOCItem">
    <w:name w:val="MiniTOCItem"/>
    <w:basedOn w:val="ListBullet"/>
    <w:rsid w:val="00D20E0B"/>
    <w:pPr>
      <w:numPr>
        <w:numId w:val="0"/>
      </w:numPr>
      <w:tabs>
        <w:tab w:val="right" w:leader="dot" w:pos="6521"/>
      </w:tabs>
      <w:spacing w:before="0" w:after="0"/>
    </w:pPr>
  </w:style>
  <w:style w:type="paragraph" w:customStyle="1" w:styleId="TOFTitle">
    <w:name w:val="TOFTitle"/>
    <w:basedOn w:val="TOCTitle"/>
    <w:rsid w:val="00D20E0B"/>
  </w:style>
  <w:style w:type="paragraph" w:styleId="TableofFigures">
    <w:name w:val="table of figures"/>
    <w:basedOn w:val="Normal"/>
    <w:next w:val="Normal"/>
    <w:semiHidden/>
    <w:rsid w:val="00D20E0B"/>
    <w:pPr>
      <w:tabs>
        <w:tab w:val="right" w:leader="dot" w:pos="9072"/>
      </w:tabs>
      <w:ind w:left="970" w:hanging="403"/>
    </w:pPr>
    <w:rPr>
      <w:rFonts w:ascii="Times New Roman" w:hAnsi="Times New Roman"/>
      <w:b/>
    </w:rPr>
  </w:style>
  <w:style w:type="paragraph" w:styleId="ListNumber">
    <w:name w:val="List Number"/>
    <w:basedOn w:val="List"/>
    <w:rsid w:val="00D20E0B"/>
    <w:pPr>
      <w:numPr>
        <w:numId w:val="15"/>
      </w:numPr>
      <w:tabs>
        <w:tab w:val="clear" w:pos="340"/>
      </w:tabs>
    </w:pPr>
  </w:style>
  <w:style w:type="character" w:customStyle="1" w:styleId="WingdingSymbols">
    <w:name w:val="Wingding Symbols"/>
    <w:rsid w:val="00D20E0B"/>
    <w:rPr>
      <w:rFonts w:ascii="Wingdings" w:hAnsi="Wingdings"/>
    </w:rPr>
  </w:style>
  <w:style w:type="paragraph" w:customStyle="1" w:styleId="TableHeading">
    <w:name w:val="Table Heading"/>
    <w:basedOn w:val="HeadingBase"/>
    <w:rsid w:val="00D20E0B"/>
    <w:pPr>
      <w:keepLines/>
      <w:pBdr>
        <w:bottom w:val="single" w:sz="6" w:space="1" w:color="918585"/>
      </w:pBdr>
      <w:spacing w:before="240"/>
    </w:pPr>
  </w:style>
  <w:style w:type="character" w:customStyle="1" w:styleId="HotSpot">
    <w:name w:val="HotSpot"/>
    <w:rsid w:val="00D20E0B"/>
    <w:rPr>
      <w:color w:val="0033CC"/>
      <w:u w:val="none"/>
    </w:rPr>
  </w:style>
  <w:style w:type="paragraph" w:customStyle="1" w:styleId="BodyTextRight">
    <w:name w:val="Body Text Right"/>
    <w:basedOn w:val="BodyText"/>
    <w:rsid w:val="00D20E0B"/>
    <w:pPr>
      <w:spacing w:before="0" w:after="0"/>
      <w:jc w:val="right"/>
    </w:pPr>
  </w:style>
  <w:style w:type="paragraph" w:styleId="Index3">
    <w:name w:val="index 3"/>
    <w:basedOn w:val="ListNumber2"/>
    <w:next w:val="Normal"/>
    <w:semiHidden/>
    <w:rsid w:val="00D20E0B"/>
    <w:pPr>
      <w:numPr>
        <w:numId w:val="0"/>
      </w:numPr>
      <w:tabs>
        <w:tab w:val="right" w:leader="dot" w:pos="4176"/>
      </w:tabs>
    </w:pPr>
  </w:style>
  <w:style w:type="paragraph" w:styleId="ListNumber2">
    <w:name w:val="List Number 2"/>
    <w:basedOn w:val="List2"/>
    <w:rsid w:val="00D20E0B"/>
    <w:pPr>
      <w:numPr>
        <w:numId w:val="10"/>
      </w:numPr>
      <w:tabs>
        <w:tab w:val="clear" w:pos="1060"/>
      </w:tabs>
    </w:pPr>
  </w:style>
  <w:style w:type="paragraph" w:customStyle="1" w:styleId="MarginNote">
    <w:name w:val="Margin Note"/>
    <w:basedOn w:val="BodyText"/>
    <w:rsid w:val="00D20E0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20E0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20E0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20E0B"/>
    <w:rPr>
      <w:sz w:val="32"/>
    </w:rPr>
  </w:style>
  <w:style w:type="paragraph" w:customStyle="1" w:styleId="HeadingProcedure">
    <w:name w:val="Heading Procedure"/>
    <w:basedOn w:val="HeadingBase"/>
    <w:next w:val="Normal"/>
    <w:rsid w:val="00D20E0B"/>
    <w:pPr>
      <w:tabs>
        <w:tab w:val="left" w:pos="0"/>
      </w:tabs>
      <w:spacing w:before="120" w:after="60"/>
    </w:pPr>
    <w:rPr>
      <w:i/>
      <w:color w:val="918585"/>
      <w:sz w:val="22"/>
    </w:rPr>
  </w:style>
  <w:style w:type="paragraph" w:customStyle="1" w:styleId="TableBodyText">
    <w:name w:val="Table Body Text"/>
    <w:basedOn w:val="BodyText"/>
    <w:rsid w:val="00D20E0B"/>
    <w:pPr>
      <w:spacing w:before="60" w:after="60"/>
    </w:pPr>
  </w:style>
  <w:style w:type="paragraph" w:styleId="ListContinue">
    <w:name w:val="List Continue"/>
    <w:basedOn w:val="List"/>
    <w:rsid w:val="00D20E0B"/>
    <w:pPr>
      <w:ind w:firstLine="0"/>
    </w:pPr>
  </w:style>
  <w:style w:type="paragraph" w:customStyle="1" w:styleId="ListNote">
    <w:name w:val="List Note"/>
    <w:basedOn w:val="List"/>
    <w:rsid w:val="00D20E0B"/>
    <w:pPr>
      <w:pBdr>
        <w:top w:val="single" w:sz="6" w:space="2" w:color="918585"/>
        <w:bottom w:val="single" w:sz="6" w:space="2" w:color="918585"/>
      </w:pBdr>
      <w:tabs>
        <w:tab w:val="left" w:pos="1021"/>
      </w:tabs>
      <w:ind w:firstLine="0"/>
    </w:pPr>
  </w:style>
  <w:style w:type="paragraph" w:customStyle="1" w:styleId="Warning">
    <w:name w:val="Warning"/>
    <w:basedOn w:val="BodyText"/>
    <w:rsid w:val="00D20E0B"/>
    <w:pPr>
      <w:shd w:val="clear" w:color="auto" w:fill="D9D9D9"/>
      <w:tabs>
        <w:tab w:val="left" w:pos="992"/>
      </w:tabs>
      <w:ind w:left="119" w:right="119"/>
    </w:pPr>
    <w:rPr>
      <w:sz w:val="20"/>
    </w:rPr>
  </w:style>
  <w:style w:type="paragraph" w:customStyle="1" w:styleId="MarginIcons">
    <w:name w:val="Margin Icons"/>
    <w:basedOn w:val="BodyText"/>
    <w:rsid w:val="00D20E0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20E0B"/>
    <w:rPr>
      <w:rFonts w:ascii="Courier New" w:hAnsi="Courier New"/>
    </w:rPr>
  </w:style>
  <w:style w:type="paragraph" w:customStyle="1" w:styleId="NoteBullet">
    <w:name w:val="Note Bullet"/>
    <w:basedOn w:val="Note"/>
    <w:rsid w:val="00D20E0B"/>
    <w:pPr>
      <w:tabs>
        <w:tab w:val="clear" w:pos="680"/>
      </w:tabs>
      <w:spacing w:before="60" w:after="60"/>
    </w:pPr>
  </w:style>
  <w:style w:type="paragraph" w:customStyle="1" w:styleId="SubHeading2">
    <w:name w:val="SubHeading2"/>
    <w:basedOn w:val="HeadingBase"/>
    <w:rsid w:val="00D20E0B"/>
    <w:pPr>
      <w:spacing w:before="240" w:after="60"/>
    </w:pPr>
    <w:rPr>
      <w:sz w:val="20"/>
    </w:rPr>
  </w:style>
  <w:style w:type="paragraph" w:customStyle="1" w:styleId="SubHeading1">
    <w:name w:val="SubHeading1"/>
    <w:basedOn w:val="HeadingBase"/>
    <w:rsid w:val="00D20E0B"/>
    <w:pPr>
      <w:spacing w:before="240" w:after="60"/>
    </w:pPr>
    <w:rPr>
      <w:color w:val="918585"/>
      <w:sz w:val="22"/>
    </w:rPr>
  </w:style>
  <w:style w:type="paragraph" w:customStyle="1" w:styleId="SideHeading">
    <w:name w:val="Side Heading"/>
    <w:basedOn w:val="HeadingBase"/>
    <w:rsid w:val="00D20E0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20E0B"/>
    <w:pPr>
      <w:tabs>
        <w:tab w:val="num" w:pos="360"/>
      </w:tabs>
    </w:pPr>
  </w:style>
  <w:style w:type="paragraph" w:styleId="PlainText">
    <w:name w:val="Plain Text"/>
    <w:basedOn w:val="Normal"/>
    <w:link w:val="PlainTextChar"/>
    <w:rsid w:val="00D20E0B"/>
    <w:rPr>
      <w:sz w:val="20"/>
    </w:rPr>
  </w:style>
  <w:style w:type="character" w:customStyle="1" w:styleId="PlainTextChar">
    <w:name w:val="Plain Text Char"/>
    <w:basedOn w:val="DefaultParagraphFont"/>
    <w:link w:val="PlainText"/>
    <w:rsid w:val="00D20E0B"/>
    <w:rPr>
      <w:rFonts w:ascii="Courier New" w:eastAsia="Times New Roman" w:hAnsi="Courier New" w:cs="Times New Roman"/>
      <w:sz w:val="20"/>
      <w:szCs w:val="20"/>
      <w:lang w:eastAsia="en-US"/>
    </w:rPr>
  </w:style>
  <w:style w:type="character" w:customStyle="1" w:styleId="MenuOption">
    <w:name w:val="Menu Option"/>
    <w:basedOn w:val="DefaultParagraphFont"/>
    <w:rsid w:val="00D20E0B"/>
    <w:rPr>
      <w:b/>
      <w:smallCaps/>
    </w:rPr>
  </w:style>
  <w:style w:type="paragraph" w:customStyle="1" w:styleId="TableListNumber">
    <w:name w:val="Table List Number"/>
    <w:basedOn w:val="ListNumber"/>
    <w:rsid w:val="00D20E0B"/>
    <w:pPr>
      <w:numPr>
        <w:numId w:val="0"/>
      </w:numPr>
    </w:pPr>
  </w:style>
  <w:style w:type="paragraph" w:styleId="TOC4">
    <w:name w:val="toc 4"/>
    <w:basedOn w:val="TOCBase"/>
    <w:next w:val="Normal"/>
    <w:semiHidden/>
    <w:rsid w:val="00D20E0B"/>
    <w:pPr>
      <w:tabs>
        <w:tab w:val="right" w:leader="dot" w:pos="9071"/>
      </w:tabs>
      <w:ind w:left="1701"/>
    </w:pPr>
  </w:style>
  <w:style w:type="paragraph" w:customStyle="1" w:styleId="ListAlpha">
    <w:name w:val="List Alpha"/>
    <w:basedOn w:val="List"/>
    <w:rsid w:val="00D20E0B"/>
    <w:pPr>
      <w:numPr>
        <w:numId w:val="9"/>
      </w:numPr>
    </w:pPr>
  </w:style>
  <w:style w:type="paragraph" w:customStyle="1" w:styleId="ListAlpha2">
    <w:name w:val="List Alpha 2"/>
    <w:basedOn w:val="List2"/>
    <w:rsid w:val="00D20E0B"/>
    <w:pPr>
      <w:numPr>
        <w:numId w:val="8"/>
      </w:numPr>
    </w:pPr>
  </w:style>
  <w:style w:type="paragraph" w:styleId="List2">
    <w:name w:val="List 2"/>
    <w:basedOn w:val="BodyText"/>
    <w:rsid w:val="00D20E0B"/>
    <w:pPr>
      <w:tabs>
        <w:tab w:val="left" w:pos="680"/>
      </w:tabs>
      <w:spacing w:before="60" w:after="60"/>
      <w:ind w:left="680" w:hanging="340"/>
    </w:pPr>
  </w:style>
  <w:style w:type="paragraph" w:styleId="List3">
    <w:name w:val="List 3"/>
    <w:basedOn w:val="BodyText"/>
    <w:rsid w:val="00D20E0B"/>
    <w:pPr>
      <w:tabs>
        <w:tab w:val="left" w:pos="1021"/>
      </w:tabs>
      <w:spacing w:before="60" w:after="60"/>
      <w:ind w:left="1020" w:hanging="340"/>
    </w:pPr>
  </w:style>
  <w:style w:type="paragraph" w:styleId="List4">
    <w:name w:val="List 4"/>
    <w:basedOn w:val="BodyText"/>
    <w:rsid w:val="00D20E0B"/>
    <w:pPr>
      <w:tabs>
        <w:tab w:val="left" w:pos="1361"/>
      </w:tabs>
      <w:spacing w:before="60" w:after="60"/>
      <w:ind w:left="1361" w:hanging="340"/>
    </w:pPr>
  </w:style>
  <w:style w:type="paragraph" w:styleId="List5">
    <w:name w:val="List 5"/>
    <w:basedOn w:val="BodyText"/>
    <w:rsid w:val="00D20E0B"/>
    <w:pPr>
      <w:tabs>
        <w:tab w:val="left" w:pos="1701"/>
      </w:tabs>
      <w:spacing w:before="60" w:after="60"/>
      <w:ind w:left="1701" w:hanging="340"/>
    </w:pPr>
  </w:style>
  <w:style w:type="paragraph" w:styleId="ListBullet3">
    <w:name w:val="List Bullet 3"/>
    <w:basedOn w:val="List3"/>
    <w:rsid w:val="00D20E0B"/>
    <w:pPr>
      <w:numPr>
        <w:numId w:val="14"/>
      </w:numPr>
      <w:tabs>
        <w:tab w:val="clear" w:pos="1021"/>
      </w:tabs>
      <w:ind w:left="1037" w:hanging="357"/>
    </w:pPr>
  </w:style>
  <w:style w:type="paragraph" w:styleId="ListBullet4">
    <w:name w:val="List Bullet 4"/>
    <w:basedOn w:val="List4"/>
    <w:rsid w:val="00D20E0B"/>
    <w:pPr>
      <w:numPr>
        <w:numId w:val="3"/>
      </w:numPr>
      <w:tabs>
        <w:tab w:val="clear" w:pos="1361"/>
      </w:tabs>
    </w:pPr>
  </w:style>
  <w:style w:type="paragraph" w:styleId="ListBullet5">
    <w:name w:val="List Bullet 5"/>
    <w:basedOn w:val="List5"/>
    <w:rsid w:val="00D20E0B"/>
    <w:pPr>
      <w:numPr>
        <w:numId w:val="4"/>
      </w:numPr>
    </w:pPr>
  </w:style>
  <w:style w:type="paragraph" w:styleId="ListContinue2">
    <w:name w:val="List Continue 2"/>
    <w:basedOn w:val="List2"/>
    <w:rsid w:val="00D20E0B"/>
    <w:pPr>
      <w:ind w:firstLine="0"/>
    </w:pPr>
  </w:style>
  <w:style w:type="paragraph" w:styleId="ListContinue3">
    <w:name w:val="List Continue 3"/>
    <w:basedOn w:val="List3"/>
    <w:rsid w:val="00D20E0B"/>
    <w:pPr>
      <w:ind w:left="1021" w:firstLine="0"/>
    </w:pPr>
  </w:style>
  <w:style w:type="paragraph" w:styleId="ListContinue4">
    <w:name w:val="List Continue 4"/>
    <w:basedOn w:val="List4"/>
    <w:rsid w:val="00D20E0B"/>
    <w:pPr>
      <w:ind w:firstLine="0"/>
    </w:pPr>
  </w:style>
  <w:style w:type="paragraph" w:styleId="ListContinue5">
    <w:name w:val="List Continue 5"/>
    <w:basedOn w:val="List5"/>
    <w:rsid w:val="00D20E0B"/>
    <w:pPr>
      <w:ind w:firstLine="0"/>
    </w:pPr>
  </w:style>
  <w:style w:type="paragraph" w:styleId="ListNumber3">
    <w:name w:val="List Number 3"/>
    <w:basedOn w:val="List3"/>
    <w:rsid w:val="00D20E0B"/>
    <w:pPr>
      <w:numPr>
        <w:numId w:val="5"/>
      </w:numPr>
    </w:pPr>
  </w:style>
  <w:style w:type="paragraph" w:styleId="ListNumber4">
    <w:name w:val="List Number 4"/>
    <w:basedOn w:val="List4"/>
    <w:rsid w:val="00D20E0B"/>
    <w:pPr>
      <w:numPr>
        <w:numId w:val="6"/>
      </w:numPr>
    </w:pPr>
  </w:style>
  <w:style w:type="paragraph" w:styleId="ListNumber5">
    <w:name w:val="List Number 5"/>
    <w:basedOn w:val="List5"/>
    <w:rsid w:val="00D20E0B"/>
    <w:pPr>
      <w:numPr>
        <w:numId w:val="7"/>
      </w:numPr>
    </w:pPr>
  </w:style>
  <w:style w:type="paragraph" w:styleId="BlockText">
    <w:name w:val="Block Text"/>
    <w:basedOn w:val="Normal"/>
    <w:rsid w:val="00D20E0B"/>
    <w:pPr>
      <w:spacing w:after="120"/>
      <w:ind w:left="1440" w:right="1440"/>
    </w:pPr>
  </w:style>
  <w:style w:type="character" w:customStyle="1" w:styleId="Subscript">
    <w:name w:val="Subscript"/>
    <w:basedOn w:val="DefaultParagraphFont"/>
    <w:rsid w:val="00D20E0B"/>
    <w:rPr>
      <w:sz w:val="16"/>
      <w:vertAlign w:val="subscript"/>
    </w:rPr>
  </w:style>
  <w:style w:type="character" w:customStyle="1" w:styleId="Superscript">
    <w:name w:val="Superscript"/>
    <w:basedOn w:val="DefaultParagraphFont"/>
    <w:rsid w:val="00D20E0B"/>
    <w:rPr>
      <w:sz w:val="16"/>
      <w:vertAlign w:val="superscript"/>
    </w:rPr>
  </w:style>
  <w:style w:type="character" w:customStyle="1" w:styleId="Symbols">
    <w:name w:val="Symbols"/>
    <w:basedOn w:val="DefaultParagraphFont"/>
    <w:rsid w:val="00D20E0B"/>
    <w:rPr>
      <w:rFonts w:ascii="Symbol" w:hAnsi="Symbol"/>
    </w:rPr>
  </w:style>
  <w:style w:type="character" w:customStyle="1" w:styleId="MenuOptions">
    <w:name w:val="Menu Options"/>
    <w:basedOn w:val="DefaultParagraphFont"/>
    <w:rsid w:val="00D20E0B"/>
    <w:rPr>
      <w:rFonts w:ascii="Arial Narrow" w:hAnsi="Arial Narrow"/>
      <w:smallCaps/>
    </w:rPr>
  </w:style>
  <w:style w:type="character" w:customStyle="1" w:styleId="Buttons">
    <w:name w:val="Buttons"/>
    <w:basedOn w:val="DefaultParagraphFont"/>
    <w:rsid w:val="00D20E0B"/>
    <w:rPr>
      <w:b/>
    </w:rPr>
  </w:style>
  <w:style w:type="character" w:customStyle="1" w:styleId="Underlined">
    <w:name w:val="Underlined"/>
    <w:basedOn w:val="DefaultParagraphFont"/>
    <w:rsid w:val="00D20E0B"/>
    <w:rPr>
      <w:u w:val="single"/>
    </w:rPr>
  </w:style>
  <w:style w:type="paragraph" w:customStyle="1" w:styleId="TableBodyTextRight">
    <w:name w:val="Table Body Text Right"/>
    <w:basedOn w:val="TableBodyText"/>
    <w:rsid w:val="00D20E0B"/>
    <w:pPr>
      <w:widowControl w:val="0"/>
      <w:autoSpaceDE w:val="0"/>
      <w:autoSpaceDN w:val="0"/>
      <w:adjustRightInd w:val="0"/>
      <w:jc w:val="right"/>
    </w:pPr>
    <w:rPr>
      <w:rFonts w:cs="Arial"/>
      <w:szCs w:val="18"/>
    </w:rPr>
  </w:style>
  <w:style w:type="paragraph" w:customStyle="1" w:styleId="CopyrightText">
    <w:name w:val="Copyright Text"/>
    <w:basedOn w:val="BodyText"/>
    <w:rsid w:val="00D20E0B"/>
    <w:rPr>
      <w:sz w:val="18"/>
    </w:rPr>
  </w:style>
  <w:style w:type="paragraph" w:customStyle="1" w:styleId="BodySmallRight">
    <w:name w:val="Body Small Right"/>
    <w:basedOn w:val="BodyTextRight"/>
    <w:rsid w:val="00D20E0B"/>
    <w:rPr>
      <w:sz w:val="18"/>
      <w:szCs w:val="18"/>
    </w:rPr>
  </w:style>
  <w:style w:type="paragraph" w:customStyle="1" w:styleId="MarginEdition">
    <w:name w:val="Margin Edition"/>
    <w:basedOn w:val="MarginNote"/>
    <w:rsid w:val="00D20E0B"/>
    <w:pPr>
      <w:spacing w:before="0" w:after="0"/>
    </w:pPr>
    <w:rPr>
      <w:rFonts w:ascii="Times New Roman" w:hAnsi="Times New Roman"/>
      <w:color w:val="999999"/>
    </w:rPr>
  </w:style>
  <w:style w:type="paragraph" w:customStyle="1" w:styleId="Spacer">
    <w:name w:val="Spacer"/>
    <w:basedOn w:val="Normal"/>
    <w:rsid w:val="00D20E0B"/>
    <w:rPr>
      <w:sz w:val="2"/>
      <w:szCs w:val="2"/>
    </w:rPr>
  </w:style>
  <w:style w:type="character" w:customStyle="1" w:styleId="Small">
    <w:name w:val="Small"/>
    <w:basedOn w:val="DefaultParagraphFont"/>
    <w:rsid w:val="00D20E0B"/>
    <w:rPr>
      <w:sz w:val="16"/>
    </w:rPr>
  </w:style>
  <w:style w:type="paragraph" w:customStyle="1" w:styleId="WideTable">
    <w:name w:val="Wide Table"/>
    <w:basedOn w:val="Normal"/>
    <w:rsid w:val="00D20E0B"/>
    <w:pPr>
      <w:ind w:left="-1418"/>
    </w:pPr>
    <w:rPr>
      <w:sz w:val="2"/>
      <w:szCs w:val="2"/>
    </w:rPr>
  </w:style>
  <w:style w:type="character" w:styleId="PageNumber">
    <w:name w:val="page number"/>
    <w:basedOn w:val="DefaultParagraphFont"/>
    <w:rsid w:val="00D20E0B"/>
  </w:style>
  <w:style w:type="paragraph" w:styleId="Quote">
    <w:name w:val="Quote"/>
    <w:basedOn w:val="Heading1"/>
    <w:link w:val="QuoteChar"/>
    <w:qFormat/>
    <w:rsid w:val="00D20E0B"/>
    <w:rPr>
      <w:b w:val="0"/>
      <w:sz w:val="72"/>
      <w:szCs w:val="72"/>
      <w:lang w:val="en-NZ"/>
    </w:rPr>
  </w:style>
  <w:style w:type="character" w:customStyle="1" w:styleId="QuoteChar">
    <w:name w:val="Quote Char"/>
    <w:basedOn w:val="DefaultParagraphFont"/>
    <w:link w:val="Quote"/>
    <w:rsid w:val="00D20E0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20E0B"/>
    <w:pPr>
      <w:pageBreakBefore/>
    </w:pPr>
  </w:style>
  <w:style w:type="paragraph" w:customStyle="1" w:styleId="Border">
    <w:name w:val="Border"/>
    <w:basedOn w:val="Normal"/>
    <w:qFormat/>
    <w:rsid w:val="00D20E0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20E0B"/>
    <w:rPr>
      <w:b/>
      <w:bCs/>
      <w:i/>
      <w:iCs/>
      <w:color w:val="auto"/>
    </w:rPr>
  </w:style>
  <w:style w:type="paragraph" w:styleId="IntenseQuote">
    <w:name w:val="Intense Quote"/>
    <w:basedOn w:val="Normal"/>
    <w:next w:val="Normal"/>
    <w:link w:val="IntenseQuoteChar"/>
    <w:uiPriority w:val="30"/>
    <w:qFormat/>
    <w:rsid w:val="00D20E0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20E0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20E0B"/>
    <w:rPr>
      <w:smallCaps/>
      <w:color w:val="auto"/>
      <w:u w:val="single"/>
    </w:rPr>
  </w:style>
  <w:style w:type="character" w:styleId="IntenseReference">
    <w:name w:val="Intense Reference"/>
    <w:basedOn w:val="DefaultParagraphFont"/>
    <w:uiPriority w:val="32"/>
    <w:qFormat/>
    <w:rsid w:val="00D20E0B"/>
    <w:rPr>
      <w:b/>
      <w:bCs/>
      <w:smallCaps/>
      <w:color w:val="auto"/>
      <w:spacing w:val="5"/>
      <w:u w:val="single"/>
    </w:rPr>
  </w:style>
  <w:style w:type="paragraph" w:customStyle="1" w:styleId="2ColumnHeading">
    <w:name w:val="2Column Heading"/>
    <w:basedOn w:val="BodyText"/>
    <w:qFormat/>
    <w:rsid w:val="00D20E0B"/>
    <w:pPr>
      <w:spacing w:after="60"/>
      <w:ind w:left="-2268"/>
    </w:pPr>
    <w:rPr>
      <w:b/>
    </w:rPr>
  </w:style>
  <w:style w:type="paragraph" w:customStyle="1" w:styleId="Heading1TOC">
    <w:name w:val="Heading1 TOC"/>
    <w:basedOn w:val="Normal"/>
    <w:qFormat/>
    <w:rsid w:val="00D20E0B"/>
    <w:pPr>
      <w:spacing w:before="240" w:after="120"/>
    </w:pPr>
    <w:rPr>
      <w:rFonts w:ascii="Times New Roman" w:hAnsi="Times New Roman"/>
      <w:b/>
      <w:sz w:val="32"/>
    </w:rPr>
  </w:style>
  <w:style w:type="paragraph" w:customStyle="1" w:styleId="Heading2TOC">
    <w:name w:val="Heading2 TOC"/>
    <w:basedOn w:val="Normal"/>
    <w:qFormat/>
    <w:rsid w:val="00D20E0B"/>
    <w:pPr>
      <w:spacing w:before="240" w:after="60"/>
    </w:pPr>
    <w:rPr>
      <w:rFonts w:ascii="Times New Roman" w:hAnsi="Times New Roman"/>
      <w:b/>
      <w:sz w:val="28"/>
    </w:rPr>
  </w:style>
  <w:style w:type="character" w:customStyle="1" w:styleId="Underline">
    <w:name w:val="Underline"/>
    <w:basedOn w:val="DefaultParagraphFont"/>
    <w:qFormat/>
    <w:rsid w:val="00D20E0B"/>
    <w:rPr>
      <w:u w:val="single"/>
    </w:rPr>
  </w:style>
  <w:style w:type="character" w:customStyle="1" w:styleId="BoldandItalics">
    <w:name w:val="Bold and Italics"/>
    <w:qFormat/>
    <w:rsid w:val="00D20E0B"/>
    <w:rPr>
      <w:b/>
      <w:i/>
      <w:u w:val="none"/>
    </w:rPr>
  </w:style>
  <w:style w:type="paragraph" w:styleId="BalloonText">
    <w:name w:val="Balloon Text"/>
    <w:basedOn w:val="Normal"/>
    <w:link w:val="BalloonTextChar"/>
    <w:rsid w:val="00D20E0B"/>
    <w:rPr>
      <w:rFonts w:ascii="Tahoma" w:hAnsi="Tahoma" w:cs="Tahoma"/>
      <w:sz w:val="16"/>
      <w:szCs w:val="16"/>
    </w:rPr>
  </w:style>
  <w:style w:type="character" w:customStyle="1" w:styleId="BalloonTextChar">
    <w:name w:val="Balloon Text Char"/>
    <w:basedOn w:val="DefaultParagraphFont"/>
    <w:link w:val="BalloonText"/>
    <w:rsid w:val="00D20E0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20E0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20E0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20E0B"/>
    <w:rPr>
      <w:b/>
      <w:color w:val="660033"/>
      <w:spacing w:val="0"/>
    </w:rPr>
  </w:style>
  <w:style w:type="paragraph" w:customStyle="1" w:styleId="Nameditemlist">
    <w:name w:val="Named item list"/>
    <w:basedOn w:val="BodyText"/>
    <w:qFormat/>
    <w:rsid w:val="00D20E0B"/>
    <w:pPr>
      <w:tabs>
        <w:tab w:val="left" w:pos="2835"/>
      </w:tabs>
      <w:ind w:left="2835" w:hanging="2835"/>
    </w:pPr>
  </w:style>
  <w:style w:type="paragraph" w:customStyle="1" w:styleId="BodyTextnopadding">
    <w:name w:val="Body Text no padding"/>
    <w:basedOn w:val="BodyText"/>
    <w:qFormat/>
    <w:rsid w:val="00D20E0B"/>
    <w:pPr>
      <w:spacing w:before="0" w:after="0"/>
    </w:pPr>
  </w:style>
  <w:style w:type="paragraph" w:customStyle="1" w:styleId="BodyTextBold">
    <w:name w:val="Body Text Bold"/>
    <w:basedOn w:val="BodyText"/>
    <w:qFormat/>
    <w:rsid w:val="00D20E0B"/>
    <w:rPr>
      <w:b/>
    </w:rPr>
  </w:style>
  <w:style w:type="character" w:styleId="Hyperlink">
    <w:name w:val="Hyperlink"/>
    <w:basedOn w:val="DefaultParagraphFont"/>
    <w:uiPriority w:val="99"/>
    <w:unhideWhenUsed/>
    <w:rsid w:val="00AA320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1769</Words>
  <Characters>11501</Characters>
  <Application>Microsoft Office Word</Application>
  <DocSecurity>0</DocSecurity>
  <Lines>522</Lines>
  <Paragraphs>276</Paragraphs>
  <ScaleCrop>false</ScaleCrop>
  <Company>Author-it Software Corporation Ltd.</Company>
  <LinksUpToDate>false</LinksUpToDate>
  <CharactersWithSpaces>12994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MARL032 Demonstrate advanced knowledge of marine control systems and automation</dc:title>
  <dc:subject>Approved</dc:subject>
  <dc:creator>Industry Skills Australia</dc:creator>
  <cp:keywords>Release: 1</cp:keywords>
  <dc:description>Review Date: 12 April 2008</dc:description>
  <cp:lastModifiedBy>HSD_TPCMSd.prod</cp:lastModifiedBy>
  <cp:revision>3</cp:revision>
  <dcterms:created xsi:type="dcterms:W3CDTF">2025-03-01T18:40:00Z</dcterms:created>
  <dcterms:modified xsi:type="dcterms:W3CDTF">2025-03-01T18:41:00Z</dcterms:modified>
</cp:coreProperties>
</file>