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BE1" w:rsidP="00895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MARL027 Demonstrate intermediate knowledge of marine diesel engines and systems</w:t>
      </w:r>
      <w:r>
        <w:fldChar w:fldCharType="end"/>
      </w:r>
    </w:p>
    <w:p w:rsidR="00895BE1" w:rsidP="00895BE1">
      <w:pPr>
        <w:pStyle w:val="Version"/>
        <w:sectPr w:rsidSect="00D83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420" w:rsidP="00D83420">
      <w:pPr>
        <w:pStyle w:val="SuperHeading"/>
      </w:pPr>
      <w:r w:rsidRPr="00D83420">
        <w:t>MARL027 Demon</w:t>
      </w:r>
      <w:r w:rsidRPr="00D83420">
        <w:t>strate intermediate knowledge of marine diesel engines and systems</w:t>
      </w:r>
    </w:p>
    <w:p w:rsidR="00000000" w:rsidRPr="00D83420" w:rsidP="00D83420">
      <w:pPr>
        <w:pStyle w:val="Heading1"/>
      </w:pPr>
      <w:bookmarkStart w:id="1" w:name="O_661696"/>
      <w:bookmarkEnd w:id="1"/>
      <w:r w:rsidRPr="00D83420">
        <w:t>Modification History</w:t>
      </w:r>
    </w:p>
    <w:p w:rsidR="00000000" w:rsidRPr="00D83420" w:rsidP="00895BE1">
      <w:pPr>
        <w:pStyle w:val="BodyText"/>
      </w:pPr>
      <w:r w:rsidRPr="00D83420">
        <w:t>Release 1. New unit of competency.</w:t>
      </w:r>
    </w:p>
    <w:p w:rsidR="00000000" w:rsidRPr="00D83420" w:rsidP="00D83420">
      <w:pPr>
        <w:pStyle w:val="Heading1"/>
      </w:pPr>
      <w:bookmarkStart w:id="2" w:name="O_661697"/>
      <w:bookmarkEnd w:id="2"/>
      <w:r w:rsidRPr="00D83420">
        <w:t>Application</w:t>
      </w:r>
    </w:p>
    <w:p w:rsidR="00000000" w:rsidRPr="00D83420" w:rsidP="00895BE1">
      <w:pPr>
        <w:pStyle w:val="BodyText"/>
      </w:pPr>
      <w:r w:rsidRPr="00D83420">
        <w:t>This unit involves the skills and knowledge required to operate and maintain marine diesel engines and systems on a commercial vessel. This includes evaluating diesel fuel systems, methods of diesel engine cooling, diesel engine lubrication requirements, p</w:t>
      </w:r>
      <w:r w:rsidRPr="00D83420">
        <w:t>ropulsion methods and faults using combustion diagnostic equipment.</w:t>
      </w:r>
    </w:p>
    <w:p w:rsidR="00000000" w:rsidRPr="00D83420" w:rsidP="00895BE1">
      <w:pPr>
        <w:pStyle w:val="BodyText"/>
      </w:pPr>
      <w:r w:rsidRPr="00D83420">
        <w:t xml:space="preserve">This unit applies to the work of a Marine Engineer Class 2 on commercial vessels greater than 3000 kW and forms part of the requirements for the Certificate of Competency Marine Engineer </w:t>
      </w:r>
      <w:r w:rsidRPr="00D83420">
        <w:t xml:space="preserve">Class 2 issued by the Australian Maritime Safety Authority (AMSA). </w:t>
      </w:r>
    </w:p>
    <w:p w:rsidR="00000000" w:rsidRPr="00D83420" w:rsidP="00895BE1">
      <w:pPr>
        <w:pStyle w:val="BodyText"/>
      </w:pPr>
      <w:r w:rsidRPr="00D83420">
        <w:t>No licensing, legislative or certification requirements apply to this unit at the time of publication.</w:t>
      </w:r>
    </w:p>
    <w:p w:rsidR="00000000" w:rsidRPr="00D83420" w:rsidP="00D83420">
      <w:pPr>
        <w:pStyle w:val="Heading1"/>
      </w:pPr>
      <w:bookmarkStart w:id="3" w:name="O_661698"/>
      <w:bookmarkEnd w:id="3"/>
      <w:r w:rsidRPr="00D83420">
        <w:t>Pre-requisite Unit</w:t>
      </w:r>
    </w:p>
    <w:p w:rsidR="00000000" w:rsidRPr="00D83420" w:rsidP="00895BE1">
      <w:pPr>
        <w:pStyle w:val="BodyText"/>
      </w:pPr>
      <w:r w:rsidRPr="00D83420">
        <w:t>Not applicable.</w:t>
      </w:r>
    </w:p>
    <w:p w:rsidR="00000000" w:rsidRPr="00D83420" w:rsidP="00D83420">
      <w:pPr>
        <w:pStyle w:val="Heading1"/>
      </w:pPr>
      <w:bookmarkStart w:id="4" w:name="O_661699"/>
      <w:bookmarkEnd w:id="4"/>
      <w:r w:rsidRPr="00D83420">
        <w:t>Competency Fiel</w:t>
      </w:r>
      <w:r w:rsidRPr="00D83420">
        <w:t>d</w:t>
      </w:r>
    </w:p>
    <w:p w:rsidR="00000000" w:rsidRPr="00D83420" w:rsidP="00895BE1">
      <w:pPr>
        <w:pStyle w:val="BodyText"/>
      </w:pPr>
      <w:r w:rsidRPr="00D83420">
        <w:t>L – Marine Engineering</w:t>
      </w:r>
    </w:p>
    <w:p w:rsidR="00000000" w:rsidRPr="00D83420" w:rsidP="00D83420">
      <w:pPr>
        <w:pStyle w:val="Heading1"/>
      </w:pPr>
      <w:bookmarkStart w:id="5" w:name="O_661700"/>
      <w:bookmarkEnd w:id="5"/>
      <w:r w:rsidRPr="00D83420">
        <w:t>Unit Sector</w:t>
      </w:r>
    </w:p>
    <w:p w:rsidR="00000000" w:rsidRPr="00D83420" w:rsidP="00895BE1">
      <w:pPr>
        <w:pStyle w:val="BodyText"/>
      </w:pPr>
      <w:r w:rsidRPr="00D83420">
        <w:t>Not applicable.</w:t>
      </w:r>
    </w:p>
    <w:p w:rsidR="00000000" w:rsidRPr="00D83420" w:rsidP="00D83420">
      <w:pPr>
        <w:pStyle w:val="Heading1"/>
      </w:pPr>
      <w:bookmarkStart w:id="6" w:name="O_661701"/>
      <w:bookmarkEnd w:id="6"/>
      <w:r w:rsidRPr="00D8342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Performance criteria describe the performance needed to demonstrate achievement of the eleme</w:t>
            </w:r>
            <w:r w:rsidRPr="00D83420">
              <w:t>nt.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Evaluate diesel fuel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Why atomisation and penetration of fuel and air turbulence are essential to optimum combustion is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Typical injection pressures and viscosities for different grades of fuel are documented and compared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Design modifications of pumps, camshafts and injectors for fuel types are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 xml:space="preserve">Difference between constant and variable injection fuel pump timing, showing materials, principal parts, method of operation and adjustments </w:t>
            </w:r>
            <w:r w:rsidRPr="00D83420">
              <w:t>of common pump types is compared and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Injection requirements for slow speed and high speed diesel engines are compared, including pilot injection and pre-combustion chambers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Common service faults, symptoms and causes of diesel fuel i</w:t>
            </w:r>
            <w:r w:rsidRPr="00D83420">
              <w:t xml:space="preserve">njection problems are identified, specifying appropriate adjustments, including methods of fuel pump timing 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Work health and safety/occupational health and safety (WHS/OHS) requirements for handling and testing fuel injection systems are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Normal operating pressures and temperatures for fuel valve cooling arrangements, and uni-fuel and dual-fuel systems, including both high/medium viscosity fuel types are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Evaluate different methods of diesel engine cooling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Importance o</w:t>
            </w:r>
            <w:r w:rsidRPr="00D83420">
              <w:t>f maintaining diesel engine thermal efficiency and evaluate thermal loads on engine components is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Cooling media selection is justified, and advantages and disadvantages of different diesel cooling methods are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Appropriate action to be taken with common faults in cooling systems is explained and different cooling water treatments are compared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How cooling systems are commissioned, stored during idle periods and restored after contamination is confirmed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2</w:t>
            </w:r>
            <w:r w:rsidRPr="00D83420">
              <w:t>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Methods of load-dependent cooling of diesel alternators on heavy fuels are evaluated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Normal operation temperatures, pressures, and methods of cooling medium and slow speed diesel engine pistons, exhaust valves, cylinders, turbochargers and cylind</w:t>
            </w:r>
            <w:r w:rsidRPr="00D83420">
              <w:t>er heads are identified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Evaluate diesel engine lubrication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Principles of engine lubrication are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Lubricant types, physical and chemical properties and applications are assessed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Sources of diesel lubricant contamination and deterioration are identified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Ways of testing for diesel lubricant contamination and deterioration, interpreting test results and identifying appropriate action to be taken are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Distribution of lubricating oil to guides, top-end, bottom-end and main bearings of diesel engines, showing direction of flow, typical clearances and stating normal operating temperatures and pressure is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Principles of bearing lubrication a</w:t>
            </w:r>
            <w:r w:rsidRPr="00D83420">
              <w:t>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Materials used in bearing construction are identified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Bearing faults are evaluated and remedies to prevent them from occurring are determined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Compare different propulsion, manoeuvring and starting methods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Starting procedures of diesel engines for power generation, propulsion, and emergency use are clarified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Starting and manoeuvring requirements/sequences for direct-coupled reversible and geared propulsion diesels, including CPP applications are expla</w:t>
            </w:r>
            <w:r w:rsidRPr="00D83420">
              <w:t>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Common faults are analysed and appropriate action to be taken with typical diesel starting and manoeuvring systems is identified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Manoeuvring and reversing systems of propulsion diesel engines are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Different methods of achieving reversing capability with direct-coupled propulsion diesels are compared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 xml:space="preserve">Layout of a diesel-electric drive is compared and contrasted with the layout of a turbo electric drive 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Analyse materials used in constructing</w:t>
            </w:r>
            <w:r w:rsidRPr="00D83420">
              <w:rPr>
                <w:rStyle w:val="SpecialBold"/>
              </w:rPr>
              <w:t xml:space="preserve"> diesel engines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Common materials used in diesel engine construction are assessed, selection is justified, and typical compositions and physical properties of components are specified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Dynamic stresses and loads are interpreted, service limitations are identified and different methods of component fabrication are evaluated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Two-stroke and four-stroke operating cycle forces, couples and moments, relating to design principles of cran</w:t>
            </w:r>
            <w:r w:rsidRPr="00D83420">
              <w:t>kshafts, bedplates, foundations and crossheads are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Out-of-balance gas and inertia forces, couples and moments are related to flywheels, balance weights and first/second order balancing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Factors contributing to torsional vibration are explained and methods of minimising or eliminating harmful effects of critical speeds are clarified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Pistons, liners, piston rings, bearings and crankshafts are calibrated to identify wear patterns, lim</w:t>
            </w:r>
            <w:r w:rsidRPr="00D83420">
              <w:t>its and means of correction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Alignment and adjustment criteria of crankshafts, chain-drives, integral thrust bearings and crossheads are specified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 xml:space="preserve">Specified working clearances and limits of all bearings, sliding surfaces and interference fits </w:t>
            </w:r>
            <w:r w:rsidRPr="00D83420">
              <w:t>of typical diesel engines are compiled using engine builder manuals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Explain uptake and scavenge fires and air line, gearbox and crankcase explosions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Design and operational factors that contribute to fires in waste heat units are explained and methods of extinguishing and/or containing soot and hydrogen fires are specified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Routine cleaning procedures, inspection criteria, symptoms of fire and ris</w:t>
            </w:r>
            <w:r w:rsidRPr="00D83420">
              <w:t>ks of isolation in service associated with waste heat units are identified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Operational factors that contribute to scavenge fires are identified, symptoms are outlined, methods of extinguishing are evaluated and routine inspection criteria of scaveng</w:t>
            </w:r>
            <w:r w:rsidRPr="00D83420">
              <w:t>e spaces are stated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Principles of explosive mixtures are clarified and how a starting airline explosion can occur is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How risk of scavenge fires may be minimised in service by protective devices and routine evaluation of starting air systems is clarified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Causes of gearbox and crankcase explosions in propulsion and auxiliary drives are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How risks of g</w:t>
            </w:r>
            <w:r w:rsidRPr="00D83420">
              <w:t>earbox and crankcase explosions may be minimised in service are explained and correct procedures to be taken in the event of warning of a hazardous atmosphere in both oil and dual-fuel engines are clarified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Operating principles of an oil-mist detector, crankcase breather and explosion relief doors are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Function of a piston rod scraper box is outlined, and causes of wear and appropriate adjustments are identified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Explain correct working prac</w:t>
            </w:r>
            <w:r w:rsidRPr="00D83420">
              <w:rPr>
                <w:rStyle w:val="SpecialBold"/>
              </w:rPr>
              <w:t>tices associated with diesel engine operation, maintenance and repair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Safe working practices associated with isolating main and propulsion diesels under all emergency and routine situations are explained, including use of protective devices, interlocks</w:t>
            </w:r>
            <w:r w:rsidRPr="00D83420">
              <w:t xml:space="preserve"> and evaluation of their status 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Safe working practices associated with working in crankcases and other enclosed spaces are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Safe working practices associated with safe handling of hydraulic tools and dangers of lifting/isolating heavy components both unaided and with lifting gear are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Hazards of working with flammable liquids under pressure, chemicals, acids and</w:t>
            </w:r>
            <w:r w:rsidRPr="00D83420">
              <w:t xml:space="preserve"> hydrocarbons as well as selection criteria for appropriate protective clothing are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Safe working strategies for diesel engine maintenance are planned using engine manufacturer instruction manuals and product data safety sheets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Analyse f</w:t>
            </w:r>
            <w:r w:rsidRPr="00D83420">
              <w:rPr>
                <w:rStyle w:val="SpecialBold"/>
              </w:rPr>
              <w:t>aults using combustion diagnostic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Two-stroke and four-stroke theoretical cycle diagrams are compared with results recorded using diagnostic tools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Combustion faults from typical diagrams are evaluated and corrective adjustments are specified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Service combustion values are compared with trials or test bed figures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Common faults associated with pressure charging and fuel injection systems a</w:t>
            </w:r>
            <w:r w:rsidRPr="00D83420">
              <w:t>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Methods of pressure charging diesel engines are compared, and materials of construction, design features, operational maintenance and emergency procedures are correctly identified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Causes of efficiency loss and surge are explained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Scavenging systems and gas/air flow paths through a turbocharger, under normal and emergency operation modes are explained using relevant diagrams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rPr>
                <w:rStyle w:val="SpecialBold"/>
              </w:rPr>
              <w:t>Analyse construction and operation of marine gas turbines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 xml:space="preserve">Flow of air and gas through a simple </w:t>
            </w:r>
            <w:r w:rsidRPr="00D83420">
              <w:t>cycle marine gas turbine is analysed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Materials and construction of compressor, combustion system and turbine in single and two shaft designs are outlined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Controls required for control and protection of marine gas turbines are detailed</w:t>
            </w:r>
          </w:p>
        </w:tc>
      </w:tr>
      <w:tr w:rsidTr="00895B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t>Function of accessories necessary for safe operation of marine gas turbines are explained</w:t>
            </w:r>
          </w:p>
        </w:tc>
      </w:tr>
    </w:tbl>
    <w:p w:rsidR="00000000" w:rsidRPr="00D83420" w:rsidP="00D83420">
      <w:pPr>
        <w:pStyle w:val="BodyText"/>
      </w:pPr>
    </w:p>
    <w:p w:rsidR="00000000" w:rsidRPr="00D83420" w:rsidP="00D83420">
      <w:pPr>
        <w:pStyle w:val="AllowPageBreak"/>
      </w:pPr>
    </w:p>
    <w:p w:rsidR="00000000" w:rsidRPr="00D83420" w:rsidP="00D83420">
      <w:pPr>
        <w:pStyle w:val="Heading1"/>
      </w:pPr>
      <w:bookmarkStart w:id="7" w:name="O_661702"/>
      <w:bookmarkEnd w:id="7"/>
      <w:r w:rsidRPr="00D83420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83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BodyText"/>
            </w:pPr>
            <w:r w:rsidRPr="00D83420">
              <w:t>Foundation skills essential to performance are explicit in the performance criteria of this unit of competency.</w:t>
            </w:r>
          </w:p>
        </w:tc>
      </w:tr>
    </w:tbl>
    <w:p w:rsidR="00000000" w:rsidRPr="00D83420" w:rsidP="00D83420">
      <w:pPr>
        <w:pStyle w:val="BodyText"/>
      </w:pPr>
    </w:p>
    <w:p w:rsidR="00000000" w:rsidRPr="00D83420" w:rsidP="00D83420">
      <w:pPr>
        <w:pStyle w:val="AllowPageBreak"/>
      </w:pPr>
    </w:p>
    <w:p w:rsidR="00000000" w:rsidRPr="00D83420" w:rsidP="00D83420">
      <w:pPr>
        <w:pStyle w:val="Heading1"/>
      </w:pPr>
      <w:bookmarkStart w:id="8" w:name="O_661703"/>
      <w:bookmarkEnd w:id="8"/>
      <w:r w:rsidRPr="00D8342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83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Range is restricted to essential operating conditions and any other variables essential to the work environment.</w:t>
            </w:r>
          </w:p>
        </w:tc>
      </w:tr>
      <w:tr w:rsidTr="00D83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95BE1" w:rsidP="00D83420">
            <w:pPr>
              <w:pStyle w:val="BodyText"/>
            </w:pPr>
            <w:r w:rsidRPr="00D83420">
              <w:t>Methods of component fabrication include one or more of the following:</w:t>
            </w:r>
          </w:p>
          <w:p w:rsidR="00895BE1" w:rsidP="00D83420">
            <w:pPr>
              <w:pStyle w:val="BodyText"/>
            </w:pPr>
          </w:p>
          <w:p w:rsidR="00000000" w:rsidP="00D83420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ListBullet"/>
            </w:pPr>
            <w:r w:rsidRPr="00D83420">
              <w:t xml:space="preserve">ceramics </w:t>
            </w:r>
          </w:p>
          <w:p w:rsidR="00000000" w:rsidRPr="00D83420" w:rsidP="00D83420">
            <w:pPr>
              <w:pStyle w:val="ListBullet"/>
            </w:pPr>
            <w:r w:rsidRPr="00D83420">
              <w:t>composite</w:t>
            </w:r>
          </w:p>
          <w:p w:rsidR="00000000" w:rsidRPr="00D83420" w:rsidP="00D83420">
            <w:pPr>
              <w:pStyle w:val="ListBullet"/>
            </w:pPr>
            <w:r w:rsidRPr="00D83420">
              <w:t>forged</w:t>
            </w:r>
          </w:p>
          <w:p w:rsidR="00000000" w:rsidRPr="00D83420" w:rsidP="00D83420">
            <w:pPr>
              <w:pStyle w:val="ListBullet"/>
            </w:pPr>
            <w:r w:rsidRPr="00D83420">
              <w:t>laser-hardening</w:t>
            </w:r>
          </w:p>
          <w:p w:rsidR="00000000" w:rsidRPr="00D83420" w:rsidP="00D83420">
            <w:pPr>
              <w:pStyle w:val="ListBullet"/>
            </w:pPr>
            <w:r w:rsidRPr="00D83420">
              <w:t>plasma-spraying</w:t>
            </w:r>
          </w:p>
          <w:p w:rsidR="00000000" w:rsidP="00D83420">
            <w:pPr>
              <w:pStyle w:val="ListBullet"/>
              <w:rPr>
                <w:lang w:val="en-NZ"/>
              </w:rPr>
            </w:pPr>
            <w:r w:rsidRPr="00D83420">
              <w:t>welded</w:t>
            </w:r>
          </w:p>
        </w:tc>
      </w:tr>
      <w:tr w:rsidTr="00D83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20">
            <w:pPr>
              <w:pStyle w:val="BodyText"/>
              <w:rPr>
                <w:lang w:val="en-NZ"/>
              </w:rPr>
            </w:pPr>
            <w:r w:rsidRPr="00D83420">
              <w:t>Accessories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20" w:rsidP="00D83420">
            <w:pPr>
              <w:pStyle w:val="ListBullet"/>
            </w:pPr>
            <w:r w:rsidRPr="00D83420">
              <w:t>accessory gear</w:t>
            </w:r>
          </w:p>
          <w:p w:rsidR="00000000" w:rsidRPr="00D83420" w:rsidP="00D83420">
            <w:pPr>
              <w:pStyle w:val="ListBullet"/>
            </w:pPr>
            <w:r w:rsidRPr="00D83420">
              <w:t>lube oil:</w:t>
            </w:r>
          </w:p>
          <w:p w:rsidR="00000000" w:rsidRPr="00D83420" w:rsidP="00D83420">
            <w:pPr>
              <w:pStyle w:val="ListBullet"/>
            </w:pPr>
            <w:r w:rsidRPr="00D83420">
              <w:t>cooler</w:t>
            </w:r>
          </w:p>
          <w:p w:rsidR="00000000" w:rsidRPr="00D83420" w:rsidP="00D83420">
            <w:pPr>
              <w:pStyle w:val="ListBullet"/>
            </w:pPr>
            <w:r w:rsidRPr="00D83420">
              <w:t>pump</w:t>
            </w:r>
          </w:p>
          <w:p w:rsidR="00000000" w:rsidRPr="00D83420" w:rsidP="00D83420">
            <w:pPr>
              <w:pStyle w:val="ListBullet"/>
            </w:pPr>
            <w:r w:rsidRPr="00D83420">
              <w:t>filter</w:t>
            </w:r>
          </w:p>
          <w:p w:rsidR="00000000" w:rsidRPr="00D83420" w:rsidP="00D83420">
            <w:pPr>
              <w:pStyle w:val="ListBullet"/>
            </w:pPr>
            <w:r w:rsidRPr="00D83420">
              <w:t>starting devices</w:t>
            </w:r>
          </w:p>
        </w:tc>
      </w:tr>
    </w:tbl>
    <w:p w:rsidR="00000000" w:rsidRPr="00D83420" w:rsidP="00D83420">
      <w:pPr>
        <w:pStyle w:val="BodyText"/>
      </w:pPr>
    </w:p>
    <w:p w:rsidR="00000000" w:rsidRPr="00D83420" w:rsidP="00D83420">
      <w:pPr>
        <w:pStyle w:val="AllowPageBreak"/>
      </w:pPr>
    </w:p>
    <w:p w:rsidR="00000000" w:rsidRPr="00D83420" w:rsidP="00D83420">
      <w:pPr>
        <w:pStyle w:val="Heading1"/>
      </w:pPr>
      <w:bookmarkStart w:id="9" w:name="O_661704"/>
      <w:bookmarkEnd w:id="9"/>
      <w:r w:rsidRPr="00D83420">
        <w:t>Unit Mapping Information</w:t>
      </w:r>
    </w:p>
    <w:p w:rsidR="00000000" w:rsidRPr="00D83420" w:rsidP="00895BE1">
      <w:pPr>
        <w:pStyle w:val="BodyText"/>
      </w:pPr>
      <w:r w:rsidRPr="00D83420">
        <w:t>This unit replaces and is equivalent to MARL6014A Demonstrate intermediate knowledge of marine diesel engines and systems.</w:t>
      </w:r>
    </w:p>
    <w:p w:rsidR="00000000" w:rsidRPr="00D83420" w:rsidP="00D83420">
      <w:pPr>
        <w:pStyle w:val="Heading1"/>
      </w:pPr>
      <w:bookmarkStart w:id="10" w:name="O_661711"/>
      <w:bookmarkEnd w:id="10"/>
      <w:r w:rsidRPr="00D83420">
        <w:t>Links</w:t>
      </w:r>
    </w:p>
    <w:p w:rsidR="00000000" w:rsidRPr="00D83420" w:rsidP="00895BE1">
      <w:pPr>
        <w:pStyle w:val="BodyText"/>
      </w:pPr>
      <w:r w:rsidRPr="00D83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35F8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83420" w:rsidP="00D83420"/>
    <w:sectPr w:rsidSect="00D834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20" w:rsidRPr="00895BE1" w:rsidP="00895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E1" w:rsidP="00D83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5BE1" w:rsidP="00D83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5BE1" w:rsidP="00D83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420" w:rsidRPr="00895BE1" w:rsidP="00895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E1" w:rsidRPr="002D2AF8" w:rsidP="00D83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MARL027 Demonstrate intermediate knowledge of marine diesel engines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895BE1" w:rsidP="00D83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9E2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ECF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420"/>
  </w:style>
  <w:style w:type="character" w:customStyle="1" w:styleId="Heading1Char">
    <w:name w:val="Heading 1 Char"/>
    <w:basedOn w:val="DefaultParagraphFont"/>
    <w:link w:val="Heading1"/>
    <w:rsid w:val="00D83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4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420"/>
    <w:rPr>
      <w:b/>
      <w:spacing w:val="0"/>
    </w:rPr>
  </w:style>
  <w:style w:type="paragraph" w:customStyle="1" w:styleId="SuperHeading">
    <w:name w:val="SuperHeading"/>
    <w:basedOn w:val="Normal"/>
    <w:rsid w:val="00D83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4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420"/>
    <w:rPr>
      <w:i/>
    </w:rPr>
  </w:style>
  <w:style w:type="paragraph" w:styleId="Caption">
    <w:name w:val="caption"/>
    <w:basedOn w:val="BodyText"/>
    <w:next w:val="Normal"/>
    <w:qFormat/>
    <w:rsid w:val="00D83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420"/>
  </w:style>
  <w:style w:type="paragraph" w:styleId="TableofFigures">
    <w:name w:val="table of figures"/>
    <w:basedOn w:val="Normal"/>
    <w:next w:val="Normal"/>
    <w:semiHidden/>
    <w:rsid w:val="00D83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4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420"/>
    <w:rPr>
      <w:rFonts w:ascii="Wingdings" w:hAnsi="Wingdings"/>
    </w:rPr>
  </w:style>
  <w:style w:type="paragraph" w:customStyle="1" w:styleId="TableHeading">
    <w:name w:val="Table Heading"/>
    <w:basedOn w:val="HeadingBase"/>
    <w:rsid w:val="00D83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420"/>
    <w:rPr>
      <w:color w:val="0033CC"/>
      <w:u w:val="none"/>
    </w:rPr>
  </w:style>
  <w:style w:type="paragraph" w:customStyle="1" w:styleId="BodyTextRight">
    <w:name w:val="Body Text Right"/>
    <w:basedOn w:val="BodyText"/>
    <w:rsid w:val="00D83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4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420"/>
    <w:rPr>
      <w:sz w:val="32"/>
    </w:rPr>
  </w:style>
  <w:style w:type="paragraph" w:customStyle="1" w:styleId="HeadingProcedure">
    <w:name w:val="Heading Procedure"/>
    <w:basedOn w:val="HeadingBase"/>
    <w:next w:val="Normal"/>
    <w:rsid w:val="00D83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420"/>
    <w:pPr>
      <w:spacing w:before="60" w:after="60"/>
    </w:pPr>
  </w:style>
  <w:style w:type="paragraph" w:styleId="ListContinue">
    <w:name w:val="List Continue"/>
    <w:basedOn w:val="List"/>
    <w:rsid w:val="00D83420"/>
    <w:pPr>
      <w:ind w:firstLine="0"/>
    </w:pPr>
  </w:style>
  <w:style w:type="paragraph" w:customStyle="1" w:styleId="ListNote">
    <w:name w:val="List Note"/>
    <w:basedOn w:val="List"/>
    <w:rsid w:val="00D83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420"/>
    <w:rPr>
      <w:rFonts w:ascii="Courier New" w:hAnsi="Courier New"/>
    </w:rPr>
  </w:style>
  <w:style w:type="paragraph" w:customStyle="1" w:styleId="NoteBullet">
    <w:name w:val="Note Bullet"/>
    <w:basedOn w:val="Note"/>
    <w:rsid w:val="00D83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4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420"/>
    <w:rPr>
      <w:b/>
      <w:smallCaps/>
    </w:rPr>
  </w:style>
  <w:style w:type="paragraph" w:customStyle="1" w:styleId="TableListNumber">
    <w:name w:val="Table List Number"/>
    <w:basedOn w:val="ListNumber"/>
    <w:rsid w:val="00D83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420"/>
    <w:pPr>
      <w:numPr>
        <w:numId w:val="8"/>
      </w:numPr>
    </w:pPr>
  </w:style>
  <w:style w:type="paragraph" w:customStyle="1" w:styleId="ListAlpha2">
    <w:name w:val="List Alpha 2"/>
    <w:basedOn w:val="List2"/>
    <w:rsid w:val="00D83420"/>
    <w:pPr>
      <w:numPr>
        <w:numId w:val="7"/>
      </w:numPr>
    </w:pPr>
  </w:style>
  <w:style w:type="paragraph" w:styleId="List2">
    <w:name w:val="List 2"/>
    <w:basedOn w:val="BodyText"/>
    <w:rsid w:val="00D83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4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4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420"/>
    <w:pPr>
      <w:numPr>
        <w:numId w:val="3"/>
      </w:numPr>
    </w:pPr>
  </w:style>
  <w:style w:type="paragraph" w:styleId="ListContinue2">
    <w:name w:val="List Continue 2"/>
    <w:basedOn w:val="List2"/>
    <w:rsid w:val="00D83420"/>
    <w:pPr>
      <w:ind w:firstLine="0"/>
    </w:pPr>
  </w:style>
  <w:style w:type="paragraph" w:styleId="ListContinue3">
    <w:name w:val="List Continue 3"/>
    <w:basedOn w:val="List3"/>
    <w:rsid w:val="00D83420"/>
    <w:pPr>
      <w:ind w:left="1021" w:firstLine="0"/>
    </w:pPr>
  </w:style>
  <w:style w:type="paragraph" w:styleId="ListContinue4">
    <w:name w:val="List Continue 4"/>
    <w:basedOn w:val="List4"/>
    <w:rsid w:val="00D83420"/>
    <w:pPr>
      <w:ind w:firstLine="0"/>
    </w:pPr>
  </w:style>
  <w:style w:type="paragraph" w:styleId="ListContinue5">
    <w:name w:val="List Continue 5"/>
    <w:basedOn w:val="List5"/>
    <w:rsid w:val="00D83420"/>
    <w:pPr>
      <w:ind w:firstLine="0"/>
    </w:pPr>
  </w:style>
  <w:style w:type="paragraph" w:styleId="ListNumber3">
    <w:name w:val="List Number 3"/>
    <w:basedOn w:val="List3"/>
    <w:rsid w:val="00D83420"/>
    <w:pPr>
      <w:numPr>
        <w:numId w:val="4"/>
      </w:numPr>
    </w:pPr>
  </w:style>
  <w:style w:type="paragraph" w:styleId="ListNumber4">
    <w:name w:val="List Number 4"/>
    <w:basedOn w:val="List4"/>
    <w:rsid w:val="00D83420"/>
    <w:pPr>
      <w:numPr>
        <w:numId w:val="5"/>
      </w:numPr>
    </w:pPr>
  </w:style>
  <w:style w:type="paragraph" w:styleId="ListNumber5">
    <w:name w:val="List Number 5"/>
    <w:basedOn w:val="List5"/>
    <w:rsid w:val="00D83420"/>
    <w:pPr>
      <w:numPr>
        <w:numId w:val="6"/>
      </w:numPr>
    </w:pPr>
  </w:style>
  <w:style w:type="paragraph" w:styleId="BlockText">
    <w:name w:val="Block Text"/>
    <w:basedOn w:val="Normal"/>
    <w:rsid w:val="00D83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420"/>
    <w:rPr>
      <w:sz w:val="16"/>
      <w:vertAlign w:val="superscript"/>
    </w:rPr>
  </w:style>
  <w:style w:type="character" w:customStyle="1" w:styleId="Symbols">
    <w:name w:val="Symbols"/>
    <w:basedOn w:val="DefaultParagraphFont"/>
    <w:rsid w:val="00D83420"/>
    <w:rPr>
      <w:rFonts w:ascii="Symbol" w:hAnsi="Symbol"/>
    </w:rPr>
  </w:style>
  <w:style w:type="character" w:customStyle="1" w:styleId="MenuOptions">
    <w:name w:val="Menu Options"/>
    <w:basedOn w:val="DefaultParagraphFont"/>
    <w:rsid w:val="00D83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420"/>
    <w:rPr>
      <w:b/>
    </w:rPr>
  </w:style>
  <w:style w:type="character" w:customStyle="1" w:styleId="Underlined">
    <w:name w:val="Underlined"/>
    <w:basedOn w:val="DefaultParagraphFont"/>
    <w:rsid w:val="00D83420"/>
    <w:rPr>
      <w:u w:val="single"/>
    </w:rPr>
  </w:style>
  <w:style w:type="paragraph" w:customStyle="1" w:styleId="TableBodyTextRight">
    <w:name w:val="Table Body Text Right"/>
    <w:basedOn w:val="TableBodyText"/>
    <w:rsid w:val="00D83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420"/>
    <w:rPr>
      <w:sz w:val="18"/>
    </w:rPr>
  </w:style>
  <w:style w:type="paragraph" w:customStyle="1" w:styleId="BodySmallRight">
    <w:name w:val="Body Small Right"/>
    <w:basedOn w:val="BodyTextRight"/>
    <w:rsid w:val="00D83420"/>
    <w:rPr>
      <w:sz w:val="18"/>
      <w:szCs w:val="18"/>
    </w:rPr>
  </w:style>
  <w:style w:type="paragraph" w:customStyle="1" w:styleId="MarginEdition">
    <w:name w:val="Margin Edition"/>
    <w:basedOn w:val="MarginNote"/>
    <w:rsid w:val="00D83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420"/>
    <w:rPr>
      <w:sz w:val="2"/>
      <w:szCs w:val="2"/>
    </w:rPr>
  </w:style>
  <w:style w:type="character" w:customStyle="1" w:styleId="Small">
    <w:name w:val="Small"/>
    <w:basedOn w:val="DefaultParagraphFont"/>
    <w:rsid w:val="00D83420"/>
    <w:rPr>
      <w:sz w:val="16"/>
    </w:rPr>
  </w:style>
  <w:style w:type="paragraph" w:customStyle="1" w:styleId="WideTable">
    <w:name w:val="Wide Table"/>
    <w:basedOn w:val="Normal"/>
    <w:rsid w:val="00D83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420"/>
  </w:style>
  <w:style w:type="paragraph" w:styleId="Quote">
    <w:name w:val="Quote"/>
    <w:basedOn w:val="Heading1"/>
    <w:link w:val="QuoteChar"/>
    <w:qFormat/>
    <w:rsid w:val="00D83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420"/>
    <w:pPr>
      <w:pageBreakBefore/>
    </w:pPr>
  </w:style>
  <w:style w:type="paragraph" w:customStyle="1" w:styleId="Border">
    <w:name w:val="Border"/>
    <w:basedOn w:val="Normal"/>
    <w:qFormat/>
    <w:rsid w:val="00D83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420"/>
    <w:rPr>
      <w:u w:val="single"/>
    </w:rPr>
  </w:style>
  <w:style w:type="character" w:customStyle="1" w:styleId="BoldandItalics">
    <w:name w:val="Bold and Italics"/>
    <w:qFormat/>
    <w:rsid w:val="00D83420"/>
    <w:rPr>
      <w:b/>
      <w:i/>
      <w:u w:val="none"/>
    </w:rPr>
  </w:style>
  <w:style w:type="paragraph" w:styleId="BalloonText">
    <w:name w:val="Balloon Text"/>
    <w:basedOn w:val="Normal"/>
    <w:link w:val="BalloonTextChar"/>
    <w:rsid w:val="00D83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420"/>
    <w:pPr>
      <w:spacing w:before="0" w:after="0"/>
    </w:pPr>
  </w:style>
  <w:style w:type="paragraph" w:customStyle="1" w:styleId="BodyTextBold">
    <w:name w:val="Body Text Bold"/>
    <w:basedOn w:val="BodyText"/>
    <w:qFormat/>
    <w:rsid w:val="00D83420"/>
    <w:rPr>
      <w:b/>
    </w:rPr>
  </w:style>
  <w:style w:type="character" w:styleId="Hyperlink">
    <w:name w:val="Hyperlink"/>
    <w:basedOn w:val="DefaultParagraphFont"/>
    <w:uiPriority w:val="99"/>
    <w:unhideWhenUsed/>
    <w:rsid w:val="00895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1506</Words>
  <Characters>9299</Characters>
  <Application>Microsoft Office Word</Application>
  <DocSecurity>0</DocSecurity>
  <Lines>464</Lines>
  <Paragraphs>211</Paragraphs>
  <ScaleCrop>false</ScaleCrop>
  <Company>Author-it Software Corporation Ltd.</Company>
  <LinksUpToDate>false</LinksUpToDate>
  <CharactersWithSpaces>10594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MARL027 Demonstrate intermediate knowledge of marine diesel engines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2020-10-27T01:35:00Z</dcterms:created>
  <dcterms:modified xsi:type="dcterms:W3CDTF">2020-10-27T01:35:00Z</dcterms:modified>
</cp:coreProperties>
</file>