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1B7E" w:rsidP="00BF1B7E">
      <w:pPr>
        <w:pStyle w:val="Title"/>
      </w:pPr>
      <w:r>
        <w:fldChar w:fldCharType="begin"/>
      </w:r>
      <w:r>
        <w:instrText xml:space="preserve"> TITLE   \* MERGEFORMAT </w:instrText>
      </w:r>
      <w:r>
        <w:fldChar w:fldCharType="separate"/>
      </w:r>
      <w:r>
        <w:t>MARL019 Apply advanced principles of marine engineering thermodynamics</w:t>
      </w:r>
      <w:r>
        <w:fldChar w:fldCharType="end"/>
      </w:r>
    </w:p>
    <w:p w:rsidR="00BF1B7E" w:rsidP="00BF1B7E">
      <w:pPr>
        <w:pStyle w:val="Version"/>
        <w:sectPr w:rsidSect="00566B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6B26" w:rsidP="00566B26">
      <w:pPr>
        <w:pStyle w:val="SuperHeading"/>
      </w:pPr>
      <w:r w:rsidRPr="00566B26">
        <w:t>MARL019 Apply</w:t>
      </w:r>
      <w:r w:rsidRPr="00566B26">
        <w:t xml:space="preserve"> advanced principles of marine engineering thermodynamics</w:t>
      </w:r>
    </w:p>
    <w:p w:rsidR="00000000" w:rsidRPr="00566B26" w:rsidP="00566B26">
      <w:pPr>
        <w:pStyle w:val="Heading1"/>
      </w:pPr>
      <w:bookmarkStart w:id="1" w:name="O_661525"/>
      <w:bookmarkEnd w:id="1"/>
      <w:r w:rsidRPr="00566B26">
        <w:t>Modification History</w:t>
      </w:r>
    </w:p>
    <w:p w:rsidR="00000000" w:rsidRPr="00566B26" w:rsidP="00BF1B7E">
      <w:pPr>
        <w:pStyle w:val="BodyText"/>
      </w:pPr>
      <w:r w:rsidRPr="00566B26">
        <w:t>Release 1. New unit of competency.</w:t>
      </w:r>
    </w:p>
    <w:p w:rsidR="00000000" w:rsidRPr="00566B26" w:rsidP="00566B26">
      <w:pPr>
        <w:pStyle w:val="Heading1"/>
      </w:pPr>
      <w:bookmarkStart w:id="2" w:name="O_661526"/>
      <w:bookmarkEnd w:id="2"/>
      <w:r w:rsidRPr="00566B26">
        <w:t>Application</w:t>
      </w:r>
    </w:p>
    <w:p w:rsidR="00000000" w:rsidRPr="00566B26" w:rsidP="00BF1B7E">
      <w:pPr>
        <w:pStyle w:val="BodyText"/>
      </w:pPr>
      <w:r w:rsidRPr="00566B26">
        <w:t>This unit involves the skills and knowledge required to apply advanced principles of marine engineering thermodynamics to perform calculations and to explain the operation of marine machinery, including internal combustion and gas turbine engines, air comp</w:t>
      </w:r>
      <w:r w:rsidRPr="00566B26">
        <w:t>ressors, steam condensers and refrigeration units.</w:t>
      </w:r>
    </w:p>
    <w:p w:rsidR="00000000" w:rsidRPr="00566B26" w:rsidP="00BF1B7E">
      <w:pPr>
        <w:pStyle w:val="BodyText"/>
      </w:pPr>
      <w:r w:rsidRPr="00566B26">
        <w:t xml:space="preserve">This unit applies to the work of a Marine Engineer Class 1 on commercial vessels of unlimited propulsion power and forms part of the requirements for the Certificate of Competency Marine Engineer Class 1 </w:t>
      </w:r>
      <w:r w:rsidRPr="00566B26">
        <w:t>issued by the Australian Maritime Safety Authority (AMSA).</w:t>
      </w:r>
    </w:p>
    <w:p w:rsidR="00000000" w:rsidRPr="00566B26" w:rsidP="00BF1B7E">
      <w:pPr>
        <w:pStyle w:val="BodyText"/>
      </w:pPr>
      <w:r w:rsidRPr="00566B26">
        <w:t>No licensing, legislative or certification requirements apply to this unit at the time of publication.</w:t>
      </w:r>
    </w:p>
    <w:p w:rsidR="00000000" w:rsidRPr="00566B26" w:rsidP="00566B26">
      <w:pPr>
        <w:pStyle w:val="Heading1"/>
      </w:pPr>
      <w:bookmarkStart w:id="3" w:name="O_661527"/>
      <w:bookmarkEnd w:id="3"/>
      <w:r w:rsidRPr="00566B26">
        <w:t>Pre-requisite Unit</w:t>
      </w:r>
    </w:p>
    <w:p w:rsidR="00000000" w:rsidRPr="00566B26" w:rsidP="00BF1B7E">
      <w:pPr>
        <w:pStyle w:val="BodyText"/>
      </w:pPr>
      <w:r w:rsidRPr="00566B26">
        <w:t>Not applicable.</w:t>
      </w:r>
    </w:p>
    <w:p w:rsidR="00000000" w:rsidRPr="00566B26" w:rsidP="00566B26">
      <w:pPr>
        <w:pStyle w:val="Heading1"/>
      </w:pPr>
      <w:bookmarkStart w:id="4" w:name="O_661528"/>
      <w:bookmarkEnd w:id="4"/>
      <w:r w:rsidRPr="00566B26">
        <w:t>Competency Field</w:t>
      </w:r>
    </w:p>
    <w:p w:rsidR="00000000" w:rsidRPr="00566B26" w:rsidP="00BF1B7E">
      <w:pPr>
        <w:pStyle w:val="BodyText"/>
      </w:pPr>
      <w:r w:rsidRPr="00566B26">
        <w:t>L – Mar</w:t>
      </w:r>
      <w:r w:rsidRPr="00566B26">
        <w:t>ine Engineering</w:t>
      </w:r>
    </w:p>
    <w:p w:rsidR="00000000" w:rsidRPr="00566B26" w:rsidP="00566B26">
      <w:pPr>
        <w:pStyle w:val="Heading1"/>
      </w:pPr>
      <w:bookmarkStart w:id="5" w:name="O_661529"/>
      <w:bookmarkEnd w:id="5"/>
      <w:r w:rsidRPr="00566B26">
        <w:t>Unit Sector</w:t>
      </w:r>
    </w:p>
    <w:p w:rsidR="00000000" w:rsidRPr="00566B26" w:rsidP="00BF1B7E">
      <w:pPr>
        <w:pStyle w:val="BodyText"/>
      </w:pPr>
      <w:r w:rsidRPr="00566B26">
        <w:t>Not applicable.</w:t>
      </w:r>
    </w:p>
    <w:p w:rsidR="00000000" w:rsidRPr="00566B26" w:rsidP="00566B26">
      <w:pPr>
        <w:pStyle w:val="Heading1"/>
      </w:pPr>
      <w:bookmarkStart w:id="6" w:name="O_661530"/>
      <w:bookmarkEnd w:id="6"/>
      <w:r w:rsidRPr="00566B26">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BF1B7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Performance criteria describe the performance needed to demonstrate achievement of the element.</w:t>
            </w:r>
          </w:p>
        </w:tc>
      </w:tr>
      <w:tr w:rsidTr="00BF1B7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66B26" w:rsidP="00566B26">
            <w:pPr>
              <w:pStyle w:val="BodyText"/>
            </w:pPr>
            <w:r w:rsidRPr="00566B2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RPr="00566B26" w:rsidP="00566B26">
            <w:pPr>
              <w:pStyle w:val="BodyText"/>
            </w:pPr>
            <w:r w:rsidRPr="00566B26">
              <w:rPr>
                <w:rStyle w:val="SpecialBold"/>
              </w:rPr>
              <w:t xml:space="preserve">Calculate heat energy with and </w:t>
            </w:r>
            <w:r w:rsidRPr="00566B26">
              <w:rPr>
                <w:rStyle w:val="SpecialBold"/>
              </w:rPr>
              <w:t>without phase change</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1.1</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Enthalpy is applied to heat mixture calculations with or without phase change</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1.2</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Enthalpy is applied to calculate resultant conditions of hot wells involving multiple returns</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1.3</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Steam conditions in a system when using throttling devices and separators are calculated</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1.4</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 xml:space="preserve">Entropy is distinguished from enthalpy </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1.5</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 xml:space="preserve">Entropy values are determined from standard tables </w:t>
            </w:r>
          </w:p>
        </w:tc>
      </w:tr>
      <w:tr w:rsidTr="00BF1B7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66B26" w:rsidP="00566B26">
            <w:pPr>
              <w:pStyle w:val="BodyText"/>
            </w:pPr>
            <w:r w:rsidRPr="00566B2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RPr="00566B26" w:rsidP="00566B26">
            <w:pPr>
              <w:pStyle w:val="BodyText"/>
            </w:pPr>
            <w:r w:rsidRPr="00566B26">
              <w:rPr>
                <w:rStyle w:val="SpecialBold"/>
              </w:rPr>
              <w:t>Analyse change of phase and state diagrams</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2.1</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Tables and</w:t>
            </w:r>
            <w:r w:rsidRPr="00566B26">
              <w:t>/or diagrams are used to find enthalpy and entropy values for liquid, part liquid-part vapour and vapour states</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2.2</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Carnot cycle is outlined</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2.3</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Rankine cycle is outlined</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2.4</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Isentropic efficiency is explained</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2.5</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Problems are solved involving the efficiency of steam turbines operating in the Rankine cycle</w:t>
            </w:r>
          </w:p>
        </w:tc>
      </w:tr>
      <w:tr w:rsidTr="00BF1B7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66B26" w:rsidP="00566B26">
            <w:pPr>
              <w:pStyle w:val="BodyText"/>
            </w:pPr>
            <w:r w:rsidRPr="00566B26">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RPr="00566B26" w:rsidP="00566B26">
            <w:pPr>
              <w:pStyle w:val="BodyText"/>
            </w:pPr>
            <w:r w:rsidRPr="00566B26">
              <w:rPr>
                <w:rStyle w:val="SpecialBold"/>
              </w:rPr>
              <w:t>Apply Dalton’s law of partial pressures to steam condensers</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3.1</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Dalton’s Law is applied to calculate air and condensate extraction from condensers</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3.2</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Prob</w:t>
            </w:r>
            <w:r w:rsidRPr="00566B26">
              <w:t>lems are solved involving cooling water mass flow and cooling water pump work</w:t>
            </w:r>
          </w:p>
        </w:tc>
      </w:tr>
      <w:tr w:rsidTr="00BF1B7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66B26" w:rsidP="00566B26">
            <w:pPr>
              <w:pStyle w:val="BodyText"/>
            </w:pPr>
            <w:r w:rsidRPr="00566B26">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RPr="00566B26" w:rsidP="00566B26">
            <w:pPr>
              <w:pStyle w:val="BodyText"/>
            </w:pPr>
            <w:r w:rsidRPr="00566B26">
              <w:rPr>
                <w:rStyle w:val="SpecialBold"/>
              </w:rPr>
              <w:t>Apply chemical equations for complete and incomplete combustion</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4.1</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Atomic and molecular weights and kilogram-mol are explained</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4.2</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Calorific value of a fuel is calculated by chemical formula</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4.3</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Mass of air required for stoichiometric combustion is calculated by gravimetric and volumetric analysis</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4.4</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Air fuel ratio is determined when supplied with composition of fuel and exhaust gas analysis</w:t>
            </w:r>
          </w:p>
        </w:tc>
      </w:tr>
      <w:tr w:rsidTr="00BF1B7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66B26" w:rsidP="00566B26">
            <w:pPr>
              <w:pStyle w:val="BodyText"/>
            </w:pPr>
            <w:r w:rsidRPr="00566B26">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RPr="00566B26" w:rsidP="00566B26">
            <w:pPr>
              <w:pStyle w:val="BodyText"/>
            </w:pPr>
            <w:r w:rsidRPr="00566B26">
              <w:rPr>
                <w:rStyle w:val="SpecialBold"/>
              </w:rPr>
              <w:t>Apply gas laws to analyse internal combustion engine efficiencies</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5.1</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Universal gas constant form AVOGADRO S hypothesis is determined</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5.2</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Heat transfer is calculated for constant volume and constant pressure processes</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5.3</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First law of thermodynamics is applied to thermodynamic processes in a closed system</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5.4</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 xml:space="preserve">Second law of thermodynamics is applied to find thermal efficiency of Carnot </w:t>
            </w:r>
            <w:r w:rsidRPr="00566B26">
              <w:t>cycle</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5.5</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Mathematical formula is applied to solve problems related to ideal constant volume air standard cycle</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5.6</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Mathematical formula is applied to solve problems related to diesel and dual cycles</w:t>
            </w:r>
          </w:p>
        </w:tc>
      </w:tr>
      <w:tr w:rsidTr="00BF1B7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66B26" w:rsidP="00566B26">
            <w:pPr>
              <w:pStyle w:val="BodyText"/>
            </w:pPr>
            <w:r w:rsidRPr="00566B26">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RPr="00566B26" w:rsidP="00566B26">
            <w:pPr>
              <w:pStyle w:val="BodyText"/>
            </w:pPr>
            <w:r w:rsidRPr="00566B26">
              <w:rPr>
                <w:rStyle w:val="SpecialBold"/>
              </w:rPr>
              <w:t>Calculate performance of internal combustion and gas turbine engines</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6.1</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P/V and out of phase engine indicator diagrams are analysed</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6.2</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Work, power, mean effective pressure and thermal efficiency of internal combustion engine cycles is calculated</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6</w:t>
            </w:r>
            <w:r w:rsidRPr="00566B26">
              <w:t>.3</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Heat transfer to jacket cooling systems is calculated</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6.4</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Open and closed systems for gas turbines are outlined</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6.5</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Temperature/entropy diagrams are applied to illustrate gas turbine cycles</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6.6</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Power, isentropic efficiencies, thermal efficiency, work and fuel consumption for gas turbine cycles is calculated</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6.7</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Methods to increase efficiency of gas turbines are specified</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6.8</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Reheaters and intercoolers and how they improve efficiency is explained</w:t>
            </w:r>
          </w:p>
        </w:tc>
      </w:tr>
      <w:tr w:rsidTr="00BF1B7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66B26" w:rsidP="00566B26">
            <w:pPr>
              <w:pStyle w:val="BodyText"/>
            </w:pPr>
            <w:r w:rsidRPr="00566B26">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RPr="00566B26" w:rsidP="00566B26">
            <w:pPr>
              <w:pStyle w:val="BodyText"/>
            </w:pPr>
            <w:r w:rsidRPr="00566B26">
              <w:rPr>
                <w:rStyle w:val="SpecialBold"/>
              </w:rPr>
              <w:t>Analyse air compressor performance</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7.1</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Compressor types are classified</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7.2</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Volumetric efficiency at free air conditions is explained</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7.3</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Work is calculated for isothermal and adiabatic compression, and effect of clearance for reciprocating compressor</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7.4</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Pressure ratio for compressor types is analysed</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7.5</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Problems are solved relating to multi-staging and intercooling</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7.6</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Heat trans</w:t>
            </w:r>
            <w:r w:rsidRPr="00566B26">
              <w:t>fer to air or cooling water from an air compressor is calculated</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7.7</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Formula to calculate work and efficiency of centrifugal compressors is derived</w:t>
            </w:r>
          </w:p>
        </w:tc>
      </w:tr>
      <w:tr w:rsidTr="00BF1B7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66B26" w:rsidP="00566B26">
            <w:pPr>
              <w:pStyle w:val="BodyText"/>
            </w:pPr>
            <w:r w:rsidRPr="00566B26">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RPr="00566B26" w:rsidP="00566B26">
            <w:pPr>
              <w:pStyle w:val="BodyText"/>
            </w:pPr>
            <w:r w:rsidRPr="00566B26">
              <w:rPr>
                <w:rStyle w:val="SpecialBold"/>
              </w:rPr>
              <w:t>Analyse vapour compression refrigeration cycles</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8.1</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Design parameters for a vapour compression cycle are explained</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8.2</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Pressure/enthalpy diagram is prepared for a refrigeration cycle</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8.3</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Heat rejected, work done and coefficient of performance (COP) for a basic cycle is calculated</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8.4</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 xml:space="preserve">Effect of sub cooling and superheating is shown on a temperature/entropy diagram </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8.5</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COP is calculated with evaporators operating at two different pressures</w:t>
            </w:r>
          </w:p>
        </w:tc>
      </w:tr>
      <w:tr w:rsidTr="00BF1B7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66B26" w:rsidP="00566B26">
            <w:pPr>
              <w:pStyle w:val="BodyText"/>
            </w:pPr>
            <w:r w:rsidRPr="00566B26">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RPr="00566B26" w:rsidP="00566B26">
            <w:pPr>
              <w:pStyle w:val="BodyText"/>
            </w:pPr>
            <w:r w:rsidRPr="00566B26">
              <w:rPr>
                <w:rStyle w:val="SpecialBold"/>
              </w:rPr>
              <w:t>Apply psychrometric principles to solve air conditioning problems</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9.1</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Comfort conditions fo</w:t>
            </w:r>
            <w:r w:rsidRPr="00566B26">
              <w:t>r air conditioning systems are defined</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9.2</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 xml:space="preserve">Key parameters used in defining air condition are illustrated on a psychrometric chart </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9.3</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Cooling loads are calculated</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9.4</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Problems associated with air delivering and distribution methods are analysed</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9.5</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Methods of controlling noise and vibration in air conditioning systems are analysed</w:t>
            </w:r>
          </w:p>
        </w:tc>
      </w:tr>
      <w:tr w:rsidTr="00BF1B7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66B26" w:rsidP="00566B26">
            <w:pPr>
              <w:pStyle w:val="BodyText"/>
            </w:pPr>
            <w:r w:rsidRPr="00566B26">
              <w:rPr>
                <w:rStyle w:val="SpecialBold"/>
              </w:rPr>
              <w:t>10</w:t>
            </w:r>
          </w:p>
        </w:tc>
        <w:tc>
          <w:tcPr>
            <w:tcW w:w="2303" w:type="dxa"/>
            <w:vMerge w:val="restart"/>
            <w:tcBorders>
              <w:top w:val="nil"/>
              <w:left w:val="nil"/>
              <w:bottom w:val="nil"/>
              <w:right w:val="nil"/>
            </w:tcBorders>
            <w:tcMar>
              <w:top w:w="0" w:type="dxa"/>
              <w:left w:w="62" w:type="dxa"/>
              <w:bottom w:w="0" w:type="dxa"/>
              <w:right w:w="62" w:type="dxa"/>
            </w:tcMar>
          </w:tcPr>
          <w:p w:rsidR="00000000" w:rsidRPr="00566B26" w:rsidP="00566B26">
            <w:pPr>
              <w:pStyle w:val="BodyText"/>
            </w:pPr>
            <w:r w:rsidRPr="00566B26">
              <w:rPr>
                <w:rStyle w:val="SpecialBold"/>
              </w:rPr>
              <w:t>Analyse different methods of heat transfer</w:t>
            </w:r>
          </w:p>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10.1</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Heat flow through composite divisions is calculated</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10.2</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 xml:space="preserve">Insulation dimensions and interface temperatures are </w:t>
            </w:r>
            <w:r w:rsidRPr="00566B26">
              <w:t>determined</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10.3</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Problems relating to radiated energy are solved by applying Stefan-Boltzmann Law</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10.4</w:t>
            </w:r>
          </w:p>
        </w:tc>
        <w:tc>
          <w:tcPr>
            <w:tcW w:w="604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Problems in heat exchangers are solved by applying log mean temperature difference</w:t>
            </w:r>
          </w:p>
        </w:tc>
      </w:tr>
      <w:tr w:rsidTr="00BF1B7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10.5</w:t>
            </w:r>
          </w:p>
        </w:tc>
        <w:tc>
          <w:tcPr>
            <w:tcW w:w="6045" w:type="dxa"/>
            <w:tcBorders>
              <w:top w:val="nil"/>
              <w:left w:val="nil"/>
              <w:bottom w:val="nil"/>
              <w:right w:val="nil"/>
            </w:tcBorders>
            <w:tcMar>
              <w:top w:w="0" w:type="dxa"/>
              <w:left w:w="62" w:type="dxa"/>
              <w:bottom w:w="0" w:type="dxa"/>
              <w:right w:w="62" w:type="dxa"/>
            </w:tcMar>
          </w:tcPr>
          <w:p w:rsidR="00000000" w:rsidRPr="00566B26" w:rsidP="00566B26">
            <w:pPr>
              <w:pStyle w:val="BodyText"/>
            </w:pPr>
            <w:r w:rsidRPr="00566B26">
              <w:t>Relative efficiency of contra-flow heat exchange is determined</w:t>
            </w:r>
          </w:p>
        </w:tc>
      </w:tr>
    </w:tbl>
    <w:p w:rsidR="00000000" w:rsidRPr="00566B26" w:rsidP="00566B26">
      <w:pPr>
        <w:pStyle w:val="BodyText"/>
      </w:pPr>
    </w:p>
    <w:p w:rsidR="00000000" w:rsidRPr="00566B26" w:rsidP="00566B26">
      <w:pPr>
        <w:pStyle w:val="AllowPageBreak"/>
      </w:pPr>
    </w:p>
    <w:p w:rsidR="00000000" w:rsidRPr="00566B26" w:rsidP="00566B26">
      <w:pPr>
        <w:pStyle w:val="Heading1"/>
      </w:pPr>
      <w:bookmarkStart w:id="7" w:name="O_661531"/>
      <w:bookmarkEnd w:id="7"/>
      <w:r w:rsidRPr="00566B26">
        <w:t>Foundation Skills</w:t>
      </w:r>
    </w:p>
    <w:tbl>
      <w:tblPr>
        <w:tblW w:w="9498" w:type="dxa"/>
        <w:tblLayout w:type="fixed"/>
        <w:tblCellMar>
          <w:left w:w="62" w:type="dxa"/>
          <w:right w:w="62" w:type="dxa"/>
        </w:tblCellMar>
        <w:tblLook w:val="0000"/>
      </w:tblPr>
      <w:tblGrid>
        <w:gridCol w:w="9498"/>
      </w:tblGrid>
      <w:tr w:rsidTr="00566B2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66B26" w:rsidP="00566B26">
            <w:pPr>
              <w:pStyle w:val="BodyText"/>
            </w:pPr>
            <w:r w:rsidRPr="00566B26">
              <w:t>Foundation skills essential to performance are explicit in the performance criteria of this unit of competency.</w:t>
            </w:r>
          </w:p>
        </w:tc>
      </w:tr>
    </w:tbl>
    <w:p w:rsidR="00000000" w:rsidRPr="00566B26" w:rsidP="00566B26">
      <w:pPr>
        <w:pStyle w:val="BodyText"/>
      </w:pPr>
    </w:p>
    <w:p w:rsidR="00000000" w:rsidRPr="00566B26" w:rsidP="00566B26">
      <w:pPr>
        <w:pStyle w:val="AllowPageBreak"/>
      </w:pPr>
    </w:p>
    <w:p w:rsidR="00000000" w:rsidRPr="00566B26" w:rsidP="00566B26">
      <w:pPr>
        <w:pStyle w:val="Heading1"/>
      </w:pPr>
      <w:bookmarkStart w:id="8" w:name="O_661532"/>
      <w:bookmarkEnd w:id="8"/>
      <w:r w:rsidRPr="00566B26">
        <w:t>Range of Conditions</w:t>
      </w:r>
    </w:p>
    <w:tbl>
      <w:tblPr>
        <w:tblW w:w="9498" w:type="dxa"/>
        <w:tblLayout w:type="fixed"/>
        <w:tblCellMar>
          <w:left w:w="62" w:type="dxa"/>
          <w:right w:w="62" w:type="dxa"/>
        </w:tblCellMar>
        <w:tblLook w:val="0000"/>
      </w:tblPr>
      <w:tblGrid>
        <w:gridCol w:w="2735"/>
        <w:gridCol w:w="6763"/>
      </w:tblGrid>
      <w:tr w:rsidTr="00566B26">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Range is restricted to essential operating conditions and any other variables essential to the work environment.</w:t>
            </w:r>
          </w:p>
        </w:tc>
      </w:tr>
      <w:tr w:rsidTr="00566B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BF1B7E" w:rsidP="00566B26">
            <w:pPr>
              <w:pStyle w:val="BodyText"/>
            </w:pPr>
            <w:r w:rsidRPr="00566B26">
              <w:t>Tables and/or diagrams include one or more of the following:</w:t>
            </w:r>
          </w:p>
          <w:p w:rsidR="00BF1B7E" w:rsidP="00566B26">
            <w:pPr>
              <w:pStyle w:val="BodyText"/>
            </w:pPr>
          </w:p>
          <w:p w:rsidR="00000000" w:rsidP="00566B26">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566B26" w:rsidP="00566B26">
            <w:pPr>
              <w:pStyle w:val="ListBullet"/>
            </w:pPr>
            <w:r w:rsidRPr="00566B26">
              <w:t>pressure–enthalpy</w:t>
            </w:r>
          </w:p>
          <w:p w:rsidR="00000000" w:rsidRPr="00566B26" w:rsidP="00566B26">
            <w:pPr>
              <w:pStyle w:val="ListBullet"/>
            </w:pPr>
            <w:r w:rsidRPr="00566B26">
              <w:t>pressure–specific volume</w:t>
            </w:r>
          </w:p>
          <w:p w:rsidR="00000000" w:rsidRPr="00566B26" w:rsidP="00566B26">
            <w:pPr>
              <w:pStyle w:val="ListBullet"/>
            </w:pPr>
            <w:r w:rsidRPr="00566B26">
              <w:t>specific enthalpy–</w:t>
            </w:r>
            <w:r w:rsidRPr="00566B26">
              <w:t>specific entropy</w:t>
            </w:r>
          </w:p>
          <w:p w:rsidR="00000000" w:rsidRPr="00566B26" w:rsidP="00566B26">
            <w:pPr>
              <w:pStyle w:val="ListBullet"/>
            </w:pPr>
            <w:r w:rsidRPr="00566B26">
              <w:t xml:space="preserve">temperature–pressure </w:t>
            </w:r>
          </w:p>
          <w:p w:rsidR="00000000" w:rsidRPr="00566B26" w:rsidP="00566B26">
            <w:pPr>
              <w:pStyle w:val="ListBullet"/>
            </w:pPr>
            <w:r w:rsidRPr="00566B26">
              <w:t>temperature–specific enthalpy</w:t>
            </w:r>
          </w:p>
          <w:p w:rsidR="00000000" w:rsidP="00566B26">
            <w:pPr>
              <w:pStyle w:val="ListBullet"/>
              <w:rPr>
                <w:lang w:val="en-NZ"/>
              </w:rPr>
            </w:pPr>
            <w:r w:rsidRPr="00566B26">
              <w:t>temperature–specific entropy</w:t>
            </w:r>
          </w:p>
        </w:tc>
      </w:tr>
      <w:tr w:rsidTr="00566B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566B26" w:rsidP="00566B26">
            <w:pPr>
              <w:pStyle w:val="BodyText"/>
            </w:pPr>
            <w:r w:rsidRPr="00566B26">
              <w:t xml:space="preserve">Thermodynamic processes include one or more of the following: </w:t>
            </w:r>
          </w:p>
          <w:p w:rsidR="00000000" w:rsidRPr="00566B26" w:rsidP="00566B26">
            <w:pPr>
              <w:pStyle w:val="BodyText"/>
            </w:pPr>
          </w:p>
          <w:p w:rsidR="00000000" w:rsidP="00566B26">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566B26" w:rsidP="00566B26">
            <w:pPr>
              <w:pStyle w:val="ListBullet"/>
            </w:pPr>
            <w:r w:rsidRPr="00566B26">
              <w:t>adiabatic</w:t>
            </w:r>
          </w:p>
          <w:p w:rsidR="00000000" w:rsidRPr="00566B26" w:rsidP="00566B26">
            <w:pPr>
              <w:pStyle w:val="ListBullet"/>
            </w:pPr>
            <w:r w:rsidRPr="00566B26">
              <w:t>isobaric</w:t>
            </w:r>
          </w:p>
          <w:p w:rsidR="00000000" w:rsidRPr="00566B26" w:rsidP="00566B26">
            <w:pPr>
              <w:pStyle w:val="ListBullet"/>
            </w:pPr>
            <w:r w:rsidRPr="00566B26">
              <w:t>isochoric</w:t>
            </w:r>
          </w:p>
          <w:p w:rsidR="00000000" w:rsidRPr="00566B26" w:rsidP="00566B26">
            <w:pPr>
              <w:pStyle w:val="ListBullet"/>
            </w:pPr>
            <w:r w:rsidRPr="00566B26">
              <w:t>isothermal</w:t>
            </w:r>
          </w:p>
          <w:p w:rsidR="00000000" w:rsidP="00566B26">
            <w:pPr>
              <w:pStyle w:val="ListBullet"/>
              <w:rPr>
                <w:lang w:val="en-NZ"/>
              </w:rPr>
            </w:pPr>
            <w:r w:rsidRPr="00566B26">
              <w:t>polytropic</w:t>
            </w:r>
          </w:p>
        </w:tc>
      </w:tr>
      <w:tr w:rsidTr="00566B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566B26" w:rsidP="00566B26">
            <w:pPr>
              <w:pStyle w:val="BodyText"/>
            </w:pPr>
            <w:r w:rsidRPr="00566B26">
              <w:t>Parameters include one or more of the f</w:t>
            </w:r>
            <w:r w:rsidRPr="00566B26">
              <w:t xml:space="preserve">ollowing: </w:t>
            </w:r>
          </w:p>
          <w:p w:rsidR="00000000" w:rsidRPr="00566B26" w:rsidP="00566B26">
            <w:pPr>
              <w:pStyle w:val="BodyText"/>
            </w:pPr>
          </w:p>
          <w:p w:rsidR="00000000" w:rsidP="00566B26">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566B26" w:rsidP="00566B26">
            <w:pPr>
              <w:pStyle w:val="ListBullet"/>
            </w:pPr>
            <w:r w:rsidRPr="00566B26">
              <w:t xml:space="preserve">adiabatic saturation or constant enthalpy </w:t>
            </w:r>
          </w:p>
          <w:p w:rsidR="00000000" w:rsidRPr="00566B26" w:rsidP="00566B26">
            <w:pPr>
              <w:pStyle w:val="ListBullet"/>
            </w:pPr>
            <w:r w:rsidRPr="00566B26">
              <w:t>humidifying or dehumidifying</w:t>
            </w:r>
          </w:p>
          <w:p w:rsidR="00000000" w:rsidRPr="00566B26" w:rsidP="00566B26">
            <w:pPr>
              <w:pStyle w:val="ListBullet"/>
            </w:pPr>
            <w:r w:rsidRPr="00566B26">
              <w:t xml:space="preserve">latent heat </w:t>
            </w:r>
          </w:p>
          <w:p w:rsidR="00000000" w:rsidP="00566B26">
            <w:pPr>
              <w:pStyle w:val="ListBullet"/>
              <w:rPr>
                <w:lang w:val="en-NZ"/>
              </w:rPr>
            </w:pPr>
            <w:r w:rsidRPr="00566B26">
              <w:t>sensible heat</w:t>
            </w:r>
          </w:p>
        </w:tc>
      </w:tr>
      <w:tr w:rsidTr="00566B2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66B26">
            <w:pPr>
              <w:pStyle w:val="BodyText"/>
              <w:rPr>
                <w:lang w:val="en-NZ"/>
              </w:rPr>
            </w:pPr>
            <w:r w:rsidRPr="00566B26">
              <w:t xml:space="preserve">Methods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566B26" w:rsidP="00566B26">
            <w:pPr>
              <w:pStyle w:val="ListBullet"/>
            </w:pPr>
            <w:r w:rsidRPr="00566B26">
              <w:t>duct attenuators</w:t>
            </w:r>
          </w:p>
          <w:p w:rsidR="00000000" w:rsidRPr="00566B26" w:rsidP="00566B26">
            <w:pPr>
              <w:pStyle w:val="ListBullet"/>
            </w:pPr>
            <w:r w:rsidRPr="00566B26">
              <w:t>duct lining</w:t>
            </w:r>
          </w:p>
          <w:p w:rsidR="00000000" w:rsidRPr="00566B26" w:rsidP="00566B26">
            <w:pPr>
              <w:pStyle w:val="ListBullet"/>
            </w:pPr>
            <w:r w:rsidRPr="00566B26">
              <w:t>lined duct splitters</w:t>
            </w:r>
          </w:p>
          <w:p w:rsidR="00000000" w:rsidRPr="00566B26" w:rsidP="00566B26">
            <w:pPr>
              <w:pStyle w:val="ListBullet"/>
            </w:pPr>
            <w:r w:rsidRPr="00566B26">
              <w:t xml:space="preserve">lined plenums </w:t>
            </w:r>
          </w:p>
          <w:p w:rsidR="00000000" w:rsidRPr="00566B26" w:rsidP="00566B26">
            <w:pPr>
              <w:pStyle w:val="ListBullet"/>
            </w:pPr>
            <w:r w:rsidRPr="00566B26">
              <w:t>natural attenuation</w:t>
            </w:r>
          </w:p>
          <w:p w:rsidR="00000000" w:rsidRPr="00566B26" w:rsidP="00566B26">
            <w:pPr>
              <w:pStyle w:val="ListBullet"/>
            </w:pPr>
            <w:r w:rsidRPr="00566B26">
              <w:t>sound absorbing materials/placement</w:t>
            </w:r>
          </w:p>
          <w:p w:rsidR="00000000" w:rsidRPr="00566B26" w:rsidP="00566B26">
            <w:pPr>
              <w:pStyle w:val="ListBullet"/>
            </w:pPr>
            <w:r w:rsidRPr="00566B26">
              <w:t>vibration isolators</w:t>
            </w:r>
          </w:p>
          <w:p w:rsidR="00000000" w:rsidRPr="00566B26" w:rsidP="00566B26">
            <w:pPr>
              <w:pStyle w:val="ListBullet"/>
            </w:pPr>
            <w:r w:rsidRPr="00566B26">
              <w:t>white noise</w:t>
            </w:r>
          </w:p>
        </w:tc>
      </w:tr>
    </w:tbl>
    <w:p w:rsidR="00000000" w:rsidRPr="00566B26" w:rsidP="00566B26">
      <w:pPr>
        <w:pStyle w:val="BodyText"/>
      </w:pPr>
    </w:p>
    <w:p w:rsidR="00000000" w:rsidRPr="00566B26" w:rsidP="00566B26">
      <w:pPr>
        <w:pStyle w:val="AllowPageBreak"/>
      </w:pPr>
    </w:p>
    <w:p w:rsidR="00000000" w:rsidRPr="00566B26" w:rsidP="00566B26">
      <w:pPr>
        <w:pStyle w:val="Heading1"/>
      </w:pPr>
      <w:bookmarkStart w:id="9" w:name="O_661533"/>
      <w:bookmarkEnd w:id="9"/>
      <w:r w:rsidRPr="00566B26">
        <w:t>Unit Mapping Information</w:t>
      </w:r>
    </w:p>
    <w:p w:rsidR="00000000" w:rsidRPr="00566B26" w:rsidP="00BF1B7E">
      <w:pPr>
        <w:pStyle w:val="BodyText"/>
      </w:pPr>
      <w:r w:rsidRPr="00566B26">
        <w:t>This unit replaces and is equivalent to MARL6006A Apply advanced principles of marine engineering thermodynamics.</w:t>
      </w:r>
    </w:p>
    <w:p w:rsidR="00000000" w:rsidRPr="00566B26" w:rsidP="00566B26">
      <w:pPr>
        <w:pStyle w:val="Heading1"/>
      </w:pPr>
      <w:bookmarkStart w:id="10" w:name="O_661540"/>
      <w:bookmarkEnd w:id="10"/>
      <w:r w:rsidRPr="00566B26">
        <w:t>Links</w:t>
      </w:r>
    </w:p>
    <w:p w:rsidR="00000000" w:rsidRPr="00566B26" w:rsidP="00BF1B7E">
      <w:pPr>
        <w:pStyle w:val="BodyText"/>
      </w:pPr>
      <w:r w:rsidRPr="00566B2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634AE">
        <w:rPr>
          <w:rStyle w:val="Hyperlink"/>
        </w:rPr>
        <w:t>https://vetnet.gov.au/Pages/TrainingDocs.aspx?q=772efb7b-4cce-47fe-9bbd-ee3b1d1eb4c2</w:t>
      </w:r>
      <w:r>
        <w:fldChar w:fldCharType="end"/>
      </w:r>
    </w:p>
    <w:p w:rsidR="00000000" w:rsidRPr="00566B26" w:rsidP="00566B26"/>
    <w:sectPr w:rsidSect="00566B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B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B26" w:rsidRPr="00BF1B7E" w:rsidP="00BF1B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B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B7E" w:rsidP="00566B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F1B7E" w:rsidP="00566B2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F1B7E" w:rsidP="00566B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B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B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6B26" w:rsidRPr="00BF1B7E" w:rsidP="00BF1B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B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B7E" w:rsidRPr="002D2AF8" w:rsidP="00566B26">
    <w:pPr>
      <w:pStyle w:val="Header"/>
      <w:framePr w:wrap="around"/>
    </w:pPr>
    <w:r>
      <w:fldChar w:fldCharType="begin"/>
    </w:r>
    <w:r>
      <w:instrText xml:space="preserve"> TITLE   \* MERGEFORMAT </w:instrText>
    </w:r>
    <w:r>
      <w:fldChar w:fldCharType="separate"/>
    </w:r>
    <w:r>
      <w:t>MARL019 Apply advanced principles of marine engineering thermodynamics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BF1B7E" w:rsidP="00566B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9CA6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B6BC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B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6B26"/>
    <w:pPr>
      <w:spacing w:before="360" w:after="60"/>
      <w:outlineLvl w:val="0"/>
    </w:pPr>
    <w:rPr>
      <w:sz w:val="32"/>
    </w:rPr>
  </w:style>
  <w:style w:type="paragraph" w:styleId="Heading2">
    <w:name w:val="heading 2"/>
    <w:basedOn w:val="HeadingBase"/>
    <w:next w:val="BodyText"/>
    <w:link w:val="Heading2Char"/>
    <w:qFormat/>
    <w:rsid w:val="00566B26"/>
    <w:pPr>
      <w:keepLines/>
      <w:spacing w:before="240" w:after="120"/>
      <w:outlineLvl w:val="1"/>
    </w:pPr>
    <w:rPr>
      <w:sz w:val="28"/>
      <w:szCs w:val="40"/>
    </w:rPr>
  </w:style>
  <w:style w:type="paragraph" w:styleId="Heading3">
    <w:name w:val="heading 3"/>
    <w:basedOn w:val="HeadingBase"/>
    <w:next w:val="BodyText"/>
    <w:link w:val="Heading3Char"/>
    <w:qFormat/>
    <w:rsid w:val="00566B26"/>
    <w:pPr>
      <w:spacing w:before="180" w:after="120"/>
      <w:outlineLvl w:val="2"/>
    </w:pPr>
    <w:rPr>
      <w:spacing w:val="-10"/>
      <w:kern w:val="32"/>
    </w:rPr>
  </w:style>
  <w:style w:type="paragraph" w:styleId="Heading4">
    <w:name w:val="heading 4"/>
    <w:basedOn w:val="HeadingBase"/>
    <w:next w:val="BodyText"/>
    <w:link w:val="Heading4Char"/>
    <w:qFormat/>
    <w:rsid w:val="00566B26"/>
    <w:pPr>
      <w:spacing w:before="160" w:after="120"/>
      <w:outlineLvl w:val="3"/>
    </w:pPr>
    <w:rPr>
      <w:sz w:val="22"/>
    </w:rPr>
  </w:style>
  <w:style w:type="paragraph" w:styleId="Heading5">
    <w:name w:val="heading 5"/>
    <w:basedOn w:val="HeadingBase"/>
    <w:next w:val="Normal"/>
    <w:link w:val="Heading5Char"/>
    <w:qFormat/>
    <w:rsid w:val="00566B26"/>
    <w:pPr>
      <w:spacing w:before="80"/>
      <w:outlineLvl w:val="4"/>
    </w:pPr>
    <w:rPr>
      <w:color w:val="918585"/>
      <w:sz w:val="20"/>
    </w:rPr>
  </w:style>
  <w:style w:type="paragraph" w:styleId="Heading6">
    <w:name w:val="heading 6"/>
    <w:basedOn w:val="HeadingBase"/>
    <w:next w:val="Normal"/>
    <w:link w:val="Heading6Char"/>
    <w:qFormat/>
    <w:rsid w:val="00566B26"/>
    <w:pPr>
      <w:spacing w:before="60"/>
      <w:outlineLvl w:val="5"/>
    </w:pPr>
    <w:rPr>
      <w:color w:val="918585"/>
      <w:sz w:val="20"/>
    </w:rPr>
  </w:style>
  <w:style w:type="paragraph" w:styleId="Heading7">
    <w:name w:val="heading 7"/>
    <w:basedOn w:val="Normal"/>
    <w:next w:val="Normal"/>
    <w:link w:val="Heading7Char"/>
    <w:qFormat/>
    <w:rsid w:val="00566B26"/>
    <w:pPr>
      <w:ind w:left="720"/>
      <w:outlineLvl w:val="6"/>
    </w:pPr>
    <w:rPr>
      <w:i/>
    </w:rPr>
  </w:style>
  <w:style w:type="paragraph" w:styleId="Heading8">
    <w:name w:val="heading 8"/>
    <w:basedOn w:val="Normal"/>
    <w:next w:val="Normal"/>
    <w:link w:val="Heading8Char"/>
    <w:qFormat/>
    <w:rsid w:val="00566B26"/>
    <w:pPr>
      <w:ind w:left="720"/>
      <w:outlineLvl w:val="7"/>
    </w:pPr>
    <w:rPr>
      <w:i/>
    </w:rPr>
  </w:style>
  <w:style w:type="paragraph" w:styleId="Heading9">
    <w:name w:val="heading 9"/>
    <w:basedOn w:val="Normal"/>
    <w:next w:val="Normal"/>
    <w:link w:val="Heading9Char"/>
    <w:qFormat/>
    <w:rsid w:val="00566B26"/>
    <w:pPr>
      <w:ind w:left="720"/>
      <w:outlineLvl w:val="8"/>
    </w:pPr>
    <w:rPr>
      <w:i/>
    </w:rPr>
  </w:style>
  <w:style w:type="character" w:default="1" w:styleId="DefaultParagraphFont">
    <w:name w:val="Default Paragraph Font"/>
    <w:uiPriority w:val="1"/>
    <w:unhideWhenUsed/>
    <w:rsid w:val="00566B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6B26"/>
  </w:style>
  <w:style w:type="character" w:customStyle="1" w:styleId="Heading1Char">
    <w:name w:val="Heading 1 Char"/>
    <w:basedOn w:val="DefaultParagraphFont"/>
    <w:link w:val="Heading1"/>
    <w:rsid w:val="00566B26"/>
    <w:rPr>
      <w:rFonts w:ascii="Times New Roman" w:eastAsia="Times New Roman" w:hAnsi="Times New Roman" w:cs="Times New Roman"/>
      <w:b/>
      <w:sz w:val="32"/>
      <w:szCs w:val="20"/>
      <w:lang w:eastAsia="en-US"/>
    </w:rPr>
  </w:style>
  <w:style w:type="paragraph" w:styleId="BodyText">
    <w:name w:val="Body Text"/>
    <w:basedOn w:val="Normal"/>
    <w:link w:val="BodyTextChar"/>
    <w:rsid w:val="00566B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6B26"/>
    <w:rPr>
      <w:rFonts w:ascii="Times New Roman" w:eastAsia="Times New Roman" w:hAnsi="Times New Roman" w:cs="Times New Roman"/>
      <w:sz w:val="24"/>
      <w:lang w:eastAsia="en-US"/>
    </w:rPr>
  </w:style>
  <w:style w:type="paragraph" w:styleId="ListBullet">
    <w:name w:val="List Bullet"/>
    <w:basedOn w:val="List"/>
    <w:rsid w:val="00566B26"/>
    <w:pPr>
      <w:numPr>
        <w:numId w:val="11"/>
      </w:numPr>
      <w:tabs>
        <w:tab w:val="clear" w:pos="340"/>
      </w:tabs>
      <w:spacing w:before="40" w:after="40"/>
    </w:pPr>
  </w:style>
  <w:style w:type="character" w:customStyle="1" w:styleId="SpecialBold">
    <w:name w:val="Special Bold"/>
    <w:basedOn w:val="DefaultParagraphFont"/>
    <w:rsid w:val="00566B26"/>
    <w:rPr>
      <w:b/>
      <w:spacing w:val="0"/>
    </w:rPr>
  </w:style>
  <w:style w:type="paragraph" w:customStyle="1" w:styleId="SuperHeading">
    <w:name w:val="SuperHeading"/>
    <w:basedOn w:val="Normal"/>
    <w:rsid w:val="00566B26"/>
    <w:pPr>
      <w:spacing w:before="240" w:after="120"/>
      <w:outlineLvl w:val="0"/>
    </w:pPr>
    <w:rPr>
      <w:rFonts w:ascii="Times New Roman" w:hAnsi="Times New Roman"/>
      <w:b/>
      <w:sz w:val="32"/>
    </w:rPr>
  </w:style>
  <w:style w:type="paragraph" w:customStyle="1" w:styleId="AllowPageBreak">
    <w:name w:val="AllowPageBreak"/>
    <w:rsid w:val="00566B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6B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6B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6B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6B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6B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6B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6B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6B26"/>
    <w:rPr>
      <w:rFonts w:ascii="Courier New" w:eastAsia="Times New Roman" w:hAnsi="Courier New" w:cs="Times New Roman"/>
      <w:i/>
      <w:szCs w:val="20"/>
      <w:lang w:eastAsia="en-US"/>
    </w:rPr>
  </w:style>
  <w:style w:type="paragraph" w:customStyle="1" w:styleId="HeadingBase">
    <w:name w:val="Heading Base"/>
    <w:rsid w:val="00566B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6B26"/>
    <w:pPr>
      <w:tabs>
        <w:tab w:val="right" w:leader="dot" w:pos="9072"/>
      </w:tabs>
      <w:ind w:left="567"/>
    </w:pPr>
    <w:rPr>
      <w:szCs w:val="22"/>
    </w:rPr>
  </w:style>
  <w:style w:type="paragraph" w:customStyle="1" w:styleId="TOCBase">
    <w:name w:val="TOC Base"/>
    <w:rsid w:val="00566B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6B26"/>
    <w:pPr>
      <w:tabs>
        <w:tab w:val="right" w:leader="dot" w:pos="9072"/>
      </w:tabs>
      <w:spacing w:before="40" w:after="40"/>
      <w:ind w:left="284"/>
    </w:pPr>
    <w:rPr>
      <w:rFonts w:ascii="Times New Roman" w:hAnsi="Times New Roman"/>
    </w:rPr>
  </w:style>
  <w:style w:type="paragraph" w:styleId="TOC1">
    <w:name w:val="toc 1"/>
    <w:basedOn w:val="TOCBase"/>
    <w:next w:val="Normal"/>
    <w:rsid w:val="00566B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6B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6B26"/>
    <w:rPr>
      <w:rFonts w:ascii="Times New Roman" w:eastAsia="Times New Roman" w:hAnsi="Times New Roman" w:cs="Times New Roman"/>
      <w:sz w:val="16"/>
      <w:lang w:eastAsia="en-US"/>
    </w:rPr>
  </w:style>
  <w:style w:type="paragraph" w:styleId="Title">
    <w:name w:val="Title"/>
    <w:basedOn w:val="HeadingBase"/>
    <w:link w:val="TitleChar"/>
    <w:qFormat/>
    <w:rsid w:val="00566B26"/>
    <w:pPr>
      <w:spacing w:before="5040"/>
      <w:jc w:val="center"/>
    </w:pPr>
    <w:rPr>
      <w:sz w:val="48"/>
      <w:szCs w:val="72"/>
      <w:lang w:val="en-US"/>
    </w:rPr>
  </w:style>
  <w:style w:type="character" w:customStyle="1" w:styleId="TitleChar">
    <w:name w:val="Title Char"/>
    <w:basedOn w:val="DefaultParagraphFont"/>
    <w:link w:val="Title"/>
    <w:rsid w:val="00566B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6B26"/>
    <w:pPr>
      <w:tabs>
        <w:tab w:val="left" w:pos="3600"/>
        <w:tab w:val="left" w:pos="3958"/>
      </w:tabs>
    </w:pPr>
  </w:style>
  <w:style w:type="paragraph" w:styleId="List">
    <w:name w:val="List"/>
    <w:basedOn w:val="BodyText"/>
    <w:next w:val="BodyText"/>
    <w:rsid w:val="00566B26"/>
    <w:pPr>
      <w:tabs>
        <w:tab w:val="left" w:pos="340"/>
      </w:tabs>
      <w:spacing w:before="60" w:after="60"/>
      <w:ind w:left="340" w:hanging="340"/>
    </w:pPr>
  </w:style>
  <w:style w:type="paragraph" w:customStyle="1" w:styleId="Note">
    <w:name w:val="Note"/>
    <w:basedOn w:val="BodyText"/>
    <w:rsid w:val="00566B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6B26"/>
    <w:pPr>
      <w:framePr w:wrap="auto" w:hAnchor="text" w:y="6049"/>
    </w:pPr>
    <w:rPr>
      <w:color w:val="000000"/>
      <w:sz w:val="40"/>
    </w:rPr>
  </w:style>
  <w:style w:type="paragraph" w:customStyle="1" w:styleId="TOCTitle">
    <w:name w:val="TOCTitle"/>
    <w:basedOn w:val="Heading1"/>
    <w:rsid w:val="00566B26"/>
    <w:pPr>
      <w:spacing w:after="240"/>
      <w:jc w:val="center"/>
      <w:outlineLvl w:val="9"/>
    </w:pPr>
    <w:rPr>
      <w:caps/>
    </w:rPr>
  </w:style>
  <w:style w:type="paragraph" w:customStyle="1" w:styleId="Version">
    <w:name w:val="Version"/>
    <w:rsid w:val="00566B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6B26"/>
    <w:pPr>
      <w:numPr>
        <w:numId w:val="12"/>
      </w:numPr>
      <w:tabs>
        <w:tab w:val="clear" w:pos="680"/>
      </w:tabs>
    </w:pPr>
  </w:style>
  <w:style w:type="paragraph" w:styleId="Index1">
    <w:name w:val="index 1"/>
    <w:basedOn w:val="Normal"/>
    <w:next w:val="Normal"/>
    <w:semiHidden/>
    <w:rsid w:val="00566B26"/>
    <w:pPr>
      <w:keepNext w:val="0"/>
      <w:tabs>
        <w:tab w:val="right" w:pos="4176"/>
      </w:tabs>
      <w:ind w:left="198" w:hanging="198"/>
    </w:pPr>
    <w:rPr>
      <w:rFonts w:ascii="Garamond" w:hAnsi="Garamond"/>
    </w:rPr>
  </w:style>
  <w:style w:type="paragraph" w:styleId="IndexHeading">
    <w:name w:val="index heading"/>
    <w:basedOn w:val="Normal"/>
    <w:next w:val="Index1"/>
    <w:semiHidden/>
    <w:rsid w:val="00566B26"/>
    <w:pPr>
      <w:spacing w:before="120" w:after="120"/>
    </w:pPr>
    <w:rPr>
      <w:rFonts w:ascii="Arial" w:hAnsi="Arial"/>
      <w:b/>
      <w:color w:val="918585"/>
      <w:sz w:val="24"/>
    </w:rPr>
  </w:style>
  <w:style w:type="paragraph" w:styleId="Header">
    <w:name w:val="header"/>
    <w:basedOn w:val="Normal"/>
    <w:link w:val="HeaderChar"/>
    <w:rsid w:val="00566B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6B26"/>
    <w:rPr>
      <w:rFonts w:ascii="Times New Roman" w:eastAsia="Times New Roman" w:hAnsi="Times New Roman" w:cs="Times New Roman"/>
      <w:sz w:val="16"/>
      <w:szCs w:val="20"/>
      <w:lang w:val="en-GB" w:eastAsia="en-US"/>
    </w:rPr>
  </w:style>
  <w:style w:type="paragraph" w:customStyle="1" w:styleId="Chapter">
    <w:name w:val="Chapter"/>
    <w:basedOn w:val="Normal"/>
    <w:rsid w:val="00566B26"/>
    <w:pPr>
      <w:spacing w:before="240"/>
    </w:pPr>
    <w:rPr>
      <w:rFonts w:ascii="Times New Roman" w:hAnsi="Times New Roman"/>
      <w:smallCaps/>
      <w:spacing w:val="80"/>
      <w:sz w:val="28"/>
    </w:rPr>
  </w:style>
  <w:style w:type="paragraph" w:customStyle="1" w:styleId="InChapter">
    <w:name w:val="InChapter"/>
    <w:basedOn w:val="Heading3"/>
    <w:rsid w:val="00566B26"/>
    <w:pPr>
      <w:spacing w:after="240"/>
      <w:outlineLvl w:val="9"/>
    </w:pPr>
    <w:rPr>
      <w:noProof/>
    </w:rPr>
  </w:style>
  <w:style w:type="paragraph" w:styleId="Index2">
    <w:name w:val="index 2"/>
    <w:basedOn w:val="Normal"/>
    <w:next w:val="Normal"/>
    <w:semiHidden/>
    <w:rsid w:val="00566B26"/>
    <w:pPr>
      <w:tabs>
        <w:tab w:val="right" w:pos="4176"/>
      </w:tabs>
      <w:ind w:left="568" w:hanging="284"/>
    </w:pPr>
    <w:rPr>
      <w:rFonts w:ascii="Garamond" w:hAnsi="Garamond"/>
    </w:rPr>
  </w:style>
  <w:style w:type="paragraph" w:customStyle="1" w:styleId="Byline">
    <w:name w:val="Byline"/>
    <w:rsid w:val="00566B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6B26"/>
    <w:pPr>
      <w:tabs>
        <w:tab w:val="clear" w:pos="3600"/>
        <w:tab w:val="clear" w:pos="3958"/>
      </w:tabs>
      <w:jc w:val="right"/>
    </w:pPr>
  </w:style>
  <w:style w:type="character" w:styleId="Emphasis">
    <w:name w:val="Emphasis"/>
    <w:basedOn w:val="DefaultParagraphFont"/>
    <w:qFormat/>
    <w:rsid w:val="00566B26"/>
    <w:rPr>
      <w:i/>
    </w:rPr>
  </w:style>
  <w:style w:type="paragraph" w:styleId="Caption">
    <w:name w:val="caption"/>
    <w:basedOn w:val="BodyText"/>
    <w:next w:val="Normal"/>
    <w:qFormat/>
    <w:rsid w:val="00566B26"/>
    <w:pPr>
      <w:framePr w:w="2268" w:hSpace="181" w:vSpace="181" w:wrap="around" w:vAnchor="text" w:hAnchor="page" w:x="1135" w:y="285" w:anchorLock="1"/>
    </w:pPr>
    <w:rPr>
      <w:i/>
    </w:rPr>
  </w:style>
  <w:style w:type="paragraph" w:customStyle="1" w:styleId="MiniTOCTitle">
    <w:name w:val="MiniTOCTitle"/>
    <w:basedOn w:val="Heading4"/>
    <w:rsid w:val="00566B26"/>
    <w:pPr>
      <w:spacing w:before="240"/>
      <w:outlineLvl w:val="9"/>
    </w:pPr>
    <w:rPr>
      <w:noProof/>
      <w:sz w:val="24"/>
    </w:rPr>
  </w:style>
  <w:style w:type="paragraph" w:customStyle="1" w:styleId="MiniTOCItem">
    <w:name w:val="MiniTOCItem"/>
    <w:basedOn w:val="ListBullet"/>
    <w:rsid w:val="00566B26"/>
    <w:pPr>
      <w:numPr>
        <w:numId w:val="0"/>
      </w:numPr>
      <w:tabs>
        <w:tab w:val="right" w:leader="dot" w:pos="6521"/>
      </w:tabs>
      <w:spacing w:before="0" w:after="0"/>
    </w:pPr>
  </w:style>
  <w:style w:type="paragraph" w:customStyle="1" w:styleId="TOFTitle">
    <w:name w:val="TOFTitle"/>
    <w:basedOn w:val="TOCTitle"/>
    <w:rsid w:val="00566B26"/>
  </w:style>
  <w:style w:type="paragraph" w:styleId="TableofFigures">
    <w:name w:val="table of figures"/>
    <w:basedOn w:val="Normal"/>
    <w:next w:val="Normal"/>
    <w:semiHidden/>
    <w:rsid w:val="00566B26"/>
    <w:pPr>
      <w:tabs>
        <w:tab w:val="right" w:leader="dot" w:pos="9072"/>
      </w:tabs>
      <w:ind w:left="970" w:hanging="403"/>
    </w:pPr>
    <w:rPr>
      <w:rFonts w:ascii="Times New Roman" w:hAnsi="Times New Roman"/>
      <w:b/>
    </w:rPr>
  </w:style>
  <w:style w:type="paragraph" w:styleId="ListNumber">
    <w:name w:val="List Number"/>
    <w:basedOn w:val="List"/>
    <w:rsid w:val="00566B26"/>
    <w:pPr>
      <w:numPr>
        <w:numId w:val="14"/>
      </w:numPr>
      <w:tabs>
        <w:tab w:val="clear" w:pos="340"/>
      </w:tabs>
    </w:pPr>
  </w:style>
  <w:style w:type="character" w:customStyle="1" w:styleId="WingdingSymbols">
    <w:name w:val="Wingding Symbols"/>
    <w:rsid w:val="00566B26"/>
    <w:rPr>
      <w:rFonts w:ascii="Wingdings" w:hAnsi="Wingdings"/>
    </w:rPr>
  </w:style>
  <w:style w:type="paragraph" w:customStyle="1" w:styleId="TableHeading">
    <w:name w:val="Table Heading"/>
    <w:basedOn w:val="HeadingBase"/>
    <w:rsid w:val="00566B26"/>
    <w:pPr>
      <w:keepLines/>
      <w:pBdr>
        <w:bottom w:val="single" w:sz="6" w:space="1" w:color="918585"/>
      </w:pBdr>
      <w:spacing w:before="240"/>
    </w:pPr>
  </w:style>
  <w:style w:type="character" w:customStyle="1" w:styleId="HotSpot">
    <w:name w:val="HotSpot"/>
    <w:rsid w:val="00566B26"/>
    <w:rPr>
      <w:color w:val="0033CC"/>
      <w:u w:val="none"/>
    </w:rPr>
  </w:style>
  <w:style w:type="paragraph" w:customStyle="1" w:styleId="BodyTextRight">
    <w:name w:val="Body Text Right"/>
    <w:basedOn w:val="BodyText"/>
    <w:rsid w:val="00566B26"/>
    <w:pPr>
      <w:spacing w:before="0" w:after="0"/>
      <w:jc w:val="right"/>
    </w:pPr>
  </w:style>
  <w:style w:type="paragraph" w:styleId="Index3">
    <w:name w:val="index 3"/>
    <w:basedOn w:val="ListNumber2"/>
    <w:next w:val="Normal"/>
    <w:semiHidden/>
    <w:rsid w:val="00566B26"/>
    <w:pPr>
      <w:numPr>
        <w:numId w:val="0"/>
      </w:numPr>
      <w:tabs>
        <w:tab w:val="right" w:leader="dot" w:pos="4176"/>
      </w:tabs>
    </w:pPr>
  </w:style>
  <w:style w:type="paragraph" w:styleId="ListNumber2">
    <w:name w:val="List Number 2"/>
    <w:basedOn w:val="List2"/>
    <w:rsid w:val="00566B26"/>
    <w:pPr>
      <w:numPr>
        <w:numId w:val="9"/>
      </w:numPr>
      <w:tabs>
        <w:tab w:val="clear" w:pos="1060"/>
      </w:tabs>
    </w:pPr>
  </w:style>
  <w:style w:type="paragraph" w:customStyle="1" w:styleId="MarginNote">
    <w:name w:val="Margin Note"/>
    <w:basedOn w:val="BodyText"/>
    <w:rsid w:val="00566B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6B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6B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6B26"/>
    <w:rPr>
      <w:sz w:val="32"/>
    </w:rPr>
  </w:style>
  <w:style w:type="paragraph" w:customStyle="1" w:styleId="HeadingProcedure">
    <w:name w:val="Heading Procedure"/>
    <w:basedOn w:val="HeadingBase"/>
    <w:next w:val="Normal"/>
    <w:rsid w:val="00566B26"/>
    <w:pPr>
      <w:tabs>
        <w:tab w:val="left" w:pos="0"/>
      </w:tabs>
      <w:spacing w:before="120" w:after="60"/>
    </w:pPr>
    <w:rPr>
      <w:i/>
      <w:color w:val="918585"/>
      <w:sz w:val="22"/>
    </w:rPr>
  </w:style>
  <w:style w:type="paragraph" w:customStyle="1" w:styleId="TableBodyText">
    <w:name w:val="Table Body Text"/>
    <w:basedOn w:val="BodyText"/>
    <w:rsid w:val="00566B26"/>
    <w:pPr>
      <w:spacing w:before="60" w:after="60"/>
    </w:pPr>
  </w:style>
  <w:style w:type="paragraph" w:styleId="ListContinue">
    <w:name w:val="List Continue"/>
    <w:basedOn w:val="List"/>
    <w:rsid w:val="00566B26"/>
    <w:pPr>
      <w:ind w:firstLine="0"/>
    </w:pPr>
  </w:style>
  <w:style w:type="paragraph" w:customStyle="1" w:styleId="ListNote">
    <w:name w:val="List Note"/>
    <w:basedOn w:val="List"/>
    <w:rsid w:val="00566B26"/>
    <w:pPr>
      <w:pBdr>
        <w:top w:val="single" w:sz="6" w:space="2" w:color="918585"/>
        <w:bottom w:val="single" w:sz="6" w:space="2" w:color="918585"/>
      </w:pBdr>
      <w:tabs>
        <w:tab w:val="left" w:pos="1021"/>
      </w:tabs>
      <w:ind w:firstLine="0"/>
    </w:pPr>
  </w:style>
  <w:style w:type="paragraph" w:customStyle="1" w:styleId="Warning">
    <w:name w:val="Warning"/>
    <w:basedOn w:val="BodyText"/>
    <w:rsid w:val="00566B26"/>
    <w:pPr>
      <w:shd w:val="clear" w:color="auto" w:fill="D9D9D9"/>
      <w:tabs>
        <w:tab w:val="left" w:pos="992"/>
      </w:tabs>
      <w:ind w:left="119" w:right="119"/>
    </w:pPr>
    <w:rPr>
      <w:sz w:val="20"/>
    </w:rPr>
  </w:style>
  <w:style w:type="paragraph" w:customStyle="1" w:styleId="MarginIcons">
    <w:name w:val="Margin Icons"/>
    <w:basedOn w:val="BodyText"/>
    <w:rsid w:val="00566B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6B26"/>
    <w:rPr>
      <w:rFonts w:ascii="Courier New" w:hAnsi="Courier New"/>
    </w:rPr>
  </w:style>
  <w:style w:type="paragraph" w:customStyle="1" w:styleId="NoteBullet">
    <w:name w:val="Note Bullet"/>
    <w:basedOn w:val="Note"/>
    <w:rsid w:val="00566B26"/>
    <w:pPr>
      <w:tabs>
        <w:tab w:val="clear" w:pos="680"/>
      </w:tabs>
      <w:spacing w:before="60" w:after="60"/>
    </w:pPr>
  </w:style>
  <w:style w:type="paragraph" w:customStyle="1" w:styleId="SubHeading2">
    <w:name w:val="SubHeading2"/>
    <w:basedOn w:val="HeadingBase"/>
    <w:rsid w:val="00566B26"/>
    <w:pPr>
      <w:spacing w:before="240" w:after="60"/>
    </w:pPr>
    <w:rPr>
      <w:sz w:val="20"/>
    </w:rPr>
  </w:style>
  <w:style w:type="paragraph" w:customStyle="1" w:styleId="SubHeading1">
    <w:name w:val="SubHeading1"/>
    <w:basedOn w:val="HeadingBase"/>
    <w:rsid w:val="00566B26"/>
    <w:pPr>
      <w:spacing w:before="240" w:after="60"/>
    </w:pPr>
    <w:rPr>
      <w:color w:val="918585"/>
      <w:sz w:val="22"/>
    </w:rPr>
  </w:style>
  <w:style w:type="paragraph" w:customStyle="1" w:styleId="SideHeading">
    <w:name w:val="Side Heading"/>
    <w:basedOn w:val="HeadingBase"/>
    <w:rsid w:val="00566B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6B26"/>
    <w:pPr>
      <w:numPr>
        <w:numId w:val="10"/>
      </w:numPr>
    </w:pPr>
  </w:style>
  <w:style w:type="paragraph" w:styleId="PlainText">
    <w:name w:val="Plain Text"/>
    <w:basedOn w:val="Normal"/>
    <w:link w:val="PlainTextChar"/>
    <w:rsid w:val="00566B26"/>
    <w:rPr>
      <w:sz w:val="20"/>
    </w:rPr>
  </w:style>
  <w:style w:type="character" w:customStyle="1" w:styleId="PlainTextChar">
    <w:name w:val="Plain Text Char"/>
    <w:basedOn w:val="DefaultParagraphFont"/>
    <w:link w:val="PlainText"/>
    <w:rsid w:val="00566B26"/>
    <w:rPr>
      <w:rFonts w:ascii="Courier New" w:eastAsia="Times New Roman" w:hAnsi="Courier New" w:cs="Times New Roman"/>
      <w:sz w:val="20"/>
      <w:szCs w:val="20"/>
      <w:lang w:eastAsia="en-US"/>
    </w:rPr>
  </w:style>
  <w:style w:type="character" w:customStyle="1" w:styleId="MenuOption">
    <w:name w:val="Menu Option"/>
    <w:basedOn w:val="DefaultParagraphFont"/>
    <w:rsid w:val="00566B26"/>
    <w:rPr>
      <w:b/>
      <w:smallCaps/>
    </w:rPr>
  </w:style>
  <w:style w:type="paragraph" w:customStyle="1" w:styleId="TableListNumber">
    <w:name w:val="Table List Number"/>
    <w:basedOn w:val="ListNumber"/>
    <w:rsid w:val="00566B26"/>
    <w:pPr>
      <w:numPr>
        <w:numId w:val="0"/>
      </w:numPr>
    </w:pPr>
  </w:style>
  <w:style w:type="paragraph" w:styleId="TOC4">
    <w:name w:val="toc 4"/>
    <w:basedOn w:val="TOCBase"/>
    <w:next w:val="Normal"/>
    <w:semiHidden/>
    <w:rsid w:val="00566B26"/>
    <w:pPr>
      <w:tabs>
        <w:tab w:val="right" w:leader="dot" w:pos="9071"/>
      </w:tabs>
      <w:ind w:left="1701"/>
    </w:pPr>
  </w:style>
  <w:style w:type="paragraph" w:customStyle="1" w:styleId="ListAlpha">
    <w:name w:val="List Alpha"/>
    <w:basedOn w:val="List"/>
    <w:rsid w:val="00566B26"/>
    <w:pPr>
      <w:numPr>
        <w:numId w:val="8"/>
      </w:numPr>
    </w:pPr>
  </w:style>
  <w:style w:type="paragraph" w:customStyle="1" w:styleId="ListAlpha2">
    <w:name w:val="List Alpha 2"/>
    <w:basedOn w:val="List2"/>
    <w:rsid w:val="00566B26"/>
    <w:pPr>
      <w:numPr>
        <w:numId w:val="7"/>
      </w:numPr>
    </w:pPr>
  </w:style>
  <w:style w:type="paragraph" w:styleId="List2">
    <w:name w:val="List 2"/>
    <w:basedOn w:val="BodyText"/>
    <w:rsid w:val="00566B26"/>
    <w:pPr>
      <w:tabs>
        <w:tab w:val="left" w:pos="680"/>
      </w:tabs>
      <w:spacing w:before="60" w:after="60"/>
      <w:ind w:left="680" w:hanging="340"/>
    </w:pPr>
  </w:style>
  <w:style w:type="paragraph" w:styleId="List3">
    <w:name w:val="List 3"/>
    <w:basedOn w:val="BodyText"/>
    <w:rsid w:val="00566B26"/>
    <w:pPr>
      <w:tabs>
        <w:tab w:val="left" w:pos="1021"/>
      </w:tabs>
      <w:spacing w:before="60" w:after="60"/>
      <w:ind w:left="1020" w:hanging="340"/>
    </w:pPr>
  </w:style>
  <w:style w:type="paragraph" w:styleId="List4">
    <w:name w:val="List 4"/>
    <w:basedOn w:val="BodyText"/>
    <w:rsid w:val="00566B26"/>
    <w:pPr>
      <w:tabs>
        <w:tab w:val="left" w:pos="1361"/>
      </w:tabs>
      <w:spacing w:before="60" w:after="60"/>
      <w:ind w:left="1361" w:hanging="340"/>
    </w:pPr>
  </w:style>
  <w:style w:type="paragraph" w:styleId="List5">
    <w:name w:val="List 5"/>
    <w:basedOn w:val="BodyText"/>
    <w:rsid w:val="00566B26"/>
    <w:pPr>
      <w:tabs>
        <w:tab w:val="left" w:pos="1701"/>
      </w:tabs>
      <w:spacing w:before="60" w:after="60"/>
      <w:ind w:left="1701" w:hanging="340"/>
    </w:pPr>
  </w:style>
  <w:style w:type="paragraph" w:styleId="ListBullet3">
    <w:name w:val="List Bullet 3"/>
    <w:basedOn w:val="List3"/>
    <w:rsid w:val="00566B26"/>
    <w:pPr>
      <w:numPr>
        <w:numId w:val="13"/>
      </w:numPr>
      <w:tabs>
        <w:tab w:val="clear" w:pos="1021"/>
      </w:tabs>
      <w:ind w:left="1037" w:hanging="357"/>
    </w:pPr>
  </w:style>
  <w:style w:type="paragraph" w:styleId="ListBullet4">
    <w:name w:val="List Bullet 4"/>
    <w:basedOn w:val="List4"/>
    <w:rsid w:val="00566B26"/>
    <w:pPr>
      <w:numPr>
        <w:numId w:val="2"/>
      </w:numPr>
      <w:tabs>
        <w:tab w:val="clear" w:pos="1361"/>
      </w:tabs>
    </w:pPr>
  </w:style>
  <w:style w:type="paragraph" w:styleId="ListBullet5">
    <w:name w:val="List Bullet 5"/>
    <w:basedOn w:val="List5"/>
    <w:rsid w:val="00566B26"/>
    <w:pPr>
      <w:numPr>
        <w:numId w:val="3"/>
      </w:numPr>
    </w:pPr>
  </w:style>
  <w:style w:type="paragraph" w:styleId="ListContinue2">
    <w:name w:val="List Continue 2"/>
    <w:basedOn w:val="List2"/>
    <w:rsid w:val="00566B26"/>
    <w:pPr>
      <w:ind w:firstLine="0"/>
    </w:pPr>
  </w:style>
  <w:style w:type="paragraph" w:styleId="ListContinue3">
    <w:name w:val="List Continue 3"/>
    <w:basedOn w:val="List3"/>
    <w:rsid w:val="00566B26"/>
    <w:pPr>
      <w:ind w:left="1021" w:firstLine="0"/>
    </w:pPr>
  </w:style>
  <w:style w:type="paragraph" w:styleId="ListContinue4">
    <w:name w:val="List Continue 4"/>
    <w:basedOn w:val="List4"/>
    <w:rsid w:val="00566B26"/>
    <w:pPr>
      <w:ind w:firstLine="0"/>
    </w:pPr>
  </w:style>
  <w:style w:type="paragraph" w:styleId="ListContinue5">
    <w:name w:val="List Continue 5"/>
    <w:basedOn w:val="List5"/>
    <w:rsid w:val="00566B26"/>
    <w:pPr>
      <w:ind w:firstLine="0"/>
    </w:pPr>
  </w:style>
  <w:style w:type="paragraph" w:styleId="ListNumber3">
    <w:name w:val="List Number 3"/>
    <w:basedOn w:val="List3"/>
    <w:rsid w:val="00566B26"/>
    <w:pPr>
      <w:numPr>
        <w:numId w:val="4"/>
      </w:numPr>
    </w:pPr>
  </w:style>
  <w:style w:type="paragraph" w:styleId="ListNumber4">
    <w:name w:val="List Number 4"/>
    <w:basedOn w:val="List4"/>
    <w:rsid w:val="00566B26"/>
    <w:pPr>
      <w:numPr>
        <w:numId w:val="5"/>
      </w:numPr>
    </w:pPr>
  </w:style>
  <w:style w:type="paragraph" w:styleId="ListNumber5">
    <w:name w:val="List Number 5"/>
    <w:basedOn w:val="List5"/>
    <w:rsid w:val="00566B26"/>
    <w:pPr>
      <w:numPr>
        <w:numId w:val="6"/>
      </w:numPr>
    </w:pPr>
  </w:style>
  <w:style w:type="paragraph" w:styleId="BlockText">
    <w:name w:val="Block Text"/>
    <w:basedOn w:val="Normal"/>
    <w:rsid w:val="00566B26"/>
    <w:pPr>
      <w:spacing w:after="120"/>
      <w:ind w:left="1440" w:right="1440"/>
    </w:pPr>
  </w:style>
  <w:style w:type="character" w:customStyle="1" w:styleId="Subscript">
    <w:name w:val="Subscript"/>
    <w:basedOn w:val="DefaultParagraphFont"/>
    <w:rsid w:val="00566B26"/>
    <w:rPr>
      <w:sz w:val="16"/>
      <w:vertAlign w:val="subscript"/>
    </w:rPr>
  </w:style>
  <w:style w:type="character" w:customStyle="1" w:styleId="Superscript">
    <w:name w:val="Superscript"/>
    <w:basedOn w:val="DefaultParagraphFont"/>
    <w:rsid w:val="00566B26"/>
    <w:rPr>
      <w:sz w:val="16"/>
      <w:vertAlign w:val="superscript"/>
    </w:rPr>
  </w:style>
  <w:style w:type="character" w:customStyle="1" w:styleId="Symbols">
    <w:name w:val="Symbols"/>
    <w:basedOn w:val="DefaultParagraphFont"/>
    <w:rsid w:val="00566B26"/>
    <w:rPr>
      <w:rFonts w:ascii="Symbol" w:hAnsi="Symbol"/>
    </w:rPr>
  </w:style>
  <w:style w:type="character" w:customStyle="1" w:styleId="MenuOptions">
    <w:name w:val="Menu Options"/>
    <w:basedOn w:val="DefaultParagraphFont"/>
    <w:rsid w:val="00566B26"/>
    <w:rPr>
      <w:rFonts w:ascii="Arial Narrow" w:hAnsi="Arial Narrow"/>
      <w:smallCaps/>
    </w:rPr>
  </w:style>
  <w:style w:type="character" w:customStyle="1" w:styleId="Buttons">
    <w:name w:val="Buttons"/>
    <w:basedOn w:val="DefaultParagraphFont"/>
    <w:rsid w:val="00566B26"/>
    <w:rPr>
      <w:b/>
    </w:rPr>
  </w:style>
  <w:style w:type="character" w:customStyle="1" w:styleId="Underlined">
    <w:name w:val="Underlined"/>
    <w:basedOn w:val="DefaultParagraphFont"/>
    <w:rsid w:val="00566B26"/>
    <w:rPr>
      <w:u w:val="single"/>
    </w:rPr>
  </w:style>
  <w:style w:type="paragraph" w:customStyle="1" w:styleId="TableBodyTextRight">
    <w:name w:val="Table Body Text Right"/>
    <w:basedOn w:val="TableBodyText"/>
    <w:rsid w:val="00566B26"/>
    <w:pPr>
      <w:widowControl w:val="0"/>
      <w:autoSpaceDE w:val="0"/>
      <w:autoSpaceDN w:val="0"/>
      <w:adjustRightInd w:val="0"/>
      <w:jc w:val="right"/>
    </w:pPr>
    <w:rPr>
      <w:rFonts w:cs="Arial"/>
      <w:szCs w:val="18"/>
    </w:rPr>
  </w:style>
  <w:style w:type="paragraph" w:customStyle="1" w:styleId="CopyrightText">
    <w:name w:val="Copyright Text"/>
    <w:basedOn w:val="BodyText"/>
    <w:rsid w:val="00566B26"/>
    <w:rPr>
      <w:sz w:val="18"/>
    </w:rPr>
  </w:style>
  <w:style w:type="paragraph" w:customStyle="1" w:styleId="BodySmallRight">
    <w:name w:val="Body Small Right"/>
    <w:basedOn w:val="BodyTextRight"/>
    <w:rsid w:val="00566B26"/>
    <w:rPr>
      <w:sz w:val="18"/>
      <w:szCs w:val="18"/>
    </w:rPr>
  </w:style>
  <w:style w:type="paragraph" w:customStyle="1" w:styleId="MarginEdition">
    <w:name w:val="Margin Edition"/>
    <w:basedOn w:val="MarginNote"/>
    <w:rsid w:val="00566B26"/>
    <w:pPr>
      <w:spacing w:before="0" w:after="0"/>
    </w:pPr>
    <w:rPr>
      <w:rFonts w:ascii="Times New Roman" w:hAnsi="Times New Roman"/>
      <w:color w:val="999999"/>
    </w:rPr>
  </w:style>
  <w:style w:type="paragraph" w:customStyle="1" w:styleId="Spacer">
    <w:name w:val="Spacer"/>
    <w:basedOn w:val="Normal"/>
    <w:rsid w:val="00566B26"/>
    <w:rPr>
      <w:sz w:val="2"/>
      <w:szCs w:val="2"/>
    </w:rPr>
  </w:style>
  <w:style w:type="character" w:customStyle="1" w:styleId="Small">
    <w:name w:val="Small"/>
    <w:basedOn w:val="DefaultParagraphFont"/>
    <w:rsid w:val="00566B26"/>
    <w:rPr>
      <w:sz w:val="16"/>
    </w:rPr>
  </w:style>
  <w:style w:type="paragraph" w:customStyle="1" w:styleId="WideTable">
    <w:name w:val="Wide Table"/>
    <w:basedOn w:val="Normal"/>
    <w:rsid w:val="00566B26"/>
    <w:pPr>
      <w:ind w:left="-1418"/>
    </w:pPr>
    <w:rPr>
      <w:sz w:val="2"/>
      <w:szCs w:val="2"/>
    </w:rPr>
  </w:style>
  <w:style w:type="character" w:styleId="PageNumber">
    <w:name w:val="page number"/>
    <w:basedOn w:val="DefaultParagraphFont"/>
    <w:rsid w:val="00566B26"/>
  </w:style>
  <w:style w:type="paragraph" w:styleId="Quote">
    <w:name w:val="Quote"/>
    <w:basedOn w:val="Heading1"/>
    <w:link w:val="QuoteChar"/>
    <w:qFormat/>
    <w:rsid w:val="00566B26"/>
    <w:rPr>
      <w:b w:val="0"/>
      <w:sz w:val="72"/>
      <w:szCs w:val="72"/>
      <w:lang w:val="en-NZ"/>
    </w:rPr>
  </w:style>
  <w:style w:type="character" w:customStyle="1" w:styleId="QuoteChar">
    <w:name w:val="Quote Char"/>
    <w:basedOn w:val="DefaultParagraphFont"/>
    <w:link w:val="Quote"/>
    <w:rsid w:val="00566B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6B26"/>
    <w:pPr>
      <w:pageBreakBefore/>
    </w:pPr>
  </w:style>
  <w:style w:type="paragraph" w:customStyle="1" w:styleId="Border">
    <w:name w:val="Border"/>
    <w:basedOn w:val="Normal"/>
    <w:qFormat/>
    <w:rsid w:val="00566B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6B26"/>
    <w:rPr>
      <w:b/>
      <w:bCs/>
      <w:i/>
      <w:iCs/>
      <w:color w:val="auto"/>
    </w:rPr>
  </w:style>
  <w:style w:type="paragraph" w:styleId="IntenseQuote">
    <w:name w:val="Intense Quote"/>
    <w:basedOn w:val="Normal"/>
    <w:next w:val="Normal"/>
    <w:link w:val="IntenseQuoteChar"/>
    <w:uiPriority w:val="30"/>
    <w:qFormat/>
    <w:rsid w:val="00566B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6B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6B26"/>
    <w:rPr>
      <w:smallCaps/>
      <w:color w:val="auto"/>
      <w:u w:val="single"/>
    </w:rPr>
  </w:style>
  <w:style w:type="character" w:styleId="IntenseReference">
    <w:name w:val="Intense Reference"/>
    <w:basedOn w:val="DefaultParagraphFont"/>
    <w:uiPriority w:val="32"/>
    <w:qFormat/>
    <w:rsid w:val="00566B26"/>
    <w:rPr>
      <w:b/>
      <w:bCs/>
      <w:smallCaps/>
      <w:color w:val="auto"/>
      <w:spacing w:val="5"/>
      <w:u w:val="single"/>
    </w:rPr>
  </w:style>
  <w:style w:type="paragraph" w:customStyle="1" w:styleId="2ColumnHeading">
    <w:name w:val="2Column Heading"/>
    <w:basedOn w:val="BodyText"/>
    <w:qFormat/>
    <w:rsid w:val="00566B26"/>
    <w:pPr>
      <w:spacing w:after="60"/>
      <w:ind w:left="-2268"/>
    </w:pPr>
    <w:rPr>
      <w:b/>
    </w:rPr>
  </w:style>
  <w:style w:type="paragraph" w:customStyle="1" w:styleId="Heading1TOC">
    <w:name w:val="Heading1 TOC"/>
    <w:basedOn w:val="Normal"/>
    <w:qFormat/>
    <w:rsid w:val="00566B26"/>
    <w:pPr>
      <w:spacing w:before="240" w:after="120"/>
    </w:pPr>
    <w:rPr>
      <w:rFonts w:ascii="Times New Roman" w:hAnsi="Times New Roman"/>
      <w:b/>
      <w:sz w:val="32"/>
    </w:rPr>
  </w:style>
  <w:style w:type="paragraph" w:customStyle="1" w:styleId="Heading2TOC">
    <w:name w:val="Heading2 TOC"/>
    <w:basedOn w:val="Normal"/>
    <w:qFormat/>
    <w:rsid w:val="00566B26"/>
    <w:pPr>
      <w:spacing w:before="240" w:after="60"/>
    </w:pPr>
    <w:rPr>
      <w:rFonts w:ascii="Times New Roman" w:hAnsi="Times New Roman"/>
      <w:b/>
      <w:sz w:val="28"/>
    </w:rPr>
  </w:style>
  <w:style w:type="character" w:customStyle="1" w:styleId="Underline">
    <w:name w:val="Underline"/>
    <w:basedOn w:val="DefaultParagraphFont"/>
    <w:qFormat/>
    <w:rsid w:val="00566B26"/>
    <w:rPr>
      <w:u w:val="single"/>
    </w:rPr>
  </w:style>
  <w:style w:type="character" w:customStyle="1" w:styleId="BoldandItalics">
    <w:name w:val="Bold and Italics"/>
    <w:qFormat/>
    <w:rsid w:val="00566B26"/>
    <w:rPr>
      <w:b/>
      <w:i/>
      <w:u w:val="none"/>
    </w:rPr>
  </w:style>
  <w:style w:type="paragraph" w:styleId="BalloonText">
    <w:name w:val="Balloon Text"/>
    <w:basedOn w:val="Normal"/>
    <w:link w:val="BalloonTextChar"/>
    <w:rsid w:val="00566B26"/>
    <w:rPr>
      <w:rFonts w:ascii="Tahoma" w:hAnsi="Tahoma" w:cs="Tahoma"/>
      <w:sz w:val="16"/>
      <w:szCs w:val="16"/>
    </w:rPr>
  </w:style>
  <w:style w:type="character" w:customStyle="1" w:styleId="BalloonTextChar">
    <w:name w:val="Balloon Text Char"/>
    <w:basedOn w:val="DefaultParagraphFont"/>
    <w:link w:val="BalloonText"/>
    <w:rsid w:val="00566B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6B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6B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6B26"/>
    <w:rPr>
      <w:b/>
      <w:color w:val="660033"/>
      <w:spacing w:val="0"/>
    </w:rPr>
  </w:style>
  <w:style w:type="paragraph" w:customStyle="1" w:styleId="Nameditemlist">
    <w:name w:val="Named item list"/>
    <w:basedOn w:val="BodyText"/>
    <w:qFormat/>
    <w:rsid w:val="00566B26"/>
    <w:pPr>
      <w:tabs>
        <w:tab w:val="left" w:pos="2835"/>
      </w:tabs>
      <w:ind w:left="2835" w:hanging="2835"/>
    </w:pPr>
  </w:style>
  <w:style w:type="paragraph" w:customStyle="1" w:styleId="BodyTextnopadding">
    <w:name w:val="Body Text no padding"/>
    <w:basedOn w:val="BodyText"/>
    <w:qFormat/>
    <w:rsid w:val="00566B26"/>
    <w:pPr>
      <w:spacing w:before="0" w:after="0"/>
    </w:pPr>
  </w:style>
  <w:style w:type="paragraph" w:customStyle="1" w:styleId="BodyTextBold">
    <w:name w:val="Body Text Bold"/>
    <w:basedOn w:val="BodyText"/>
    <w:qFormat/>
    <w:rsid w:val="00566B26"/>
    <w:rPr>
      <w:b/>
    </w:rPr>
  </w:style>
  <w:style w:type="character" w:styleId="Hyperlink">
    <w:name w:val="Hyperlink"/>
    <w:basedOn w:val="DefaultParagraphFont"/>
    <w:uiPriority w:val="99"/>
    <w:unhideWhenUsed/>
    <w:rsid w:val="00BF1B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1030</Words>
  <Characters>6254</Characters>
  <Application>Microsoft Office Word</Application>
  <DocSecurity>0</DocSecurity>
  <Lines>416</Lines>
  <Paragraphs>214</Paragraphs>
  <ScaleCrop>false</ScaleCrop>
  <Company>Author-it Software Corporation Ltd.</Company>
  <LinksUpToDate>false</LinksUpToDate>
  <CharactersWithSpaces>7070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MARL019 Apply advanced principles of marine engineering thermodynamics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2020-10-27T00:47:00Z</dcterms:created>
  <dcterms:modified xsi:type="dcterms:W3CDTF">2020-10-27T00:47:00Z</dcterms:modified>
</cp:coreProperties>
</file>