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09AA" w:rsidP="004A09AA">
      <w:pPr>
        <w:pStyle w:val="Title"/>
      </w:pPr>
      <w:r>
        <w:fldChar w:fldCharType="begin"/>
      </w:r>
      <w:r>
        <w:instrText xml:space="preserve"> TITLE   \* MERGEFORMAT </w:instrText>
      </w:r>
      <w:r>
        <w:fldChar w:fldCharType="separate"/>
      </w:r>
      <w:r>
        <w:t>MARL017 Apply intermediate principles of naval architecture</w:t>
      </w:r>
      <w:r>
        <w:fldChar w:fldCharType="end"/>
      </w:r>
    </w:p>
    <w:p w:rsidR="004A09AA" w:rsidP="004A09AA">
      <w:pPr>
        <w:pStyle w:val="Version"/>
        <w:sectPr w:rsidSect="006577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77DE" w:rsidP="006577DE">
      <w:pPr>
        <w:pStyle w:val="SuperHeading"/>
      </w:pPr>
      <w:r w:rsidRPr="006577DE">
        <w:t>MARL017 Apply intermediate principles of naval architecture</w:t>
      </w:r>
    </w:p>
    <w:p w:rsidR="00000000" w:rsidRPr="006577DE" w:rsidP="006577DE">
      <w:pPr>
        <w:pStyle w:val="Heading1"/>
      </w:pPr>
      <w:bookmarkStart w:id="1" w:name="O_661487"/>
      <w:bookmarkEnd w:id="1"/>
      <w:r w:rsidRPr="006577DE">
        <w:t>Modification History</w:t>
      </w:r>
    </w:p>
    <w:p w:rsidR="00000000" w:rsidRPr="006577DE" w:rsidP="004A09AA">
      <w:pPr>
        <w:pStyle w:val="BodyText"/>
      </w:pPr>
      <w:r w:rsidRPr="006577DE">
        <w:t>Release 1. New unit of competency.</w:t>
      </w:r>
    </w:p>
    <w:p w:rsidR="00000000" w:rsidRPr="006577DE" w:rsidP="006577DE">
      <w:pPr>
        <w:pStyle w:val="Heading1"/>
      </w:pPr>
      <w:bookmarkStart w:id="2" w:name="O_661488"/>
      <w:bookmarkEnd w:id="2"/>
      <w:r w:rsidRPr="006577DE">
        <w:t>Application</w:t>
      </w:r>
    </w:p>
    <w:p w:rsidR="00000000" w:rsidRPr="006577DE" w:rsidP="004A09AA">
      <w:pPr>
        <w:pStyle w:val="BodyText"/>
      </w:pPr>
      <w:r w:rsidRPr="006577DE">
        <w:t>This unit involves the skills and knowledge required to perform intermediate calculations related to the seaworthiness of commercial vessels, including tho</w:t>
      </w:r>
      <w:r w:rsidRPr="006577DE">
        <w:t>se dealing with vessel stability, fuel consumption, power and symmetrical flooding.</w:t>
      </w:r>
    </w:p>
    <w:p w:rsidR="00000000" w:rsidRPr="006577DE" w:rsidP="004A09AA">
      <w:pPr>
        <w:pStyle w:val="BodyText"/>
      </w:pPr>
      <w:r w:rsidRPr="006577DE">
        <w:t>This unit applies to the work of a Marine Engineers Class 2 and forms part of the requirements for the Certificate of Competency Marine Engineer Class 2 issued by the Aust</w:t>
      </w:r>
      <w:r w:rsidRPr="006577DE">
        <w:t>ralian Maritime Safety Authority (AMSA).</w:t>
      </w:r>
    </w:p>
    <w:p w:rsidR="00000000" w:rsidRPr="006577DE" w:rsidP="004A09AA">
      <w:pPr>
        <w:pStyle w:val="BodyText"/>
      </w:pPr>
      <w:r w:rsidRPr="006577DE">
        <w:t>No licensing, legislative or certification requirements apply to this unit at the time of publication.</w:t>
      </w:r>
    </w:p>
    <w:p w:rsidR="00000000" w:rsidRPr="006577DE" w:rsidP="006577DE">
      <w:pPr>
        <w:pStyle w:val="Heading1"/>
      </w:pPr>
      <w:bookmarkStart w:id="3" w:name="O_661489"/>
      <w:bookmarkEnd w:id="3"/>
      <w:r w:rsidRPr="006577DE">
        <w:t>Pre-requisite Unit</w:t>
      </w:r>
    </w:p>
    <w:p w:rsidR="00000000" w:rsidRPr="006577DE" w:rsidP="004A09AA">
      <w:pPr>
        <w:pStyle w:val="BodyText"/>
      </w:pPr>
      <w:r w:rsidRPr="006577DE">
        <w:t>Not applicable.</w:t>
      </w:r>
    </w:p>
    <w:p w:rsidR="00000000" w:rsidRPr="006577DE" w:rsidP="006577DE">
      <w:pPr>
        <w:pStyle w:val="Heading1"/>
      </w:pPr>
      <w:bookmarkStart w:id="4" w:name="O_661490"/>
      <w:bookmarkEnd w:id="4"/>
      <w:r w:rsidRPr="006577DE">
        <w:t>Competency Field</w:t>
      </w:r>
    </w:p>
    <w:p w:rsidR="00000000" w:rsidRPr="006577DE" w:rsidP="004A09AA">
      <w:pPr>
        <w:pStyle w:val="BodyText"/>
      </w:pPr>
      <w:r w:rsidRPr="006577DE">
        <w:t>L – Marine Engineering</w:t>
      </w:r>
    </w:p>
    <w:p w:rsidR="00000000" w:rsidRPr="006577DE" w:rsidP="006577DE">
      <w:pPr>
        <w:pStyle w:val="Heading1"/>
      </w:pPr>
      <w:bookmarkStart w:id="5" w:name="O_661491"/>
      <w:bookmarkEnd w:id="5"/>
      <w:r w:rsidRPr="006577DE">
        <w:t>Unit Sector</w:t>
      </w:r>
    </w:p>
    <w:p w:rsidR="00000000" w:rsidRPr="006577DE" w:rsidP="004A09AA">
      <w:pPr>
        <w:pStyle w:val="BodyText"/>
      </w:pPr>
      <w:r w:rsidRPr="006577DE">
        <w:t>Not applicable.</w:t>
      </w:r>
    </w:p>
    <w:p w:rsidR="00000000" w:rsidRPr="006577DE" w:rsidP="006577DE">
      <w:pPr>
        <w:pStyle w:val="Heading1"/>
      </w:pPr>
      <w:bookmarkStart w:id="6" w:name="O_661492"/>
      <w:bookmarkEnd w:id="6"/>
      <w:r w:rsidRPr="006577DE">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4A09AA">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6577DE">
            <w:pPr>
              <w:pStyle w:val="BodyText"/>
              <w:rPr>
                <w:lang w:val="en-NZ"/>
              </w:rPr>
            </w:pPr>
            <w:r w:rsidRPr="006577DE">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6577DE">
            <w:pPr>
              <w:pStyle w:val="BodyText"/>
              <w:rPr>
                <w:lang w:val="en-NZ"/>
              </w:rPr>
            </w:pPr>
            <w:r w:rsidRPr="006577DE">
              <w:t>Performance criteria describe the performance needed to demonstrate achievement of the element.</w:t>
            </w:r>
          </w:p>
        </w:tc>
      </w:tr>
      <w:tr w:rsidTr="004A09A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6577DE" w:rsidP="006577DE">
            <w:pPr>
              <w:pStyle w:val="BodyText"/>
            </w:pPr>
            <w:r w:rsidRPr="006577DE">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RPr="006577DE" w:rsidP="006577DE">
            <w:pPr>
              <w:pStyle w:val="BodyText"/>
            </w:pPr>
            <w:r w:rsidRPr="006577DE">
              <w:rPr>
                <w:rStyle w:val="SpecialBold"/>
              </w:rPr>
              <w:t>Calculate shipboard areas, volumes and displacement</w:t>
            </w:r>
          </w:p>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577DE">
            <w:pPr>
              <w:pStyle w:val="BodyText"/>
              <w:rPr>
                <w:lang w:val="en-NZ"/>
              </w:rPr>
            </w:pPr>
            <w:r w:rsidRPr="006577DE">
              <w:t>1.1</w:t>
            </w:r>
          </w:p>
        </w:tc>
        <w:tc>
          <w:tcPr>
            <w:tcW w:w="6045" w:type="dxa"/>
            <w:tcBorders>
              <w:top w:val="nil"/>
              <w:left w:val="nil"/>
              <w:bottom w:val="nil"/>
              <w:right w:val="nil"/>
            </w:tcBorders>
            <w:tcMar>
              <w:top w:w="0" w:type="dxa"/>
              <w:left w:w="62" w:type="dxa"/>
              <w:bottom w:w="0" w:type="dxa"/>
              <w:right w:w="62" w:type="dxa"/>
            </w:tcMar>
          </w:tcPr>
          <w:p w:rsidR="00000000" w:rsidP="006577DE">
            <w:pPr>
              <w:pStyle w:val="BodyText"/>
              <w:rPr>
                <w:lang w:val="en-NZ"/>
              </w:rPr>
            </w:pPr>
            <w:r w:rsidRPr="006577DE">
              <w:t>Simpson’s Rules are applied to find typical and non-conforming shipboard areas</w:t>
            </w:r>
          </w:p>
        </w:tc>
      </w:tr>
      <w:tr w:rsidTr="004A09A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577DE">
            <w:pPr>
              <w:pStyle w:val="BodyText"/>
              <w:rPr>
                <w:lang w:val="en-NZ"/>
              </w:rPr>
            </w:pPr>
            <w:r w:rsidRPr="006577DE">
              <w:t>1.2</w:t>
            </w:r>
          </w:p>
        </w:tc>
        <w:tc>
          <w:tcPr>
            <w:tcW w:w="6045" w:type="dxa"/>
            <w:tcBorders>
              <w:top w:val="nil"/>
              <w:left w:val="nil"/>
              <w:bottom w:val="nil"/>
              <w:right w:val="nil"/>
            </w:tcBorders>
            <w:tcMar>
              <w:top w:w="0" w:type="dxa"/>
              <w:left w:w="62" w:type="dxa"/>
              <w:bottom w:w="0" w:type="dxa"/>
              <w:right w:w="62" w:type="dxa"/>
            </w:tcMar>
          </w:tcPr>
          <w:p w:rsidR="00000000" w:rsidP="006577DE">
            <w:pPr>
              <w:pStyle w:val="BodyText"/>
              <w:rPr>
                <w:lang w:val="en-NZ"/>
              </w:rPr>
            </w:pPr>
            <w:r w:rsidRPr="006577DE">
              <w:t xml:space="preserve">Simpson’s Rules are applied to calculate water plane areas or transverse sectional areas to determine underwater </w:t>
            </w:r>
            <w:r w:rsidRPr="006577DE">
              <w:t>volumes</w:t>
            </w:r>
          </w:p>
        </w:tc>
      </w:tr>
      <w:tr w:rsidTr="004A09A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577DE">
            <w:pPr>
              <w:pStyle w:val="BodyText"/>
              <w:rPr>
                <w:lang w:val="en-NZ"/>
              </w:rPr>
            </w:pPr>
            <w:r w:rsidRPr="006577DE">
              <w:t>1.3</w:t>
            </w:r>
          </w:p>
        </w:tc>
        <w:tc>
          <w:tcPr>
            <w:tcW w:w="6045" w:type="dxa"/>
            <w:tcBorders>
              <w:top w:val="nil"/>
              <w:left w:val="nil"/>
              <w:bottom w:val="nil"/>
              <w:right w:val="nil"/>
            </w:tcBorders>
            <w:tcMar>
              <w:top w:w="0" w:type="dxa"/>
              <w:left w:w="62" w:type="dxa"/>
              <w:bottom w:w="0" w:type="dxa"/>
              <w:right w:w="62" w:type="dxa"/>
            </w:tcMar>
          </w:tcPr>
          <w:p w:rsidR="00000000" w:rsidP="006577DE">
            <w:pPr>
              <w:pStyle w:val="BodyText"/>
              <w:rPr>
                <w:lang w:val="en-NZ"/>
              </w:rPr>
            </w:pPr>
            <w:r w:rsidRPr="006577DE">
              <w:t>Simpson’s Rules are applied to immersed tonnes per centimetre values to determine displacement</w:t>
            </w:r>
          </w:p>
        </w:tc>
      </w:tr>
      <w:tr w:rsidTr="004A09A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577DE">
            <w:pPr>
              <w:pStyle w:val="BodyText"/>
              <w:rPr>
                <w:lang w:val="en-NZ"/>
              </w:rPr>
            </w:pPr>
            <w:r w:rsidRPr="006577DE">
              <w:t>1.4</w:t>
            </w:r>
          </w:p>
        </w:tc>
        <w:tc>
          <w:tcPr>
            <w:tcW w:w="6045" w:type="dxa"/>
            <w:tcBorders>
              <w:top w:val="nil"/>
              <w:left w:val="nil"/>
              <w:bottom w:val="nil"/>
              <w:right w:val="nil"/>
            </w:tcBorders>
            <w:tcMar>
              <w:top w:w="0" w:type="dxa"/>
              <w:left w:w="62" w:type="dxa"/>
              <w:bottom w:w="0" w:type="dxa"/>
              <w:right w:w="62" w:type="dxa"/>
            </w:tcMar>
          </w:tcPr>
          <w:p w:rsidR="00000000" w:rsidP="006577DE">
            <w:pPr>
              <w:pStyle w:val="BodyText"/>
              <w:rPr>
                <w:lang w:val="en-NZ"/>
              </w:rPr>
            </w:pPr>
            <w:r w:rsidRPr="006577DE">
              <w:t>Tonnes per centimetre is applied to determine change in mean draught due to addition or removal of mass</w:t>
            </w:r>
          </w:p>
        </w:tc>
      </w:tr>
      <w:tr w:rsidTr="004A09A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6577DE" w:rsidP="006577DE">
            <w:pPr>
              <w:pStyle w:val="BodyText"/>
            </w:pPr>
            <w:r w:rsidRPr="006577DE">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RPr="006577DE" w:rsidP="006577DE">
            <w:pPr>
              <w:pStyle w:val="BodyText"/>
            </w:pPr>
            <w:r w:rsidRPr="006577DE">
              <w:rPr>
                <w:rStyle w:val="SpecialBold"/>
              </w:rPr>
              <w:t>Calculate coefficients of form and changes in draught associated with fluid density</w:t>
            </w:r>
          </w:p>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577DE">
            <w:pPr>
              <w:pStyle w:val="BodyText"/>
              <w:rPr>
                <w:lang w:val="en-NZ"/>
              </w:rPr>
            </w:pPr>
            <w:r w:rsidRPr="006577DE">
              <w:t>2.1</w:t>
            </w:r>
          </w:p>
        </w:tc>
        <w:tc>
          <w:tcPr>
            <w:tcW w:w="6045" w:type="dxa"/>
            <w:tcBorders>
              <w:top w:val="nil"/>
              <w:left w:val="nil"/>
              <w:bottom w:val="nil"/>
              <w:right w:val="nil"/>
            </w:tcBorders>
            <w:tcMar>
              <w:top w:w="0" w:type="dxa"/>
              <w:left w:w="62" w:type="dxa"/>
              <w:bottom w:w="0" w:type="dxa"/>
              <w:right w:w="62" w:type="dxa"/>
            </w:tcMar>
          </w:tcPr>
          <w:p w:rsidR="00000000" w:rsidP="006577DE">
            <w:pPr>
              <w:pStyle w:val="BodyText"/>
              <w:rPr>
                <w:lang w:val="en-NZ"/>
              </w:rPr>
            </w:pPr>
            <w:r w:rsidRPr="006577DE">
              <w:t>Application of coefficients of form are identified and explained</w:t>
            </w:r>
          </w:p>
        </w:tc>
      </w:tr>
      <w:tr w:rsidTr="004A09A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577DE">
            <w:pPr>
              <w:pStyle w:val="BodyText"/>
              <w:rPr>
                <w:lang w:val="en-NZ"/>
              </w:rPr>
            </w:pPr>
            <w:r w:rsidRPr="006577DE">
              <w:t>2.2</w:t>
            </w:r>
          </w:p>
        </w:tc>
        <w:tc>
          <w:tcPr>
            <w:tcW w:w="6045" w:type="dxa"/>
            <w:tcBorders>
              <w:top w:val="nil"/>
              <w:left w:val="nil"/>
              <w:bottom w:val="nil"/>
              <w:right w:val="nil"/>
            </w:tcBorders>
            <w:tcMar>
              <w:top w:w="0" w:type="dxa"/>
              <w:left w:w="62" w:type="dxa"/>
              <w:bottom w:w="0" w:type="dxa"/>
              <w:right w:w="62" w:type="dxa"/>
            </w:tcMar>
          </w:tcPr>
          <w:p w:rsidR="00000000" w:rsidP="006577DE">
            <w:pPr>
              <w:pStyle w:val="BodyText"/>
              <w:rPr>
                <w:lang w:val="en-NZ"/>
              </w:rPr>
            </w:pPr>
            <w:r w:rsidRPr="006577DE">
              <w:t>Problems are solved involving coefficients of form</w:t>
            </w:r>
          </w:p>
        </w:tc>
      </w:tr>
      <w:tr w:rsidTr="004A09A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577DE">
            <w:pPr>
              <w:pStyle w:val="BodyText"/>
              <w:rPr>
                <w:lang w:val="en-NZ"/>
              </w:rPr>
            </w:pPr>
            <w:r w:rsidRPr="006577DE">
              <w:t>2.3</w:t>
            </w:r>
          </w:p>
        </w:tc>
        <w:tc>
          <w:tcPr>
            <w:tcW w:w="6045" w:type="dxa"/>
            <w:tcBorders>
              <w:top w:val="nil"/>
              <w:left w:val="nil"/>
              <w:bottom w:val="nil"/>
              <w:right w:val="nil"/>
            </w:tcBorders>
            <w:tcMar>
              <w:top w:w="0" w:type="dxa"/>
              <w:left w:w="62" w:type="dxa"/>
              <w:bottom w:w="0" w:type="dxa"/>
              <w:right w:w="62" w:type="dxa"/>
            </w:tcMar>
          </w:tcPr>
          <w:p w:rsidR="00000000" w:rsidP="006577DE">
            <w:pPr>
              <w:pStyle w:val="BodyText"/>
              <w:rPr>
                <w:lang w:val="en-NZ"/>
              </w:rPr>
            </w:pPr>
            <w:r w:rsidRPr="006577DE">
              <w:t>Impact of hull modification on hull form coefficients is explained</w:t>
            </w:r>
          </w:p>
        </w:tc>
      </w:tr>
      <w:tr w:rsidTr="004A09A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577DE">
            <w:pPr>
              <w:pStyle w:val="BodyText"/>
              <w:rPr>
                <w:lang w:val="en-NZ"/>
              </w:rPr>
            </w:pPr>
            <w:r w:rsidRPr="006577DE">
              <w:t>2.4</w:t>
            </w:r>
          </w:p>
        </w:tc>
        <w:tc>
          <w:tcPr>
            <w:tcW w:w="6045" w:type="dxa"/>
            <w:tcBorders>
              <w:top w:val="nil"/>
              <w:left w:val="nil"/>
              <w:bottom w:val="nil"/>
              <w:right w:val="nil"/>
            </w:tcBorders>
            <w:tcMar>
              <w:top w:w="0" w:type="dxa"/>
              <w:left w:w="62" w:type="dxa"/>
              <w:bottom w:w="0" w:type="dxa"/>
              <w:right w:w="62" w:type="dxa"/>
            </w:tcMar>
          </w:tcPr>
          <w:p w:rsidR="00000000" w:rsidP="006577DE">
            <w:pPr>
              <w:pStyle w:val="BodyText"/>
              <w:rPr>
                <w:lang w:val="en-NZ"/>
              </w:rPr>
            </w:pPr>
            <w:r w:rsidRPr="006577DE">
              <w:t>Problems of coefficients of form are solved following change in length by mid body insertion/removal</w:t>
            </w:r>
          </w:p>
        </w:tc>
      </w:tr>
      <w:tr w:rsidTr="004A09A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577DE">
            <w:pPr>
              <w:pStyle w:val="BodyText"/>
              <w:rPr>
                <w:lang w:val="en-NZ"/>
              </w:rPr>
            </w:pPr>
            <w:r w:rsidRPr="006577DE">
              <w:t>2.5</w:t>
            </w:r>
          </w:p>
        </w:tc>
        <w:tc>
          <w:tcPr>
            <w:tcW w:w="6045" w:type="dxa"/>
            <w:tcBorders>
              <w:top w:val="nil"/>
              <w:left w:val="nil"/>
              <w:bottom w:val="nil"/>
              <w:right w:val="nil"/>
            </w:tcBorders>
            <w:tcMar>
              <w:top w:w="0" w:type="dxa"/>
              <w:left w:w="62" w:type="dxa"/>
              <w:bottom w:w="0" w:type="dxa"/>
              <w:right w:w="62" w:type="dxa"/>
            </w:tcMar>
          </w:tcPr>
          <w:p w:rsidR="00000000" w:rsidP="006577DE">
            <w:pPr>
              <w:pStyle w:val="BodyText"/>
              <w:rPr>
                <w:lang w:val="en-NZ"/>
              </w:rPr>
            </w:pPr>
            <w:r w:rsidRPr="006577DE">
              <w:t>Relationship between underwater volume/draught and fluid density is explained</w:t>
            </w:r>
          </w:p>
        </w:tc>
      </w:tr>
      <w:tr w:rsidTr="004A09A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577DE">
            <w:pPr>
              <w:pStyle w:val="BodyText"/>
              <w:rPr>
                <w:lang w:val="en-NZ"/>
              </w:rPr>
            </w:pPr>
            <w:r w:rsidRPr="006577DE">
              <w:t>2.6</w:t>
            </w:r>
          </w:p>
        </w:tc>
        <w:tc>
          <w:tcPr>
            <w:tcW w:w="6045" w:type="dxa"/>
            <w:tcBorders>
              <w:top w:val="nil"/>
              <w:left w:val="nil"/>
              <w:bottom w:val="nil"/>
              <w:right w:val="nil"/>
            </w:tcBorders>
            <w:tcMar>
              <w:top w:w="0" w:type="dxa"/>
              <w:left w:w="62" w:type="dxa"/>
              <w:bottom w:w="0" w:type="dxa"/>
              <w:right w:w="62" w:type="dxa"/>
            </w:tcMar>
          </w:tcPr>
          <w:p w:rsidR="00000000" w:rsidP="006577DE">
            <w:pPr>
              <w:pStyle w:val="BodyText"/>
              <w:rPr>
                <w:lang w:val="en-NZ"/>
              </w:rPr>
            </w:pPr>
            <w:r w:rsidRPr="006577DE">
              <w:t>Application of freeboard markings for Load Line Rules is explained</w:t>
            </w:r>
          </w:p>
        </w:tc>
      </w:tr>
      <w:tr w:rsidTr="004A09A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577DE">
            <w:pPr>
              <w:pStyle w:val="BodyText"/>
              <w:rPr>
                <w:lang w:val="en-NZ"/>
              </w:rPr>
            </w:pPr>
            <w:r w:rsidRPr="006577DE">
              <w:t>2.7</w:t>
            </w:r>
          </w:p>
        </w:tc>
        <w:tc>
          <w:tcPr>
            <w:tcW w:w="6045" w:type="dxa"/>
            <w:tcBorders>
              <w:top w:val="nil"/>
              <w:left w:val="nil"/>
              <w:bottom w:val="nil"/>
              <w:right w:val="nil"/>
            </w:tcBorders>
            <w:tcMar>
              <w:top w:w="0" w:type="dxa"/>
              <w:left w:w="62" w:type="dxa"/>
              <w:bottom w:w="0" w:type="dxa"/>
              <w:right w:w="62" w:type="dxa"/>
            </w:tcMar>
          </w:tcPr>
          <w:p w:rsidR="00000000" w:rsidP="006577DE">
            <w:pPr>
              <w:pStyle w:val="BodyText"/>
              <w:rPr>
                <w:lang w:val="en-NZ"/>
              </w:rPr>
            </w:pPr>
            <w:r w:rsidRPr="006577DE">
              <w:t>Density correction formula is defined</w:t>
            </w:r>
          </w:p>
        </w:tc>
      </w:tr>
      <w:tr w:rsidTr="004A09A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577DE">
            <w:pPr>
              <w:pStyle w:val="BodyText"/>
              <w:rPr>
                <w:lang w:val="en-NZ"/>
              </w:rPr>
            </w:pPr>
            <w:r w:rsidRPr="006577DE">
              <w:t>2.8</w:t>
            </w:r>
          </w:p>
        </w:tc>
        <w:tc>
          <w:tcPr>
            <w:tcW w:w="6045" w:type="dxa"/>
            <w:tcBorders>
              <w:top w:val="nil"/>
              <w:left w:val="nil"/>
              <w:bottom w:val="nil"/>
              <w:right w:val="nil"/>
            </w:tcBorders>
            <w:tcMar>
              <w:top w:w="0" w:type="dxa"/>
              <w:left w:w="62" w:type="dxa"/>
              <w:bottom w:w="0" w:type="dxa"/>
              <w:right w:w="62" w:type="dxa"/>
            </w:tcMar>
          </w:tcPr>
          <w:p w:rsidR="00000000" w:rsidP="006577DE">
            <w:pPr>
              <w:pStyle w:val="BodyText"/>
              <w:rPr>
                <w:lang w:val="en-NZ"/>
              </w:rPr>
            </w:pPr>
            <w:r w:rsidRPr="006577DE">
              <w:t>Change in mean draught due to change in density is c</w:t>
            </w:r>
            <w:r w:rsidRPr="006577DE">
              <w:t>alculated</w:t>
            </w:r>
          </w:p>
        </w:tc>
      </w:tr>
      <w:tr w:rsidTr="004A09A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6577DE" w:rsidP="006577DE">
            <w:pPr>
              <w:pStyle w:val="BodyText"/>
            </w:pPr>
            <w:r w:rsidRPr="006577DE">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RPr="006577DE" w:rsidP="006577DE">
            <w:pPr>
              <w:pStyle w:val="BodyText"/>
            </w:pPr>
            <w:r w:rsidRPr="006577DE">
              <w:rPr>
                <w:rStyle w:val="SpecialBold"/>
              </w:rPr>
              <w:t>Solve stability problems</w:t>
            </w:r>
          </w:p>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577DE">
            <w:pPr>
              <w:pStyle w:val="BodyText"/>
              <w:rPr>
                <w:lang w:val="en-NZ"/>
              </w:rPr>
            </w:pPr>
            <w:r w:rsidRPr="006577DE">
              <w:t>3.1</w:t>
            </w:r>
          </w:p>
        </w:tc>
        <w:tc>
          <w:tcPr>
            <w:tcW w:w="6045" w:type="dxa"/>
            <w:tcBorders>
              <w:top w:val="nil"/>
              <w:left w:val="nil"/>
              <w:bottom w:val="nil"/>
              <w:right w:val="nil"/>
            </w:tcBorders>
            <w:tcMar>
              <w:top w:w="0" w:type="dxa"/>
              <w:left w:w="62" w:type="dxa"/>
              <w:bottom w:w="0" w:type="dxa"/>
              <w:right w:w="62" w:type="dxa"/>
            </w:tcMar>
          </w:tcPr>
          <w:p w:rsidR="00000000" w:rsidP="006577DE">
            <w:pPr>
              <w:pStyle w:val="BodyText"/>
              <w:rPr>
                <w:lang w:val="en-NZ"/>
              </w:rPr>
            </w:pPr>
            <w:r w:rsidRPr="006577DE">
              <w:t>Effects of adding, removing and transferring mass on board or from a vessel are explained</w:t>
            </w:r>
          </w:p>
        </w:tc>
      </w:tr>
      <w:tr w:rsidTr="004A09A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577DE">
            <w:pPr>
              <w:pStyle w:val="BodyText"/>
              <w:rPr>
                <w:lang w:val="en-NZ"/>
              </w:rPr>
            </w:pPr>
            <w:r w:rsidRPr="006577DE">
              <w:t>3.2</w:t>
            </w:r>
          </w:p>
        </w:tc>
        <w:tc>
          <w:tcPr>
            <w:tcW w:w="6045" w:type="dxa"/>
            <w:tcBorders>
              <w:top w:val="nil"/>
              <w:left w:val="nil"/>
              <w:bottom w:val="nil"/>
              <w:right w:val="nil"/>
            </w:tcBorders>
            <w:tcMar>
              <w:top w:w="0" w:type="dxa"/>
              <w:left w:w="62" w:type="dxa"/>
              <w:bottom w:w="0" w:type="dxa"/>
              <w:right w:w="62" w:type="dxa"/>
            </w:tcMar>
          </w:tcPr>
          <w:p w:rsidR="00000000" w:rsidP="006577DE">
            <w:pPr>
              <w:pStyle w:val="BodyText"/>
              <w:rPr>
                <w:lang w:val="en-NZ"/>
              </w:rPr>
            </w:pPr>
            <w:r w:rsidRPr="006577DE">
              <w:t>Calculations are performed to solve problems involving suspended masses</w:t>
            </w:r>
          </w:p>
        </w:tc>
      </w:tr>
      <w:tr w:rsidTr="004A09A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577DE">
            <w:pPr>
              <w:pStyle w:val="BodyText"/>
              <w:rPr>
                <w:lang w:val="en-NZ"/>
              </w:rPr>
            </w:pPr>
            <w:r w:rsidRPr="006577DE">
              <w:t>3.3</w:t>
            </w:r>
          </w:p>
        </w:tc>
        <w:tc>
          <w:tcPr>
            <w:tcW w:w="6045" w:type="dxa"/>
            <w:tcBorders>
              <w:top w:val="nil"/>
              <w:left w:val="nil"/>
              <w:bottom w:val="nil"/>
              <w:right w:val="nil"/>
            </w:tcBorders>
            <w:tcMar>
              <w:top w:w="0" w:type="dxa"/>
              <w:left w:w="62" w:type="dxa"/>
              <w:bottom w:w="0" w:type="dxa"/>
              <w:right w:w="62" w:type="dxa"/>
            </w:tcMar>
          </w:tcPr>
          <w:p w:rsidR="00000000" w:rsidP="006577DE">
            <w:pPr>
              <w:pStyle w:val="BodyText"/>
              <w:rPr>
                <w:lang w:val="en-NZ"/>
              </w:rPr>
            </w:pPr>
            <w:r w:rsidRPr="006577DE">
              <w:t>Positive, neutral and negative stability are distinguish from each other</w:t>
            </w:r>
          </w:p>
        </w:tc>
      </w:tr>
      <w:tr w:rsidTr="004A09A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577DE">
            <w:pPr>
              <w:pStyle w:val="BodyText"/>
              <w:rPr>
                <w:lang w:val="en-NZ"/>
              </w:rPr>
            </w:pPr>
            <w:r w:rsidRPr="006577DE">
              <w:t>3.4</w:t>
            </w:r>
          </w:p>
        </w:tc>
        <w:tc>
          <w:tcPr>
            <w:tcW w:w="6045" w:type="dxa"/>
            <w:tcBorders>
              <w:top w:val="nil"/>
              <w:left w:val="nil"/>
              <w:bottom w:val="nil"/>
              <w:right w:val="nil"/>
            </w:tcBorders>
            <w:tcMar>
              <w:top w:w="0" w:type="dxa"/>
              <w:left w:w="62" w:type="dxa"/>
              <w:bottom w:w="0" w:type="dxa"/>
              <w:right w:w="62" w:type="dxa"/>
            </w:tcMar>
          </w:tcPr>
          <w:p w:rsidR="00000000" w:rsidP="006577DE">
            <w:pPr>
              <w:pStyle w:val="BodyText"/>
              <w:rPr>
                <w:lang w:val="en-NZ"/>
              </w:rPr>
            </w:pPr>
            <w:r w:rsidRPr="006577DE">
              <w:t>How centre of gravity is calculated for redistribution, addition and/or removal of masses is explained, including the use of derricks</w:t>
            </w:r>
          </w:p>
        </w:tc>
      </w:tr>
      <w:tr w:rsidTr="004A09A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577DE">
            <w:pPr>
              <w:pStyle w:val="BodyText"/>
              <w:rPr>
                <w:lang w:val="en-NZ"/>
              </w:rPr>
            </w:pPr>
            <w:r w:rsidRPr="006577DE">
              <w:t>3.5</w:t>
            </w:r>
          </w:p>
        </w:tc>
        <w:tc>
          <w:tcPr>
            <w:tcW w:w="6045" w:type="dxa"/>
            <w:tcBorders>
              <w:top w:val="nil"/>
              <w:left w:val="nil"/>
              <w:bottom w:val="nil"/>
              <w:right w:val="nil"/>
            </w:tcBorders>
            <w:tcMar>
              <w:top w:w="0" w:type="dxa"/>
              <w:left w:w="62" w:type="dxa"/>
              <w:bottom w:w="0" w:type="dxa"/>
              <w:right w:w="62" w:type="dxa"/>
            </w:tcMar>
          </w:tcPr>
          <w:p w:rsidR="00000000" w:rsidP="006577DE">
            <w:pPr>
              <w:pStyle w:val="BodyText"/>
              <w:rPr>
                <w:lang w:val="en-NZ"/>
              </w:rPr>
            </w:pPr>
            <w:r w:rsidRPr="006577DE">
              <w:t>Problems are solved involving vertical and horizontal movement of masses to calculate KG and GM for typical vessel loaded conditions, together with true shift in vessel centre of gravity between specified conditions and small angle transverse stability</w:t>
            </w:r>
          </w:p>
        </w:tc>
      </w:tr>
      <w:tr w:rsidTr="004A09A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577DE">
            <w:pPr>
              <w:pStyle w:val="BodyText"/>
              <w:rPr>
                <w:lang w:val="en-NZ"/>
              </w:rPr>
            </w:pPr>
            <w:r w:rsidRPr="006577DE">
              <w:t>3.6</w:t>
            </w:r>
          </w:p>
        </w:tc>
        <w:tc>
          <w:tcPr>
            <w:tcW w:w="6045" w:type="dxa"/>
            <w:tcBorders>
              <w:top w:val="nil"/>
              <w:left w:val="nil"/>
              <w:bottom w:val="nil"/>
              <w:right w:val="nil"/>
            </w:tcBorders>
            <w:tcMar>
              <w:top w:w="0" w:type="dxa"/>
              <w:left w:w="62" w:type="dxa"/>
              <w:bottom w:w="0" w:type="dxa"/>
              <w:right w:w="62" w:type="dxa"/>
            </w:tcMar>
          </w:tcPr>
          <w:p w:rsidR="00000000" w:rsidP="006577DE">
            <w:pPr>
              <w:pStyle w:val="BodyText"/>
              <w:rPr>
                <w:lang w:val="en-NZ"/>
              </w:rPr>
            </w:pPr>
            <w:r w:rsidRPr="006577DE">
              <w:t>Vessel righting moment and GZ are explained</w:t>
            </w:r>
          </w:p>
        </w:tc>
      </w:tr>
      <w:tr w:rsidTr="004A09A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577DE">
            <w:pPr>
              <w:pStyle w:val="BodyText"/>
              <w:rPr>
                <w:lang w:val="en-NZ"/>
              </w:rPr>
            </w:pPr>
            <w:r w:rsidRPr="006577DE">
              <w:t>3.7</w:t>
            </w:r>
          </w:p>
        </w:tc>
        <w:tc>
          <w:tcPr>
            <w:tcW w:w="6045" w:type="dxa"/>
            <w:tcBorders>
              <w:top w:val="nil"/>
              <w:left w:val="nil"/>
              <w:bottom w:val="nil"/>
              <w:right w:val="nil"/>
            </w:tcBorders>
            <w:tcMar>
              <w:top w:w="0" w:type="dxa"/>
              <w:left w:w="62" w:type="dxa"/>
              <w:bottom w:w="0" w:type="dxa"/>
              <w:right w:w="62" w:type="dxa"/>
            </w:tcMar>
          </w:tcPr>
          <w:p w:rsidR="00000000" w:rsidP="006577DE">
            <w:pPr>
              <w:pStyle w:val="BodyText"/>
              <w:rPr>
                <w:lang w:val="en-NZ"/>
              </w:rPr>
            </w:pPr>
            <w:r w:rsidRPr="006577DE">
              <w:t>Calculations are performed to solve problems of small angle transverse stability</w:t>
            </w:r>
          </w:p>
        </w:tc>
      </w:tr>
      <w:tr w:rsidTr="004A09A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577DE">
            <w:pPr>
              <w:pStyle w:val="BodyText"/>
              <w:rPr>
                <w:lang w:val="en-NZ"/>
              </w:rPr>
            </w:pPr>
            <w:r w:rsidRPr="006577DE">
              <w:t>3.8</w:t>
            </w:r>
          </w:p>
        </w:tc>
        <w:tc>
          <w:tcPr>
            <w:tcW w:w="6045" w:type="dxa"/>
            <w:tcBorders>
              <w:top w:val="nil"/>
              <w:left w:val="nil"/>
              <w:bottom w:val="nil"/>
              <w:right w:val="nil"/>
            </w:tcBorders>
            <w:tcMar>
              <w:top w:w="0" w:type="dxa"/>
              <w:left w:w="62" w:type="dxa"/>
              <w:bottom w:w="0" w:type="dxa"/>
              <w:right w:w="62" w:type="dxa"/>
            </w:tcMar>
          </w:tcPr>
          <w:p w:rsidR="00000000" w:rsidP="006577DE">
            <w:pPr>
              <w:pStyle w:val="BodyText"/>
              <w:rPr>
                <w:lang w:val="en-NZ"/>
              </w:rPr>
            </w:pPr>
            <w:r w:rsidRPr="006577DE">
              <w:t>Purpose of an Inclining Experiment is explained</w:t>
            </w:r>
          </w:p>
        </w:tc>
      </w:tr>
      <w:tr w:rsidTr="004A09A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577DE">
            <w:pPr>
              <w:pStyle w:val="BodyText"/>
              <w:rPr>
                <w:lang w:val="en-NZ"/>
              </w:rPr>
            </w:pPr>
            <w:r w:rsidRPr="006577DE">
              <w:t>3.9</w:t>
            </w:r>
          </w:p>
        </w:tc>
        <w:tc>
          <w:tcPr>
            <w:tcW w:w="6045" w:type="dxa"/>
            <w:tcBorders>
              <w:top w:val="nil"/>
              <w:left w:val="nil"/>
              <w:bottom w:val="nil"/>
              <w:right w:val="nil"/>
            </w:tcBorders>
            <w:tcMar>
              <w:top w:w="0" w:type="dxa"/>
              <w:left w:w="62" w:type="dxa"/>
              <w:bottom w:w="0" w:type="dxa"/>
              <w:right w:w="62" w:type="dxa"/>
            </w:tcMar>
          </w:tcPr>
          <w:p w:rsidR="00000000" w:rsidP="006577DE">
            <w:pPr>
              <w:pStyle w:val="BodyText"/>
              <w:rPr>
                <w:lang w:val="en-NZ"/>
              </w:rPr>
            </w:pPr>
            <w:r w:rsidRPr="006577DE">
              <w:t>Formula for determining initial stability characteristics is applied</w:t>
            </w:r>
          </w:p>
        </w:tc>
      </w:tr>
      <w:tr w:rsidTr="004A09A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577DE">
            <w:pPr>
              <w:pStyle w:val="BodyText"/>
              <w:rPr>
                <w:lang w:val="en-NZ"/>
              </w:rPr>
            </w:pPr>
            <w:r w:rsidRPr="006577DE">
              <w:t>3.10</w:t>
            </w:r>
          </w:p>
        </w:tc>
        <w:tc>
          <w:tcPr>
            <w:tcW w:w="6045" w:type="dxa"/>
            <w:tcBorders>
              <w:top w:val="nil"/>
              <w:left w:val="nil"/>
              <w:bottom w:val="nil"/>
              <w:right w:val="nil"/>
            </w:tcBorders>
            <w:tcMar>
              <w:top w:w="0" w:type="dxa"/>
              <w:left w:w="62" w:type="dxa"/>
              <w:bottom w:w="0" w:type="dxa"/>
              <w:right w:w="62" w:type="dxa"/>
            </w:tcMar>
          </w:tcPr>
          <w:p w:rsidR="00000000" w:rsidP="006577DE">
            <w:pPr>
              <w:pStyle w:val="BodyText"/>
              <w:rPr>
                <w:lang w:val="en-NZ"/>
              </w:rPr>
            </w:pPr>
            <w:r w:rsidRPr="006577DE">
              <w:t>Calculations are performed to solve problems using Inclining Experiments</w:t>
            </w:r>
          </w:p>
        </w:tc>
      </w:tr>
      <w:tr w:rsidTr="004A09A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6577DE" w:rsidP="006577DE">
            <w:pPr>
              <w:pStyle w:val="BodyText"/>
            </w:pPr>
            <w:r w:rsidRPr="006577DE">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RPr="006577DE" w:rsidP="006577DE">
            <w:pPr>
              <w:pStyle w:val="BodyText"/>
            </w:pPr>
            <w:r w:rsidRPr="006577DE">
              <w:rPr>
                <w:rStyle w:val="SpecialBold"/>
              </w:rPr>
              <w:t>Calculate loss of transverse stability due to fluid free surface</w:t>
            </w:r>
          </w:p>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577DE">
            <w:pPr>
              <w:pStyle w:val="BodyText"/>
              <w:rPr>
                <w:lang w:val="en-NZ"/>
              </w:rPr>
            </w:pPr>
            <w:r w:rsidRPr="006577DE">
              <w:t>4.1</w:t>
            </w:r>
          </w:p>
        </w:tc>
        <w:tc>
          <w:tcPr>
            <w:tcW w:w="6045" w:type="dxa"/>
            <w:tcBorders>
              <w:top w:val="nil"/>
              <w:left w:val="nil"/>
              <w:bottom w:val="nil"/>
              <w:right w:val="nil"/>
            </w:tcBorders>
            <w:tcMar>
              <w:top w:w="0" w:type="dxa"/>
              <w:left w:w="62" w:type="dxa"/>
              <w:bottom w:w="0" w:type="dxa"/>
              <w:right w:w="62" w:type="dxa"/>
            </w:tcMar>
          </w:tcPr>
          <w:p w:rsidR="00000000" w:rsidP="006577DE">
            <w:pPr>
              <w:pStyle w:val="BodyText"/>
              <w:rPr>
                <w:lang w:val="en-NZ"/>
              </w:rPr>
            </w:pPr>
            <w:r w:rsidRPr="006577DE">
              <w:t>Principles of liquid free surface</w:t>
            </w:r>
            <w:r w:rsidRPr="006577DE">
              <w:t xml:space="preserve"> are explained</w:t>
            </w:r>
          </w:p>
        </w:tc>
      </w:tr>
      <w:tr w:rsidTr="004A09A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577DE">
            <w:pPr>
              <w:pStyle w:val="BodyText"/>
              <w:rPr>
                <w:lang w:val="en-NZ"/>
              </w:rPr>
            </w:pPr>
            <w:r w:rsidRPr="006577DE">
              <w:t>4.2</w:t>
            </w:r>
          </w:p>
        </w:tc>
        <w:tc>
          <w:tcPr>
            <w:tcW w:w="6045" w:type="dxa"/>
            <w:tcBorders>
              <w:top w:val="nil"/>
              <w:left w:val="nil"/>
              <w:bottom w:val="nil"/>
              <w:right w:val="nil"/>
            </w:tcBorders>
            <w:tcMar>
              <w:top w:w="0" w:type="dxa"/>
              <w:left w:w="62" w:type="dxa"/>
              <w:bottom w:w="0" w:type="dxa"/>
              <w:right w:w="62" w:type="dxa"/>
            </w:tcMar>
          </w:tcPr>
          <w:p w:rsidR="00000000" w:rsidP="006577DE">
            <w:pPr>
              <w:pStyle w:val="BodyText"/>
              <w:rPr>
                <w:lang w:val="en-NZ"/>
              </w:rPr>
            </w:pPr>
            <w:r w:rsidRPr="006577DE">
              <w:t>Principles of metacentric height are explained</w:t>
            </w:r>
          </w:p>
        </w:tc>
      </w:tr>
      <w:tr w:rsidTr="004A09A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577DE">
            <w:pPr>
              <w:pStyle w:val="BodyText"/>
              <w:rPr>
                <w:lang w:val="en-NZ"/>
              </w:rPr>
            </w:pPr>
            <w:r w:rsidRPr="006577DE">
              <w:t>4.3</w:t>
            </w:r>
          </w:p>
        </w:tc>
        <w:tc>
          <w:tcPr>
            <w:tcW w:w="6045" w:type="dxa"/>
            <w:tcBorders>
              <w:top w:val="nil"/>
              <w:left w:val="nil"/>
              <w:bottom w:val="nil"/>
              <w:right w:val="nil"/>
            </w:tcBorders>
            <w:tcMar>
              <w:top w:w="0" w:type="dxa"/>
              <w:left w:w="62" w:type="dxa"/>
              <w:bottom w:w="0" w:type="dxa"/>
              <w:right w:w="62" w:type="dxa"/>
            </w:tcMar>
          </w:tcPr>
          <w:p w:rsidR="00000000" w:rsidP="006577DE">
            <w:pPr>
              <w:pStyle w:val="BodyText"/>
              <w:rPr>
                <w:lang w:val="en-NZ"/>
              </w:rPr>
            </w:pPr>
            <w:r w:rsidRPr="006577DE">
              <w:t>Centre of gravity solid is distinguished from centre of gravity fluid</w:t>
            </w:r>
          </w:p>
        </w:tc>
      </w:tr>
      <w:tr w:rsidTr="004A09A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577DE">
            <w:pPr>
              <w:pStyle w:val="BodyText"/>
              <w:rPr>
                <w:lang w:val="en-NZ"/>
              </w:rPr>
            </w:pPr>
            <w:r w:rsidRPr="006577DE">
              <w:t>4.4</w:t>
            </w:r>
          </w:p>
        </w:tc>
        <w:tc>
          <w:tcPr>
            <w:tcW w:w="6045" w:type="dxa"/>
            <w:tcBorders>
              <w:top w:val="nil"/>
              <w:left w:val="nil"/>
              <w:bottom w:val="nil"/>
              <w:right w:val="nil"/>
            </w:tcBorders>
            <w:tcMar>
              <w:top w:w="0" w:type="dxa"/>
              <w:left w:w="62" w:type="dxa"/>
              <w:bottom w:w="0" w:type="dxa"/>
              <w:right w:w="62" w:type="dxa"/>
            </w:tcMar>
          </w:tcPr>
          <w:p w:rsidR="00000000" w:rsidP="006577DE">
            <w:pPr>
              <w:pStyle w:val="BodyText"/>
              <w:rPr>
                <w:lang w:val="en-NZ"/>
              </w:rPr>
            </w:pPr>
            <w:r w:rsidRPr="006577DE">
              <w:t>Application of the second moment of area using parallel axis theorem to obtain free surface moment of inertia and use of density correction between vessel and free surface fluids is explained</w:t>
            </w:r>
          </w:p>
        </w:tc>
      </w:tr>
      <w:tr w:rsidTr="004A09A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577DE">
            <w:pPr>
              <w:pStyle w:val="BodyText"/>
              <w:rPr>
                <w:lang w:val="en-NZ"/>
              </w:rPr>
            </w:pPr>
            <w:r w:rsidRPr="006577DE">
              <w:t>4.5</w:t>
            </w:r>
          </w:p>
        </w:tc>
        <w:tc>
          <w:tcPr>
            <w:tcW w:w="6045" w:type="dxa"/>
            <w:tcBorders>
              <w:top w:val="nil"/>
              <w:left w:val="nil"/>
              <w:bottom w:val="nil"/>
              <w:right w:val="nil"/>
            </w:tcBorders>
            <w:tcMar>
              <w:top w:w="0" w:type="dxa"/>
              <w:left w:w="62" w:type="dxa"/>
              <w:bottom w:w="0" w:type="dxa"/>
              <w:right w:w="62" w:type="dxa"/>
            </w:tcMar>
          </w:tcPr>
          <w:p w:rsidR="00000000" w:rsidP="006577DE">
            <w:pPr>
              <w:pStyle w:val="BodyText"/>
              <w:rPr>
                <w:lang w:val="en-NZ"/>
              </w:rPr>
            </w:pPr>
            <w:r w:rsidRPr="006577DE">
              <w:t>Calculations are performed to solve problems of liquid free surface for simple compartments, including correction for free surface on metacentric height [GM] and fluid mass on centre of gravity [KG]</w:t>
            </w:r>
          </w:p>
        </w:tc>
      </w:tr>
      <w:tr w:rsidTr="004A09A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6577DE" w:rsidP="006577DE">
            <w:pPr>
              <w:pStyle w:val="BodyText"/>
            </w:pPr>
            <w:r w:rsidRPr="006577DE">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RPr="006577DE" w:rsidP="006577DE">
            <w:pPr>
              <w:pStyle w:val="BodyText"/>
            </w:pPr>
            <w:r w:rsidRPr="006577DE">
              <w:rPr>
                <w:rStyle w:val="SpecialBold"/>
              </w:rPr>
              <w:t>Calculate centroids and solve problems of hydrostatics</w:t>
            </w:r>
          </w:p>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577DE">
            <w:pPr>
              <w:pStyle w:val="BodyText"/>
              <w:rPr>
                <w:lang w:val="en-NZ"/>
              </w:rPr>
            </w:pPr>
            <w:r w:rsidRPr="006577DE">
              <w:t>5.1</w:t>
            </w:r>
          </w:p>
        </w:tc>
        <w:tc>
          <w:tcPr>
            <w:tcW w:w="6045" w:type="dxa"/>
            <w:tcBorders>
              <w:top w:val="nil"/>
              <w:left w:val="nil"/>
              <w:bottom w:val="nil"/>
              <w:right w:val="nil"/>
            </w:tcBorders>
            <w:tcMar>
              <w:top w:w="0" w:type="dxa"/>
              <w:left w:w="62" w:type="dxa"/>
              <w:bottom w:w="0" w:type="dxa"/>
              <w:right w:w="62" w:type="dxa"/>
            </w:tcMar>
          </w:tcPr>
          <w:p w:rsidR="00000000" w:rsidP="006577DE">
            <w:pPr>
              <w:pStyle w:val="BodyText"/>
              <w:rPr>
                <w:lang w:val="en-NZ"/>
              </w:rPr>
            </w:pPr>
            <w:r w:rsidRPr="006577DE">
              <w:t>Importance of area and volume centroids and methods of determining KG, LCF, LCB and bulkhead area centroids is explained</w:t>
            </w:r>
          </w:p>
        </w:tc>
      </w:tr>
      <w:tr w:rsidTr="004A09A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577DE">
            <w:pPr>
              <w:pStyle w:val="BodyText"/>
              <w:rPr>
                <w:lang w:val="en-NZ"/>
              </w:rPr>
            </w:pPr>
            <w:r w:rsidRPr="006577DE">
              <w:t>5.2</w:t>
            </w:r>
          </w:p>
        </w:tc>
        <w:tc>
          <w:tcPr>
            <w:tcW w:w="6045" w:type="dxa"/>
            <w:tcBorders>
              <w:top w:val="nil"/>
              <w:left w:val="nil"/>
              <w:bottom w:val="nil"/>
              <w:right w:val="nil"/>
            </w:tcBorders>
            <w:tcMar>
              <w:top w:w="0" w:type="dxa"/>
              <w:left w:w="62" w:type="dxa"/>
              <w:bottom w:w="0" w:type="dxa"/>
              <w:right w:w="62" w:type="dxa"/>
            </w:tcMar>
          </w:tcPr>
          <w:p w:rsidR="00000000" w:rsidP="006577DE">
            <w:pPr>
              <w:pStyle w:val="BodyText"/>
              <w:rPr>
                <w:lang w:val="en-NZ"/>
              </w:rPr>
            </w:pPr>
            <w:r w:rsidRPr="006577DE">
              <w:t>Calculations are performed to solve problems related to area and volume centroids</w:t>
            </w:r>
          </w:p>
        </w:tc>
      </w:tr>
      <w:tr w:rsidTr="004A09A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577DE">
            <w:pPr>
              <w:pStyle w:val="BodyText"/>
              <w:rPr>
                <w:lang w:val="en-NZ"/>
              </w:rPr>
            </w:pPr>
            <w:r w:rsidRPr="006577DE">
              <w:t>5.3</w:t>
            </w:r>
          </w:p>
        </w:tc>
        <w:tc>
          <w:tcPr>
            <w:tcW w:w="6045" w:type="dxa"/>
            <w:tcBorders>
              <w:top w:val="nil"/>
              <w:left w:val="nil"/>
              <w:bottom w:val="nil"/>
              <w:right w:val="nil"/>
            </w:tcBorders>
            <w:tcMar>
              <w:top w:w="0" w:type="dxa"/>
              <w:left w:w="62" w:type="dxa"/>
              <w:bottom w:w="0" w:type="dxa"/>
              <w:right w:w="62" w:type="dxa"/>
            </w:tcMar>
          </w:tcPr>
          <w:p w:rsidR="00000000" w:rsidP="006577DE">
            <w:pPr>
              <w:pStyle w:val="BodyText"/>
              <w:rPr>
                <w:lang w:val="en-NZ"/>
              </w:rPr>
            </w:pPr>
            <w:r w:rsidRPr="006577DE">
              <w:t>Methods of calculating pressures and loads on typical tank structures for different filling rates, accidental flooding or tank testing are explained</w:t>
            </w:r>
          </w:p>
        </w:tc>
      </w:tr>
      <w:tr w:rsidTr="004A09A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577DE">
            <w:pPr>
              <w:pStyle w:val="BodyText"/>
              <w:rPr>
                <w:lang w:val="en-NZ"/>
              </w:rPr>
            </w:pPr>
            <w:r w:rsidRPr="006577DE">
              <w:t>5.4</w:t>
            </w:r>
          </w:p>
        </w:tc>
        <w:tc>
          <w:tcPr>
            <w:tcW w:w="6045" w:type="dxa"/>
            <w:tcBorders>
              <w:top w:val="nil"/>
              <w:left w:val="nil"/>
              <w:bottom w:val="nil"/>
              <w:right w:val="nil"/>
            </w:tcBorders>
            <w:tcMar>
              <w:top w:w="0" w:type="dxa"/>
              <w:left w:w="62" w:type="dxa"/>
              <w:bottom w:w="0" w:type="dxa"/>
              <w:right w:w="62" w:type="dxa"/>
            </w:tcMar>
          </w:tcPr>
          <w:p w:rsidR="00000000" w:rsidP="006577DE">
            <w:pPr>
              <w:pStyle w:val="BodyText"/>
              <w:rPr>
                <w:lang w:val="en-NZ"/>
              </w:rPr>
            </w:pPr>
            <w:r w:rsidRPr="006577DE">
              <w:t>Use of flat panel stiffeners and shear force reactions applicable to vertical bulkheads is explained</w:t>
            </w:r>
          </w:p>
        </w:tc>
      </w:tr>
      <w:tr w:rsidTr="004A09A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577DE">
            <w:pPr>
              <w:pStyle w:val="BodyText"/>
              <w:rPr>
                <w:lang w:val="en-NZ"/>
              </w:rPr>
            </w:pPr>
            <w:r w:rsidRPr="006577DE">
              <w:t>5.5</w:t>
            </w:r>
          </w:p>
        </w:tc>
        <w:tc>
          <w:tcPr>
            <w:tcW w:w="6045" w:type="dxa"/>
            <w:tcBorders>
              <w:top w:val="nil"/>
              <w:left w:val="nil"/>
              <w:bottom w:val="nil"/>
              <w:right w:val="nil"/>
            </w:tcBorders>
            <w:tcMar>
              <w:top w:w="0" w:type="dxa"/>
              <w:left w:w="62" w:type="dxa"/>
              <w:bottom w:w="0" w:type="dxa"/>
              <w:right w:w="62" w:type="dxa"/>
            </w:tcMar>
          </w:tcPr>
          <w:p w:rsidR="00000000" w:rsidP="006577DE">
            <w:pPr>
              <w:pStyle w:val="BodyText"/>
              <w:rPr>
                <w:lang w:val="en-NZ"/>
              </w:rPr>
            </w:pPr>
            <w:r w:rsidRPr="006577DE">
              <w:t>Calculations are performed to solve problems in hydrostatics relating to pressure and loads on ship structures, including bulkheads, stiffeners and shear forces</w:t>
            </w:r>
          </w:p>
        </w:tc>
      </w:tr>
      <w:tr w:rsidTr="004A09A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6577DE" w:rsidP="006577DE">
            <w:pPr>
              <w:pStyle w:val="BodyText"/>
            </w:pPr>
            <w:r w:rsidRPr="006577DE">
              <w:rPr>
                <w:rStyle w:val="SpecialBold"/>
              </w:rPr>
              <w:t>6</w:t>
            </w:r>
          </w:p>
        </w:tc>
        <w:tc>
          <w:tcPr>
            <w:tcW w:w="2303" w:type="dxa"/>
            <w:vMerge w:val="restart"/>
            <w:tcBorders>
              <w:top w:val="nil"/>
              <w:left w:val="nil"/>
              <w:bottom w:val="nil"/>
              <w:right w:val="nil"/>
            </w:tcBorders>
            <w:tcMar>
              <w:top w:w="0" w:type="dxa"/>
              <w:left w:w="62" w:type="dxa"/>
              <w:bottom w:w="0" w:type="dxa"/>
              <w:right w:w="62" w:type="dxa"/>
            </w:tcMar>
          </w:tcPr>
          <w:p w:rsidR="00000000" w:rsidRPr="006577DE" w:rsidP="006577DE">
            <w:pPr>
              <w:pStyle w:val="BodyText"/>
            </w:pPr>
            <w:r w:rsidRPr="006577DE">
              <w:rPr>
                <w:rStyle w:val="SpecialBold"/>
              </w:rPr>
              <w:t>Solve problems involving propellers and powering</w:t>
            </w:r>
          </w:p>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577DE">
            <w:pPr>
              <w:pStyle w:val="BodyText"/>
              <w:rPr>
                <w:lang w:val="en-NZ"/>
              </w:rPr>
            </w:pPr>
            <w:r w:rsidRPr="006577DE">
              <w:t>6.1</w:t>
            </w:r>
          </w:p>
        </w:tc>
        <w:tc>
          <w:tcPr>
            <w:tcW w:w="6045" w:type="dxa"/>
            <w:tcBorders>
              <w:top w:val="nil"/>
              <w:left w:val="nil"/>
              <w:bottom w:val="nil"/>
              <w:right w:val="nil"/>
            </w:tcBorders>
            <w:tcMar>
              <w:top w:w="0" w:type="dxa"/>
              <w:left w:w="62" w:type="dxa"/>
              <w:bottom w:w="0" w:type="dxa"/>
              <w:right w:w="62" w:type="dxa"/>
            </w:tcMar>
          </w:tcPr>
          <w:p w:rsidR="00000000" w:rsidP="006577DE">
            <w:pPr>
              <w:pStyle w:val="BodyText"/>
              <w:rPr>
                <w:lang w:val="en-NZ"/>
              </w:rPr>
            </w:pPr>
            <w:r w:rsidRPr="006577DE">
              <w:t>Factors that influence the spe</w:t>
            </w:r>
            <w:r w:rsidRPr="006577DE">
              <w:t>ed of advance are explained</w:t>
            </w:r>
          </w:p>
        </w:tc>
      </w:tr>
      <w:tr w:rsidTr="004A09A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577DE">
            <w:pPr>
              <w:pStyle w:val="BodyText"/>
              <w:rPr>
                <w:lang w:val="en-NZ"/>
              </w:rPr>
            </w:pPr>
            <w:r w:rsidRPr="006577DE">
              <w:t>6.2</w:t>
            </w:r>
          </w:p>
        </w:tc>
        <w:tc>
          <w:tcPr>
            <w:tcW w:w="6045" w:type="dxa"/>
            <w:tcBorders>
              <w:top w:val="nil"/>
              <w:left w:val="nil"/>
              <w:bottom w:val="nil"/>
              <w:right w:val="nil"/>
            </w:tcBorders>
            <w:tcMar>
              <w:top w:w="0" w:type="dxa"/>
              <w:left w:w="62" w:type="dxa"/>
              <w:bottom w:w="0" w:type="dxa"/>
              <w:right w:w="62" w:type="dxa"/>
            </w:tcMar>
          </w:tcPr>
          <w:p w:rsidR="00000000" w:rsidP="006577DE">
            <w:pPr>
              <w:pStyle w:val="BodyText"/>
              <w:rPr>
                <w:lang w:val="en-NZ"/>
              </w:rPr>
            </w:pPr>
            <w:r w:rsidRPr="006577DE">
              <w:t>Calculations are performed to solve problems of single screw vessels</w:t>
            </w:r>
          </w:p>
        </w:tc>
      </w:tr>
      <w:tr w:rsidTr="004A09A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577DE">
            <w:pPr>
              <w:pStyle w:val="BodyText"/>
              <w:rPr>
                <w:lang w:val="en-NZ"/>
              </w:rPr>
            </w:pPr>
            <w:r w:rsidRPr="006577DE">
              <w:t>6.3</w:t>
            </w:r>
          </w:p>
        </w:tc>
        <w:tc>
          <w:tcPr>
            <w:tcW w:w="6045" w:type="dxa"/>
            <w:tcBorders>
              <w:top w:val="nil"/>
              <w:left w:val="nil"/>
              <w:bottom w:val="nil"/>
              <w:right w:val="nil"/>
            </w:tcBorders>
            <w:tcMar>
              <w:top w:w="0" w:type="dxa"/>
              <w:left w:w="62" w:type="dxa"/>
              <w:bottom w:w="0" w:type="dxa"/>
              <w:right w:w="62" w:type="dxa"/>
            </w:tcMar>
          </w:tcPr>
          <w:p w:rsidR="00000000" w:rsidP="006577DE">
            <w:pPr>
              <w:pStyle w:val="BodyText"/>
              <w:rPr>
                <w:lang w:val="en-NZ"/>
              </w:rPr>
            </w:pPr>
            <w:r w:rsidRPr="006577DE">
              <w:t xml:space="preserve">Relationships between propulsive coefficient, quasi propulsive coefficient and related powers together with typical values of </w:t>
            </w:r>
            <w:r w:rsidRPr="006577DE">
              <w:t>losses for transmission, hull and propeller are explained</w:t>
            </w:r>
          </w:p>
        </w:tc>
      </w:tr>
      <w:tr w:rsidTr="004A09A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577DE">
            <w:pPr>
              <w:pStyle w:val="BodyText"/>
              <w:rPr>
                <w:lang w:val="en-NZ"/>
              </w:rPr>
            </w:pPr>
            <w:r w:rsidRPr="006577DE">
              <w:t>6.4</w:t>
            </w:r>
          </w:p>
        </w:tc>
        <w:tc>
          <w:tcPr>
            <w:tcW w:w="6045" w:type="dxa"/>
            <w:tcBorders>
              <w:top w:val="nil"/>
              <w:left w:val="nil"/>
              <w:bottom w:val="nil"/>
              <w:right w:val="nil"/>
            </w:tcBorders>
            <w:tcMar>
              <w:top w:w="0" w:type="dxa"/>
              <w:left w:w="62" w:type="dxa"/>
              <w:bottom w:w="0" w:type="dxa"/>
              <w:right w:w="62" w:type="dxa"/>
            </w:tcMar>
          </w:tcPr>
          <w:p w:rsidR="00000000" w:rsidP="006577DE">
            <w:pPr>
              <w:pStyle w:val="BodyText"/>
              <w:rPr>
                <w:lang w:val="en-NZ"/>
              </w:rPr>
            </w:pPr>
            <w:r w:rsidRPr="006577DE">
              <w:t>Components of hull resistance are explained</w:t>
            </w:r>
          </w:p>
        </w:tc>
      </w:tr>
      <w:tr w:rsidTr="004A09A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577DE">
            <w:pPr>
              <w:pStyle w:val="BodyText"/>
              <w:rPr>
                <w:lang w:val="en-NZ"/>
              </w:rPr>
            </w:pPr>
            <w:r w:rsidRPr="006577DE">
              <w:t>6.5</w:t>
            </w:r>
          </w:p>
        </w:tc>
        <w:tc>
          <w:tcPr>
            <w:tcW w:w="6045" w:type="dxa"/>
            <w:tcBorders>
              <w:top w:val="nil"/>
              <w:left w:val="nil"/>
              <w:bottom w:val="nil"/>
              <w:right w:val="nil"/>
            </w:tcBorders>
            <w:tcMar>
              <w:top w:w="0" w:type="dxa"/>
              <w:left w:w="62" w:type="dxa"/>
              <w:bottom w:w="0" w:type="dxa"/>
              <w:right w:w="62" w:type="dxa"/>
            </w:tcMar>
          </w:tcPr>
          <w:p w:rsidR="00000000" w:rsidP="006577DE">
            <w:pPr>
              <w:pStyle w:val="BodyText"/>
              <w:rPr>
                <w:lang w:val="en-NZ"/>
              </w:rPr>
            </w:pPr>
            <w:r w:rsidRPr="006577DE">
              <w:t>Calculations are performed to show impact of resistance augmentation and thrust deduction factors on powering of full size vessels</w:t>
            </w:r>
          </w:p>
        </w:tc>
      </w:tr>
      <w:tr w:rsidTr="004A09A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577DE">
            <w:pPr>
              <w:pStyle w:val="BodyText"/>
              <w:rPr>
                <w:lang w:val="en-NZ"/>
              </w:rPr>
            </w:pPr>
            <w:r w:rsidRPr="006577DE">
              <w:t>6.6</w:t>
            </w:r>
          </w:p>
        </w:tc>
        <w:tc>
          <w:tcPr>
            <w:tcW w:w="6045" w:type="dxa"/>
            <w:tcBorders>
              <w:top w:val="nil"/>
              <w:left w:val="nil"/>
              <w:bottom w:val="nil"/>
              <w:right w:val="nil"/>
            </w:tcBorders>
            <w:tcMar>
              <w:top w:w="0" w:type="dxa"/>
              <w:left w:w="62" w:type="dxa"/>
              <w:bottom w:w="0" w:type="dxa"/>
              <w:right w:w="62" w:type="dxa"/>
            </w:tcMar>
          </w:tcPr>
          <w:p w:rsidR="00000000" w:rsidP="006577DE">
            <w:pPr>
              <w:pStyle w:val="BodyText"/>
              <w:rPr>
                <w:lang w:val="en-NZ"/>
              </w:rPr>
            </w:pPr>
            <w:r w:rsidRPr="006577DE">
              <w:t>Causes, effects and methods of reducing cavitation are explained</w:t>
            </w:r>
          </w:p>
        </w:tc>
      </w:tr>
      <w:tr w:rsidTr="004A09A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6577DE" w:rsidP="006577DE">
            <w:pPr>
              <w:pStyle w:val="BodyText"/>
            </w:pPr>
            <w:r w:rsidRPr="006577DE">
              <w:rPr>
                <w:rStyle w:val="SpecialBold"/>
              </w:rPr>
              <w:t>7</w:t>
            </w:r>
          </w:p>
        </w:tc>
        <w:tc>
          <w:tcPr>
            <w:tcW w:w="2303" w:type="dxa"/>
            <w:vMerge w:val="restart"/>
            <w:tcBorders>
              <w:top w:val="nil"/>
              <w:left w:val="nil"/>
              <w:bottom w:val="nil"/>
              <w:right w:val="nil"/>
            </w:tcBorders>
            <w:tcMar>
              <w:top w:w="0" w:type="dxa"/>
              <w:left w:w="62" w:type="dxa"/>
              <w:bottom w:w="0" w:type="dxa"/>
              <w:right w:w="62" w:type="dxa"/>
            </w:tcMar>
          </w:tcPr>
          <w:p w:rsidR="00000000" w:rsidP="006577DE">
            <w:pPr>
              <w:pStyle w:val="BodyText"/>
              <w:rPr>
                <w:lang w:val="en-NZ"/>
              </w:rPr>
            </w:pPr>
            <w:r w:rsidRPr="006577DE">
              <w:rPr>
                <w:rStyle w:val="SpecialBold"/>
              </w:rPr>
              <w:t>Calculate voyage and daily fuel consumptions</w:t>
            </w:r>
          </w:p>
        </w:tc>
        <w:tc>
          <w:tcPr>
            <w:tcW w:w="719" w:type="dxa"/>
            <w:tcBorders>
              <w:top w:val="nil"/>
              <w:left w:val="nil"/>
              <w:bottom w:val="nil"/>
              <w:right w:val="nil"/>
            </w:tcBorders>
            <w:tcMar>
              <w:top w:w="0" w:type="dxa"/>
              <w:left w:w="62" w:type="dxa"/>
              <w:bottom w:w="0" w:type="dxa"/>
              <w:right w:w="62" w:type="dxa"/>
            </w:tcMar>
          </w:tcPr>
          <w:p w:rsidR="00000000" w:rsidP="006577DE">
            <w:pPr>
              <w:pStyle w:val="BodyText"/>
              <w:rPr>
                <w:lang w:val="en-NZ"/>
              </w:rPr>
            </w:pPr>
            <w:r w:rsidRPr="006577DE">
              <w:t>7.1</w:t>
            </w:r>
          </w:p>
        </w:tc>
        <w:tc>
          <w:tcPr>
            <w:tcW w:w="6045" w:type="dxa"/>
            <w:tcBorders>
              <w:top w:val="nil"/>
              <w:left w:val="nil"/>
              <w:bottom w:val="nil"/>
              <w:right w:val="nil"/>
            </w:tcBorders>
            <w:tcMar>
              <w:top w:w="0" w:type="dxa"/>
              <w:left w:w="62" w:type="dxa"/>
              <w:bottom w:w="0" w:type="dxa"/>
              <w:right w:w="62" w:type="dxa"/>
            </w:tcMar>
          </w:tcPr>
          <w:p w:rsidR="00000000" w:rsidP="006577DE">
            <w:pPr>
              <w:pStyle w:val="BodyText"/>
              <w:rPr>
                <w:lang w:val="en-NZ"/>
              </w:rPr>
            </w:pPr>
            <w:r w:rsidRPr="006577DE">
              <w:t>Admiralty coefficient for fuel consumption is stated taking account of values for ship speed, shaft power and displacement</w:t>
            </w:r>
          </w:p>
        </w:tc>
      </w:tr>
      <w:tr w:rsidTr="004A09A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577DE">
            <w:pPr>
              <w:pStyle w:val="BodyText"/>
              <w:rPr>
                <w:lang w:val="en-NZ"/>
              </w:rPr>
            </w:pPr>
            <w:r w:rsidRPr="006577DE">
              <w:t>7.2</w:t>
            </w:r>
          </w:p>
        </w:tc>
        <w:tc>
          <w:tcPr>
            <w:tcW w:w="6045" w:type="dxa"/>
            <w:tcBorders>
              <w:top w:val="nil"/>
              <w:left w:val="nil"/>
              <w:bottom w:val="nil"/>
              <w:right w:val="nil"/>
            </w:tcBorders>
            <w:tcMar>
              <w:top w:w="0" w:type="dxa"/>
              <w:left w:w="62" w:type="dxa"/>
              <w:bottom w:w="0" w:type="dxa"/>
              <w:right w:w="62" w:type="dxa"/>
            </w:tcMar>
          </w:tcPr>
          <w:p w:rsidR="00000000" w:rsidP="006577DE">
            <w:pPr>
              <w:pStyle w:val="BodyText"/>
              <w:rPr>
                <w:lang w:val="en-NZ"/>
              </w:rPr>
            </w:pPr>
            <w:r w:rsidRPr="006577DE">
              <w:t>Vessel fuel consumption is calculated using admiralty coefficient</w:t>
            </w:r>
          </w:p>
        </w:tc>
      </w:tr>
      <w:tr w:rsidTr="004A09A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577DE">
            <w:pPr>
              <w:pStyle w:val="BodyText"/>
              <w:rPr>
                <w:lang w:val="en-NZ"/>
              </w:rPr>
            </w:pPr>
            <w:r w:rsidRPr="006577DE">
              <w:t>7.3</w:t>
            </w:r>
          </w:p>
        </w:tc>
        <w:tc>
          <w:tcPr>
            <w:tcW w:w="6045" w:type="dxa"/>
            <w:tcBorders>
              <w:top w:val="nil"/>
              <w:left w:val="nil"/>
              <w:bottom w:val="nil"/>
              <w:right w:val="nil"/>
            </w:tcBorders>
            <w:tcMar>
              <w:top w:w="0" w:type="dxa"/>
              <w:left w:w="62" w:type="dxa"/>
              <w:bottom w:w="0" w:type="dxa"/>
              <w:right w:w="62" w:type="dxa"/>
            </w:tcMar>
          </w:tcPr>
          <w:p w:rsidR="00000000" w:rsidP="006577DE">
            <w:pPr>
              <w:pStyle w:val="BodyText"/>
              <w:rPr>
                <w:lang w:val="en-NZ"/>
              </w:rPr>
            </w:pPr>
            <w:r w:rsidRPr="006577DE">
              <w:t>Calculations are performed to show relationship between fuel consumption and displacement</w:t>
            </w:r>
          </w:p>
        </w:tc>
      </w:tr>
      <w:tr w:rsidTr="004A09A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577DE">
            <w:pPr>
              <w:pStyle w:val="BodyText"/>
              <w:rPr>
                <w:lang w:val="en-NZ"/>
              </w:rPr>
            </w:pPr>
            <w:r w:rsidRPr="006577DE">
              <w:t>7.4</w:t>
            </w:r>
          </w:p>
        </w:tc>
        <w:tc>
          <w:tcPr>
            <w:tcW w:w="6045" w:type="dxa"/>
            <w:tcBorders>
              <w:top w:val="nil"/>
              <w:left w:val="nil"/>
              <w:bottom w:val="nil"/>
              <w:right w:val="nil"/>
            </w:tcBorders>
            <w:tcMar>
              <w:top w:w="0" w:type="dxa"/>
              <w:left w:w="62" w:type="dxa"/>
              <w:bottom w:w="0" w:type="dxa"/>
              <w:right w:w="62" w:type="dxa"/>
            </w:tcMar>
          </w:tcPr>
          <w:p w:rsidR="00000000" w:rsidP="006577DE">
            <w:pPr>
              <w:pStyle w:val="BodyText"/>
              <w:rPr>
                <w:lang w:val="en-NZ"/>
              </w:rPr>
            </w:pPr>
            <w:r w:rsidRPr="006577DE">
              <w:t>Calculations are performed to show relationship between daily fuel consumption and spe</w:t>
            </w:r>
            <w:r w:rsidRPr="006577DE">
              <w:t>ed</w:t>
            </w:r>
          </w:p>
        </w:tc>
      </w:tr>
      <w:tr w:rsidTr="004A09A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577DE">
            <w:pPr>
              <w:pStyle w:val="BodyText"/>
              <w:rPr>
                <w:lang w:val="en-NZ"/>
              </w:rPr>
            </w:pPr>
            <w:r w:rsidRPr="006577DE">
              <w:t>7.5</w:t>
            </w:r>
          </w:p>
        </w:tc>
        <w:tc>
          <w:tcPr>
            <w:tcW w:w="6045" w:type="dxa"/>
            <w:tcBorders>
              <w:top w:val="nil"/>
              <w:left w:val="nil"/>
              <w:bottom w:val="nil"/>
              <w:right w:val="nil"/>
            </w:tcBorders>
            <w:tcMar>
              <w:top w:w="0" w:type="dxa"/>
              <w:left w:w="62" w:type="dxa"/>
              <w:bottom w:w="0" w:type="dxa"/>
              <w:right w:w="62" w:type="dxa"/>
            </w:tcMar>
          </w:tcPr>
          <w:p w:rsidR="00000000" w:rsidP="006577DE">
            <w:pPr>
              <w:pStyle w:val="BodyText"/>
              <w:rPr>
                <w:lang w:val="en-NZ"/>
              </w:rPr>
            </w:pPr>
            <w:r w:rsidRPr="006577DE">
              <w:t>Calculations are performed to show relationship between voyage consumption, speed and distance travelled</w:t>
            </w:r>
          </w:p>
        </w:tc>
      </w:tr>
      <w:tr w:rsidTr="004A09A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577DE">
            <w:pPr>
              <w:pStyle w:val="BodyText"/>
              <w:rPr>
                <w:lang w:val="en-NZ"/>
              </w:rPr>
            </w:pPr>
            <w:r w:rsidRPr="006577DE">
              <w:t>7.6</w:t>
            </w:r>
          </w:p>
        </w:tc>
        <w:tc>
          <w:tcPr>
            <w:tcW w:w="6045" w:type="dxa"/>
            <w:tcBorders>
              <w:top w:val="nil"/>
              <w:left w:val="nil"/>
              <w:bottom w:val="nil"/>
              <w:right w:val="nil"/>
            </w:tcBorders>
            <w:tcMar>
              <w:top w:w="0" w:type="dxa"/>
              <w:left w:w="62" w:type="dxa"/>
              <w:bottom w:w="0" w:type="dxa"/>
              <w:right w:w="62" w:type="dxa"/>
            </w:tcMar>
          </w:tcPr>
          <w:p w:rsidR="00000000" w:rsidP="006577DE">
            <w:pPr>
              <w:pStyle w:val="BodyText"/>
              <w:rPr>
                <w:lang w:val="en-NZ"/>
              </w:rPr>
            </w:pPr>
            <w:r w:rsidRPr="006577DE">
              <w:t>Voyage and daily fuel consumption are calculated taking into account propulsion, domestic loads and fuel reserve requirements</w:t>
            </w:r>
          </w:p>
        </w:tc>
      </w:tr>
      <w:tr w:rsidTr="004A09A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6577DE" w:rsidP="006577DE">
            <w:pPr>
              <w:pStyle w:val="BodyText"/>
            </w:pPr>
            <w:r w:rsidRPr="006577DE">
              <w:rPr>
                <w:rStyle w:val="SpecialBold"/>
              </w:rPr>
              <w:t>8</w:t>
            </w:r>
          </w:p>
        </w:tc>
        <w:tc>
          <w:tcPr>
            <w:tcW w:w="2303" w:type="dxa"/>
            <w:vMerge w:val="restart"/>
            <w:tcBorders>
              <w:top w:val="nil"/>
              <w:left w:val="nil"/>
              <w:bottom w:val="nil"/>
              <w:right w:val="nil"/>
            </w:tcBorders>
            <w:tcMar>
              <w:top w:w="0" w:type="dxa"/>
              <w:left w:w="62" w:type="dxa"/>
              <w:bottom w:w="0" w:type="dxa"/>
              <w:right w:w="62" w:type="dxa"/>
            </w:tcMar>
          </w:tcPr>
          <w:p w:rsidR="00000000" w:rsidRPr="006577DE" w:rsidP="006577DE">
            <w:pPr>
              <w:pStyle w:val="BodyText"/>
            </w:pPr>
            <w:r w:rsidRPr="006577DE">
              <w:rPr>
                <w:rStyle w:val="SpecialBold"/>
              </w:rPr>
              <w:t>Solve problems related to symmetrical flooding</w:t>
            </w:r>
          </w:p>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577DE">
            <w:pPr>
              <w:pStyle w:val="BodyText"/>
              <w:rPr>
                <w:lang w:val="en-NZ"/>
              </w:rPr>
            </w:pPr>
            <w:r w:rsidRPr="006577DE">
              <w:t>8.1</w:t>
            </w:r>
          </w:p>
        </w:tc>
        <w:tc>
          <w:tcPr>
            <w:tcW w:w="6045" w:type="dxa"/>
            <w:tcBorders>
              <w:top w:val="nil"/>
              <w:left w:val="nil"/>
              <w:bottom w:val="nil"/>
              <w:right w:val="nil"/>
            </w:tcBorders>
            <w:tcMar>
              <w:top w:w="0" w:type="dxa"/>
              <w:left w:w="62" w:type="dxa"/>
              <w:bottom w:w="0" w:type="dxa"/>
              <w:right w:w="62" w:type="dxa"/>
            </w:tcMar>
          </w:tcPr>
          <w:p w:rsidR="00000000" w:rsidP="006577DE">
            <w:pPr>
              <w:pStyle w:val="BodyText"/>
              <w:rPr>
                <w:lang w:val="en-NZ"/>
              </w:rPr>
            </w:pPr>
            <w:r w:rsidRPr="006577DE">
              <w:t>Volume lost-volume gained relationship for flooded compartments is explained</w:t>
            </w:r>
          </w:p>
        </w:tc>
      </w:tr>
      <w:tr w:rsidTr="004A09A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577DE">
            <w:pPr>
              <w:pStyle w:val="BodyText"/>
              <w:rPr>
                <w:lang w:val="en-NZ"/>
              </w:rPr>
            </w:pPr>
            <w:r w:rsidRPr="006577DE">
              <w:t>8.2</w:t>
            </w:r>
          </w:p>
        </w:tc>
        <w:tc>
          <w:tcPr>
            <w:tcW w:w="6045" w:type="dxa"/>
            <w:tcBorders>
              <w:top w:val="nil"/>
              <w:left w:val="nil"/>
              <w:bottom w:val="nil"/>
              <w:right w:val="nil"/>
            </w:tcBorders>
            <w:tcMar>
              <w:top w:w="0" w:type="dxa"/>
              <w:left w:w="62" w:type="dxa"/>
              <w:bottom w:w="0" w:type="dxa"/>
              <w:right w:w="62" w:type="dxa"/>
            </w:tcMar>
          </w:tcPr>
          <w:p w:rsidR="00000000" w:rsidP="006577DE">
            <w:pPr>
              <w:pStyle w:val="BodyText"/>
              <w:rPr>
                <w:lang w:val="en-NZ"/>
              </w:rPr>
            </w:pPr>
            <w:r w:rsidRPr="006577DE">
              <w:t>Modified volume lost by compartment subdivision is explained using a horizontal flat</w:t>
            </w:r>
          </w:p>
        </w:tc>
      </w:tr>
      <w:tr w:rsidTr="004A09A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577DE">
            <w:pPr>
              <w:pStyle w:val="BodyText"/>
              <w:rPr>
                <w:lang w:val="en-NZ"/>
              </w:rPr>
            </w:pPr>
            <w:r w:rsidRPr="006577DE">
              <w:t>8.3</w:t>
            </w:r>
          </w:p>
        </w:tc>
        <w:tc>
          <w:tcPr>
            <w:tcW w:w="6045" w:type="dxa"/>
            <w:tcBorders>
              <w:top w:val="nil"/>
              <w:left w:val="nil"/>
              <w:bottom w:val="nil"/>
              <w:right w:val="nil"/>
            </w:tcBorders>
            <w:tcMar>
              <w:top w:w="0" w:type="dxa"/>
              <w:left w:w="62" w:type="dxa"/>
              <w:bottom w:w="0" w:type="dxa"/>
              <w:right w:w="62" w:type="dxa"/>
            </w:tcMar>
          </w:tcPr>
          <w:p w:rsidR="00000000" w:rsidP="006577DE">
            <w:pPr>
              <w:pStyle w:val="BodyText"/>
              <w:rPr>
                <w:lang w:val="en-NZ"/>
              </w:rPr>
            </w:pPr>
            <w:r w:rsidRPr="006577DE">
              <w:t>Modified volume lost by compartment permeability is explained, including consideration of cargo stowage factor and relative density details</w:t>
            </w:r>
          </w:p>
        </w:tc>
      </w:tr>
      <w:tr w:rsidTr="004A09A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577DE">
            <w:pPr>
              <w:pStyle w:val="BodyText"/>
              <w:rPr>
                <w:lang w:val="en-NZ"/>
              </w:rPr>
            </w:pPr>
            <w:r w:rsidRPr="006577DE">
              <w:t>8.4</w:t>
            </w:r>
          </w:p>
        </w:tc>
        <w:tc>
          <w:tcPr>
            <w:tcW w:w="6045" w:type="dxa"/>
            <w:tcBorders>
              <w:top w:val="nil"/>
              <w:left w:val="nil"/>
              <w:bottom w:val="nil"/>
              <w:right w:val="nil"/>
            </w:tcBorders>
            <w:tcMar>
              <w:top w:w="0" w:type="dxa"/>
              <w:left w:w="62" w:type="dxa"/>
              <w:bottom w:w="0" w:type="dxa"/>
              <w:right w:w="62" w:type="dxa"/>
            </w:tcMar>
          </w:tcPr>
          <w:p w:rsidR="00000000" w:rsidRPr="006577DE" w:rsidP="006577DE">
            <w:pPr>
              <w:pStyle w:val="BodyText"/>
            </w:pPr>
            <w:r w:rsidRPr="006577DE">
              <w:t>Problems of symmetrical flooding of simple box-shaped and standard hull forms involving flooding above and be</w:t>
            </w:r>
            <w:r w:rsidRPr="006577DE">
              <w:t>low horizontal subdivisions and different permeabilities are solved</w:t>
            </w:r>
          </w:p>
        </w:tc>
      </w:tr>
    </w:tbl>
    <w:p w:rsidR="00000000" w:rsidRPr="006577DE" w:rsidP="006577DE">
      <w:pPr>
        <w:pStyle w:val="BodyText"/>
      </w:pPr>
    </w:p>
    <w:p w:rsidR="00000000" w:rsidRPr="006577DE" w:rsidP="006577DE">
      <w:pPr>
        <w:pStyle w:val="AllowPageBreak"/>
      </w:pPr>
    </w:p>
    <w:p w:rsidR="00000000" w:rsidRPr="006577DE" w:rsidP="006577DE">
      <w:pPr>
        <w:pStyle w:val="Heading1"/>
      </w:pPr>
      <w:bookmarkStart w:id="7" w:name="O_661493"/>
      <w:bookmarkEnd w:id="7"/>
      <w:r w:rsidRPr="006577DE">
        <w:t>Foundation Skills</w:t>
      </w:r>
    </w:p>
    <w:tbl>
      <w:tblPr>
        <w:tblW w:w="9498" w:type="dxa"/>
        <w:tblLayout w:type="fixed"/>
        <w:tblCellMar>
          <w:left w:w="62" w:type="dxa"/>
          <w:right w:w="62" w:type="dxa"/>
        </w:tblCellMar>
        <w:tblLook w:val="0000"/>
      </w:tblPr>
      <w:tblGrid>
        <w:gridCol w:w="9498"/>
      </w:tblGrid>
      <w:tr w:rsidTr="006577DE">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6577DE" w:rsidP="006577DE">
            <w:pPr>
              <w:pStyle w:val="BodyText"/>
            </w:pPr>
            <w:r w:rsidRPr="006577DE">
              <w:t>Foundation skills essential to performance are explicit in the performance criteria of this unit of competency.</w:t>
            </w:r>
          </w:p>
        </w:tc>
      </w:tr>
    </w:tbl>
    <w:p w:rsidR="00000000" w:rsidRPr="006577DE" w:rsidP="006577DE">
      <w:pPr>
        <w:pStyle w:val="BodyText"/>
      </w:pPr>
    </w:p>
    <w:p w:rsidR="00000000" w:rsidRPr="006577DE" w:rsidP="006577DE">
      <w:pPr>
        <w:pStyle w:val="AllowPageBreak"/>
      </w:pPr>
    </w:p>
    <w:p w:rsidR="00000000" w:rsidRPr="006577DE" w:rsidP="006577DE">
      <w:pPr>
        <w:pStyle w:val="Heading1"/>
      </w:pPr>
      <w:bookmarkStart w:id="8" w:name="O_661494"/>
      <w:bookmarkEnd w:id="8"/>
      <w:r w:rsidRPr="006577DE">
        <w:t>Range of Conditions</w:t>
      </w:r>
    </w:p>
    <w:tbl>
      <w:tblPr>
        <w:tblW w:w="9498" w:type="dxa"/>
        <w:tblLayout w:type="fixed"/>
        <w:tblCellMar>
          <w:left w:w="62" w:type="dxa"/>
          <w:right w:w="62" w:type="dxa"/>
        </w:tblCellMar>
        <w:tblLook w:val="0000"/>
      </w:tblPr>
      <w:tblGrid>
        <w:gridCol w:w="2735"/>
        <w:gridCol w:w="6763"/>
      </w:tblGrid>
      <w:tr w:rsidTr="006577DE">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6577DE">
            <w:pPr>
              <w:pStyle w:val="BodyText"/>
              <w:rPr>
                <w:lang w:val="en-NZ"/>
              </w:rPr>
            </w:pPr>
            <w:r w:rsidRPr="006577DE">
              <w:t>Range is restricted to essential operating conditions and any other variables essential to the work environment.</w:t>
            </w:r>
          </w:p>
        </w:tc>
      </w:tr>
      <w:tr w:rsidTr="006577DE">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6577DE" w:rsidP="006577DE">
            <w:pPr>
              <w:pStyle w:val="BodyText"/>
            </w:pPr>
            <w:r w:rsidRPr="006577DE">
              <w:t>Shipboard areas include one or more of the following:</w:t>
            </w:r>
          </w:p>
          <w:p w:rsidR="00000000" w:rsidP="006577DE">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6577DE" w:rsidP="006577DE">
            <w:pPr>
              <w:pStyle w:val="ListBullet"/>
            </w:pPr>
            <w:r w:rsidRPr="006577DE">
              <w:t>bulkheads</w:t>
            </w:r>
          </w:p>
          <w:p w:rsidR="00000000" w:rsidRPr="006577DE" w:rsidP="006577DE">
            <w:pPr>
              <w:pStyle w:val="ListBullet"/>
            </w:pPr>
            <w:r w:rsidRPr="006577DE">
              <w:t>elemental areas</w:t>
            </w:r>
          </w:p>
          <w:p w:rsidR="00000000" w:rsidP="006577DE">
            <w:pPr>
              <w:pStyle w:val="ListBullet"/>
              <w:rPr>
                <w:lang w:val="en-NZ"/>
              </w:rPr>
            </w:pPr>
            <w:r w:rsidRPr="006577DE">
              <w:t>water planes</w:t>
            </w:r>
          </w:p>
        </w:tc>
      </w:tr>
      <w:tr w:rsidTr="006577DE">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6577DE" w:rsidP="006577DE">
            <w:pPr>
              <w:pStyle w:val="BodyText"/>
            </w:pPr>
            <w:r w:rsidRPr="006577DE">
              <w:t>Coefficients of form include one or more of the following:</w:t>
            </w:r>
          </w:p>
          <w:p w:rsidR="00000000" w:rsidRPr="006577DE" w:rsidP="006577DE">
            <w:pPr>
              <w:pStyle w:val="BodyText"/>
            </w:pPr>
          </w:p>
          <w:p w:rsidR="00000000" w:rsidP="006577DE">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6577DE" w:rsidP="006577DE">
            <w:pPr>
              <w:pStyle w:val="ListBullet"/>
            </w:pPr>
            <w:r w:rsidRPr="006577DE">
              <w:t>block coefficient</w:t>
            </w:r>
          </w:p>
          <w:p w:rsidR="00000000" w:rsidRPr="006577DE" w:rsidP="006577DE">
            <w:pPr>
              <w:pStyle w:val="ListBullet"/>
            </w:pPr>
            <w:r w:rsidRPr="006577DE">
              <w:t xml:space="preserve">midship section area coefficient </w:t>
            </w:r>
          </w:p>
          <w:p w:rsidR="00000000" w:rsidRPr="006577DE" w:rsidP="006577DE">
            <w:pPr>
              <w:pStyle w:val="ListBullet"/>
            </w:pPr>
            <w:r w:rsidRPr="006577DE">
              <w:t>prismatic coefficient</w:t>
            </w:r>
          </w:p>
          <w:p w:rsidR="00000000" w:rsidP="006577DE">
            <w:pPr>
              <w:pStyle w:val="ListBullet"/>
              <w:rPr>
                <w:lang w:val="en-NZ"/>
              </w:rPr>
            </w:pPr>
            <w:r w:rsidRPr="006577DE">
              <w:t>waterplane area coefficient</w:t>
            </w:r>
          </w:p>
        </w:tc>
      </w:tr>
      <w:tr w:rsidTr="006577DE">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6577DE" w:rsidP="006577DE">
            <w:pPr>
              <w:pStyle w:val="BodyText"/>
            </w:pPr>
            <w:r w:rsidRPr="006577DE">
              <w:t xml:space="preserve">Centre of gravity must include: </w:t>
            </w:r>
          </w:p>
          <w:p w:rsidR="00000000" w:rsidP="006577DE">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6577DE" w:rsidP="006577DE">
            <w:pPr>
              <w:pStyle w:val="ListBullet"/>
            </w:pPr>
            <w:r w:rsidRPr="006577DE">
              <w:t>centre of gravity (KG)</w:t>
            </w:r>
          </w:p>
          <w:p w:rsidR="00000000" w:rsidRPr="006577DE" w:rsidP="006577DE">
            <w:pPr>
              <w:pStyle w:val="ListBullet"/>
            </w:pPr>
            <w:r w:rsidRPr="006577DE">
              <w:t>longitundal centre of gravity (LCG)</w:t>
            </w:r>
          </w:p>
          <w:p w:rsidR="00000000" w:rsidP="006577DE">
            <w:pPr>
              <w:pStyle w:val="ListBullet"/>
              <w:rPr>
                <w:lang w:val="en-NZ"/>
              </w:rPr>
            </w:pPr>
            <w:r w:rsidRPr="006577DE">
              <w:t>vertical centre of gravity (VCG)</w:t>
            </w:r>
          </w:p>
        </w:tc>
      </w:tr>
      <w:tr w:rsidTr="006577DE">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6577DE" w:rsidP="006577DE">
            <w:pPr>
              <w:pStyle w:val="BodyText"/>
            </w:pPr>
            <w:r w:rsidRPr="006577DE">
              <w:t>Speed of advance must include:</w:t>
            </w:r>
          </w:p>
          <w:p w:rsidR="00000000" w:rsidRPr="006577DE" w:rsidP="006577DE">
            <w:pPr>
              <w:pStyle w:val="BodyText"/>
            </w:pPr>
          </w:p>
          <w:p w:rsidR="00000000" w:rsidP="006577DE">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6577DE" w:rsidP="006577DE">
            <w:pPr>
              <w:pStyle w:val="ListBullet"/>
            </w:pPr>
            <w:r w:rsidRPr="006577DE">
              <w:t xml:space="preserve">apparent and true slips </w:t>
            </w:r>
          </w:p>
          <w:p w:rsidR="00000000" w:rsidRPr="006577DE" w:rsidP="006577DE">
            <w:pPr>
              <w:pStyle w:val="ListBullet"/>
            </w:pPr>
            <w:r w:rsidRPr="006577DE">
              <w:t>Taylor wake fraction</w:t>
            </w:r>
          </w:p>
          <w:p w:rsidR="00000000" w:rsidRPr="006577DE" w:rsidP="006577DE">
            <w:pPr>
              <w:pStyle w:val="ListBullet"/>
            </w:pPr>
            <w:r w:rsidRPr="006577DE">
              <w:t>theoretical, apparent and true speeds</w:t>
            </w:r>
          </w:p>
          <w:p w:rsidR="00000000" w:rsidP="006577DE">
            <w:pPr>
              <w:pStyle w:val="ListBullet"/>
              <w:rPr>
                <w:lang w:val="en-NZ"/>
              </w:rPr>
            </w:pPr>
            <w:r w:rsidRPr="006577DE">
              <w:t>wake speed</w:t>
            </w:r>
          </w:p>
        </w:tc>
      </w:tr>
      <w:tr w:rsidTr="006577DE">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6577DE" w:rsidP="006577DE">
            <w:pPr>
              <w:pStyle w:val="BodyText"/>
            </w:pPr>
            <w:r w:rsidRPr="006577DE">
              <w:t>Related powers must include:</w:t>
            </w:r>
          </w:p>
          <w:p w:rsidR="00000000" w:rsidRPr="006577DE" w:rsidP="006577DE">
            <w:pPr>
              <w:pStyle w:val="BodyText"/>
            </w:pPr>
          </w:p>
          <w:p w:rsidR="00000000" w:rsidP="006577DE">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6577DE" w:rsidP="006577DE">
            <w:pPr>
              <w:pStyle w:val="ListBullet"/>
            </w:pPr>
            <w:r w:rsidRPr="006577DE">
              <w:t xml:space="preserve">delivered </w:t>
            </w:r>
          </w:p>
          <w:p w:rsidR="00000000" w:rsidRPr="006577DE" w:rsidP="006577DE">
            <w:pPr>
              <w:pStyle w:val="ListBullet"/>
            </w:pPr>
            <w:r w:rsidRPr="006577DE">
              <w:t xml:space="preserve">effective </w:t>
            </w:r>
          </w:p>
          <w:p w:rsidR="00000000" w:rsidRPr="006577DE" w:rsidP="006577DE">
            <w:pPr>
              <w:pStyle w:val="ListBullet"/>
            </w:pPr>
            <w:r w:rsidRPr="006577DE">
              <w:t>indicated</w:t>
            </w:r>
          </w:p>
          <w:p w:rsidR="00000000" w:rsidRPr="006577DE" w:rsidP="006577DE">
            <w:pPr>
              <w:pStyle w:val="ListBullet"/>
            </w:pPr>
            <w:r w:rsidRPr="006577DE">
              <w:t xml:space="preserve">shaft </w:t>
            </w:r>
          </w:p>
          <w:p w:rsidR="00000000" w:rsidP="006577DE">
            <w:pPr>
              <w:pStyle w:val="ListBullet"/>
              <w:rPr>
                <w:lang w:val="en-NZ"/>
              </w:rPr>
            </w:pPr>
            <w:r w:rsidRPr="006577DE">
              <w:t>thrust</w:t>
            </w:r>
          </w:p>
        </w:tc>
      </w:tr>
      <w:tr w:rsidTr="006577DE">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6577DE" w:rsidP="006577DE">
            <w:pPr>
              <w:pStyle w:val="BodyText"/>
            </w:pPr>
            <w:r w:rsidRPr="006577DE">
              <w:t>Hull resistance must include:</w:t>
            </w:r>
          </w:p>
          <w:p w:rsidR="00000000" w:rsidRPr="006577DE" w:rsidP="006577DE">
            <w:pPr>
              <w:pStyle w:val="BodyText"/>
            </w:pPr>
          </w:p>
          <w:p w:rsidR="00000000" w:rsidP="006577DE">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6577DE" w:rsidP="006577DE">
            <w:pPr>
              <w:pStyle w:val="ListBullet"/>
            </w:pPr>
            <w:r w:rsidRPr="006577DE">
              <w:t>frictional</w:t>
            </w:r>
          </w:p>
          <w:p w:rsidR="00000000" w:rsidRPr="006577DE" w:rsidP="006577DE">
            <w:pPr>
              <w:pStyle w:val="ListBullet"/>
            </w:pPr>
            <w:r w:rsidRPr="006577DE">
              <w:t>residuary</w:t>
            </w:r>
          </w:p>
          <w:p w:rsidR="00000000" w:rsidP="006577DE">
            <w:pPr>
              <w:pStyle w:val="ListBullet"/>
              <w:rPr>
                <w:lang w:val="en-NZ"/>
              </w:rPr>
            </w:pPr>
            <w:r w:rsidRPr="006577DE">
              <w:t>total</w:t>
            </w:r>
          </w:p>
        </w:tc>
      </w:tr>
      <w:tr w:rsidTr="006577DE">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6577DE">
            <w:pPr>
              <w:pStyle w:val="BodyText"/>
              <w:rPr>
                <w:lang w:val="en-NZ"/>
              </w:rPr>
            </w:pPr>
            <w:r w:rsidRPr="006577DE">
              <w:t xml:space="preserve">Shipboard areas include one or more of the following: </w:t>
            </w:r>
          </w:p>
        </w:tc>
        <w:tc>
          <w:tcPr>
            <w:tcW w:w="6763" w:type="dxa"/>
            <w:tcBorders>
              <w:top w:val="nil"/>
              <w:left w:val="nil"/>
              <w:bottom w:val="nil"/>
              <w:right w:val="nil"/>
            </w:tcBorders>
            <w:tcMar>
              <w:top w:w="0" w:type="dxa"/>
              <w:left w:w="62" w:type="dxa"/>
              <w:bottom w:w="0" w:type="dxa"/>
              <w:right w:w="62" w:type="dxa"/>
            </w:tcMar>
          </w:tcPr>
          <w:p w:rsidR="00000000" w:rsidRPr="006577DE" w:rsidP="006577DE">
            <w:pPr>
              <w:pStyle w:val="ListBullet"/>
            </w:pPr>
            <w:r w:rsidRPr="006577DE">
              <w:t>bulkheads</w:t>
            </w:r>
          </w:p>
          <w:p w:rsidR="00000000" w:rsidRPr="006577DE" w:rsidP="006577DE">
            <w:pPr>
              <w:pStyle w:val="ListBullet"/>
            </w:pPr>
            <w:r w:rsidRPr="006577DE">
              <w:t>elemental areas</w:t>
            </w:r>
          </w:p>
          <w:p w:rsidR="00000000" w:rsidRPr="006577DE" w:rsidP="006577DE">
            <w:pPr>
              <w:pStyle w:val="ListBullet"/>
            </w:pPr>
            <w:r w:rsidRPr="006577DE">
              <w:t>water planes</w:t>
            </w:r>
          </w:p>
        </w:tc>
      </w:tr>
    </w:tbl>
    <w:p w:rsidR="00000000" w:rsidRPr="006577DE" w:rsidP="006577DE">
      <w:pPr>
        <w:pStyle w:val="BodyText"/>
      </w:pPr>
    </w:p>
    <w:p w:rsidR="00000000" w:rsidRPr="006577DE" w:rsidP="006577DE">
      <w:pPr>
        <w:pStyle w:val="AllowPageBreak"/>
      </w:pPr>
    </w:p>
    <w:p w:rsidR="00000000" w:rsidRPr="006577DE" w:rsidP="006577DE">
      <w:pPr>
        <w:pStyle w:val="Heading1"/>
      </w:pPr>
      <w:bookmarkStart w:id="9" w:name="O_661495"/>
      <w:bookmarkEnd w:id="9"/>
      <w:r w:rsidRPr="006577DE">
        <w:t>Unit Mapping Information</w:t>
      </w:r>
    </w:p>
    <w:p w:rsidR="00000000" w:rsidRPr="006577DE" w:rsidP="004A09AA">
      <w:pPr>
        <w:pStyle w:val="BodyText"/>
      </w:pPr>
      <w:r w:rsidRPr="006577DE">
        <w:t>This unit replaces and is equivalent to MARL6004A Apply intermediate principles of naval architecture.</w:t>
      </w:r>
    </w:p>
    <w:p w:rsidR="00000000" w:rsidRPr="006577DE" w:rsidP="006577DE">
      <w:pPr>
        <w:pStyle w:val="Heading1"/>
      </w:pPr>
      <w:bookmarkStart w:id="10" w:name="O_661502"/>
      <w:bookmarkEnd w:id="10"/>
      <w:r w:rsidRPr="006577DE">
        <w:t>Links</w:t>
      </w:r>
    </w:p>
    <w:p w:rsidR="00000000" w:rsidRPr="006577DE" w:rsidP="004A09AA">
      <w:pPr>
        <w:pStyle w:val="BodyText"/>
      </w:pPr>
      <w:r w:rsidRPr="006577DE">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BA79C8">
        <w:rPr>
          <w:rStyle w:val="Hyperlink"/>
        </w:rPr>
        <w:t>https://vetnet.gov.au/Pages/TrainingDocs.aspx?q=772efb7b-4cce-47fe-9bbd-ee3b1d1eb4c2</w:t>
      </w:r>
      <w:r>
        <w:fldChar w:fldCharType="end"/>
      </w:r>
    </w:p>
    <w:p w:rsidR="00000000" w:rsidRPr="006577DE" w:rsidP="006577DE"/>
    <w:sectPr w:rsidSect="006577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7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7DE" w:rsidRPr="004A09AA" w:rsidP="004A09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7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9AA" w:rsidP="006577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A09AA" w:rsidP="006577DE">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A09AA" w:rsidP="006577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7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9A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577DE" w:rsidRPr="004A09AA" w:rsidP="004A09A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7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9AA" w:rsidRPr="002D2AF8" w:rsidP="006577DE">
    <w:pPr>
      <w:pStyle w:val="Header"/>
      <w:framePr w:wrap="around"/>
    </w:pPr>
    <w:r>
      <w:fldChar w:fldCharType="begin"/>
    </w:r>
    <w:r>
      <w:instrText xml:space="preserve"> TITLE   \* MERGEFORMAT </w:instrText>
    </w:r>
    <w:r>
      <w:fldChar w:fldCharType="separate"/>
    </w:r>
    <w:r>
      <w:t>MARL017 Apply intermediate principles of naval architecture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4A09AA" w:rsidP="006577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47EB1A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4A620D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77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77DE"/>
    <w:pPr>
      <w:spacing w:before="360" w:after="60"/>
      <w:outlineLvl w:val="0"/>
    </w:pPr>
    <w:rPr>
      <w:sz w:val="32"/>
    </w:rPr>
  </w:style>
  <w:style w:type="paragraph" w:styleId="Heading2">
    <w:name w:val="heading 2"/>
    <w:basedOn w:val="HeadingBase"/>
    <w:next w:val="BodyText"/>
    <w:link w:val="Heading2Char"/>
    <w:qFormat/>
    <w:rsid w:val="006577DE"/>
    <w:pPr>
      <w:keepLines/>
      <w:spacing w:before="240" w:after="120"/>
      <w:outlineLvl w:val="1"/>
    </w:pPr>
    <w:rPr>
      <w:sz w:val="28"/>
      <w:szCs w:val="40"/>
    </w:rPr>
  </w:style>
  <w:style w:type="paragraph" w:styleId="Heading3">
    <w:name w:val="heading 3"/>
    <w:basedOn w:val="HeadingBase"/>
    <w:next w:val="BodyText"/>
    <w:link w:val="Heading3Char"/>
    <w:qFormat/>
    <w:rsid w:val="006577DE"/>
    <w:pPr>
      <w:spacing w:before="180" w:after="120"/>
      <w:outlineLvl w:val="2"/>
    </w:pPr>
    <w:rPr>
      <w:spacing w:val="-10"/>
      <w:kern w:val="32"/>
    </w:rPr>
  </w:style>
  <w:style w:type="paragraph" w:styleId="Heading4">
    <w:name w:val="heading 4"/>
    <w:basedOn w:val="HeadingBase"/>
    <w:next w:val="BodyText"/>
    <w:link w:val="Heading4Char"/>
    <w:qFormat/>
    <w:rsid w:val="006577DE"/>
    <w:pPr>
      <w:spacing w:before="160" w:after="120"/>
      <w:outlineLvl w:val="3"/>
    </w:pPr>
    <w:rPr>
      <w:sz w:val="22"/>
    </w:rPr>
  </w:style>
  <w:style w:type="paragraph" w:styleId="Heading5">
    <w:name w:val="heading 5"/>
    <w:basedOn w:val="HeadingBase"/>
    <w:next w:val="Normal"/>
    <w:link w:val="Heading5Char"/>
    <w:qFormat/>
    <w:rsid w:val="006577DE"/>
    <w:pPr>
      <w:spacing w:before="80"/>
      <w:outlineLvl w:val="4"/>
    </w:pPr>
    <w:rPr>
      <w:color w:val="918585"/>
      <w:sz w:val="20"/>
    </w:rPr>
  </w:style>
  <w:style w:type="paragraph" w:styleId="Heading6">
    <w:name w:val="heading 6"/>
    <w:basedOn w:val="HeadingBase"/>
    <w:next w:val="Normal"/>
    <w:link w:val="Heading6Char"/>
    <w:qFormat/>
    <w:rsid w:val="006577DE"/>
    <w:pPr>
      <w:spacing w:before="60"/>
      <w:outlineLvl w:val="5"/>
    </w:pPr>
    <w:rPr>
      <w:color w:val="918585"/>
      <w:sz w:val="20"/>
    </w:rPr>
  </w:style>
  <w:style w:type="paragraph" w:styleId="Heading7">
    <w:name w:val="heading 7"/>
    <w:basedOn w:val="Normal"/>
    <w:next w:val="Normal"/>
    <w:link w:val="Heading7Char"/>
    <w:qFormat/>
    <w:rsid w:val="006577DE"/>
    <w:pPr>
      <w:ind w:left="720"/>
      <w:outlineLvl w:val="6"/>
    </w:pPr>
    <w:rPr>
      <w:i/>
    </w:rPr>
  </w:style>
  <w:style w:type="paragraph" w:styleId="Heading8">
    <w:name w:val="heading 8"/>
    <w:basedOn w:val="Normal"/>
    <w:next w:val="Normal"/>
    <w:link w:val="Heading8Char"/>
    <w:qFormat/>
    <w:rsid w:val="006577DE"/>
    <w:pPr>
      <w:ind w:left="720"/>
      <w:outlineLvl w:val="7"/>
    </w:pPr>
    <w:rPr>
      <w:i/>
    </w:rPr>
  </w:style>
  <w:style w:type="paragraph" w:styleId="Heading9">
    <w:name w:val="heading 9"/>
    <w:basedOn w:val="Normal"/>
    <w:next w:val="Normal"/>
    <w:link w:val="Heading9Char"/>
    <w:qFormat/>
    <w:rsid w:val="006577DE"/>
    <w:pPr>
      <w:ind w:left="720"/>
      <w:outlineLvl w:val="8"/>
    </w:pPr>
    <w:rPr>
      <w:i/>
    </w:rPr>
  </w:style>
  <w:style w:type="character" w:default="1" w:styleId="DefaultParagraphFont">
    <w:name w:val="Default Paragraph Font"/>
    <w:uiPriority w:val="1"/>
    <w:unhideWhenUsed/>
    <w:rsid w:val="006577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77DE"/>
  </w:style>
  <w:style w:type="character" w:customStyle="1" w:styleId="Heading1Char">
    <w:name w:val="Heading 1 Char"/>
    <w:basedOn w:val="DefaultParagraphFont"/>
    <w:link w:val="Heading1"/>
    <w:rsid w:val="006577DE"/>
    <w:rPr>
      <w:rFonts w:ascii="Times New Roman" w:eastAsia="Times New Roman" w:hAnsi="Times New Roman" w:cs="Times New Roman"/>
      <w:b/>
      <w:sz w:val="32"/>
      <w:szCs w:val="20"/>
      <w:lang w:eastAsia="en-US"/>
    </w:rPr>
  </w:style>
  <w:style w:type="paragraph" w:styleId="BodyText">
    <w:name w:val="Body Text"/>
    <w:basedOn w:val="Normal"/>
    <w:link w:val="BodyTextChar"/>
    <w:rsid w:val="006577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577DE"/>
    <w:rPr>
      <w:rFonts w:ascii="Times New Roman" w:eastAsia="Times New Roman" w:hAnsi="Times New Roman" w:cs="Times New Roman"/>
      <w:sz w:val="24"/>
      <w:lang w:eastAsia="en-US"/>
    </w:rPr>
  </w:style>
  <w:style w:type="paragraph" w:styleId="ListBullet">
    <w:name w:val="List Bullet"/>
    <w:basedOn w:val="List"/>
    <w:rsid w:val="006577DE"/>
    <w:pPr>
      <w:numPr>
        <w:numId w:val="11"/>
      </w:numPr>
      <w:tabs>
        <w:tab w:val="clear" w:pos="340"/>
      </w:tabs>
      <w:spacing w:before="40" w:after="40"/>
    </w:pPr>
  </w:style>
  <w:style w:type="character" w:customStyle="1" w:styleId="SpecialBold">
    <w:name w:val="Special Bold"/>
    <w:basedOn w:val="DefaultParagraphFont"/>
    <w:rsid w:val="006577DE"/>
    <w:rPr>
      <w:b/>
      <w:spacing w:val="0"/>
    </w:rPr>
  </w:style>
  <w:style w:type="paragraph" w:customStyle="1" w:styleId="SuperHeading">
    <w:name w:val="SuperHeading"/>
    <w:basedOn w:val="Normal"/>
    <w:rsid w:val="006577DE"/>
    <w:pPr>
      <w:spacing w:before="240" w:after="120"/>
      <w:outlineLvl w:val="0"/>
    </w:pPr>
    <w:rPr>
      <w:rFonts w:ascii="Times New Roman" w:hAnsi="Times New Roman"/>
      <w:b/>
      <w:sz w:val="32"/>
    </w:rPr>
  </w:style>
  <w:style w:type="paragraph" w:customStyle="1" w:styleId="AllowPageBreak">
    <w:name w:val="AllowPageBreak"/>
    <w:rsid w:val="006577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577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77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77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77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77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77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77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77DE"/>
    <w:rPr>
      <w:rFonts w:ascii="Courier New" w:eastAsia="Times New Roman" w:hAnsi="Courier New" w:cs="Times New Roman"/>
      <w:i/>
      <w:szCs w:val="20"/>
      <w:lang w:eastAsia="en-US"/>
    </w:rPr>
  </w:style>
  <w:style w:type="paragraph" w:customStyle="1" w:styleId="HeadingBase">
    <w:name w:val="Heading Base"/>
    <w:rsid w:val="006577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77DE"/>
    <w:pPr>
      <w:tabs>
        <w:tab w:val="right" w:leader="dot" w:pos="9072"/>
      </w:tabs>
      <w:ind w:left="567"/>
    </w:pPr>
    <w:rPr>
      <w:szCs w:val="22"/>
    </w:rPr>
  </w:style>
  <w:style w:type="paragraph" w:customStyle="1" w:styleId="TOCBase">
    <w:name w:val="TOC Base"/>
    <w:rsid w:val="006577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77DE"/>
    <w:pPr>
      <w:tabs>
        <w:tab w:val="right" w:leader="dot" w:pos="9072"/>
      </w:tabs>
      <w:spacing w:before="40" w:after="40"/>
      <w:ind w:left="284"/>
    </w:pPr>
    <w:rPr>
      <w:rFonts w:ascii="Times New Roman" w:hAnsi="Times New Roman"/>
    </w:rPr>
  </w:style>
  <w:style w:type="paragraph" w:styleId="TOC1">
    <w:name w:val="toc 1"/>
    <w:basedOn w:val="TOCBase"/>
    <w:next w:val="Normal"/>
    <w:rsid w:val="006577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77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77DE"/>
    <w:rPr>
      <w:rFonts w:ascii="Times New Roman" w:eastAsia="Times New Roman" w:hAnsi="Times New Roman" w:cs="Times New Roman"/>
      <w:sz w:val="16"/>
      <w:lang w:eastAsia="en-US"/>
    </w:rPr>
  </w:style>
  <w:style w:type="paragraph" w:styleId="Title">
    <w:name w:val="Title"/>
    <w:basedOn w:val="HeadingBase"/>
    <w:link w:val="TitleChar"/>
    <w:qFormat/>
    <w:rsid w:val="006577DE"/>
    <w:pPr>
      <w:spacing w:before="5040"/>
      <w:jc w:val="center"/>
    </w:pPr>
    <w:rPr>
      <w:sz w:val="48"/>
      <w:szCs w:val="72"/>
      <w:lang w:val="en-US"/>
    </w:rPr>
  </w:style>
  <w:style w:type="character" w:customStyle="1" w:styleId="TitleChar">
    <w:name w:val="Title Char"/>
    <w:basedOn w:val="DefaultParagraphFont"/>
    <w:link w:val="Title"/>
    <w:rsid w:val="006577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77DE"/>
    <w:pPr>
      <w:tabs>
        <w:tab w:val="left" w:pos="3600"/>
        <w:tab w:val="left" w:pos="3958"/>
      </w:tabs>
    </w:pPr>
  </w:style>
  <w:style w:type="paragraph" w:styleId="List">
    <w:name w:val="List"/>
    <w:basedOn w:val="BodyText"/>
    <w:next w:val="BodyText"/>
    <w:rsid w:val="006577DE"/>
    <w:pPr>
      <w:tabs>
        <w:tab w:val="left" w:pos="340"/>
      </w:tabs>
      <w:spacing w:before="60" w:after="60"/>
      <w:ind w:left="340" w:hanging="340"/>
    </w:pPr>
  </w:style>
  <w:style w:type="paragraph" w:customStyle="1" w:styleId="Note">
    <w:name w:val="Note"/>
    <w:basedOn w:val="BodyText"/>
    <w:rsid w:val="006577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77DE"/>
    <w:pPr>
      <w:framePr w:wrap="auto" w:hAnchor="text" w:y="6049"/>
    </w:pPr>
    <w:rPr>
      <w:color w:val="000000"/>
      <w:sz w:val="40"/>
    </w:rPr>
  </w:style>
  <w:style w:type="paragraph" w:customStyle="1" w:styleId="TOCTitle">
    <w:name w:val="TOCTitle"/>
    <w:basedOn w:val="Heading1"/>
    <w:rsid w:val="006577DE"/>
    <w:pPr>
      <w:spacing w:after="240"/>
      <w:jc w:val="center"/>
      <w:outlineLvl w:val="9"/>
    </w:pPr>
    <w:rPr>
      <w:caps/>
    </w:rPr>
  </w:style>
  <w:style w:type="paragraph" w:customStyle="1" w:styleId="Version">
    <w:name w:val="Version"/>
    <w:rsid w:val="006577D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577DE"/>
    <w:pPr>
      <w:numPr>
        <w:numId w:val="12"/>
      </w:numPr>
      <w:tabs>
        <w:tab w:val="clear" w:pos="680"/>
      </w:tabs>
    </w:pPr>
  </w:style>
  <w:style w:type="paragraph" w:styleId="Index1">
    <w:name w:val="index 1"/>
    <w:basedOn w:val="Normal"/>
    <w:next w:val="Normal"/>
    <w:semiHidden/>
    <w:rsid w:val="006577DE"/>
    <w:pPr>
      <w:keepNext w:val="0"/>
      <w:tabs>
        <w:tab w:val="right" w:pos="4176"/>
      </w:tabs>
      <w:ind w:left="198" w:hanging="198"/>
    </w:pPr>
    <w:rPr>
      <w:rFonts w:ascii="Garamond" w:hAnsi="Garamond"/>
    </w:rPr>
  </w:style>
  <w:style w:type="paragraph" w:styleId="IndexHeading">
    <w:name w:val="index heading"/>
    <w:basedOn w:val="Normal"/>
    <w:next w:val="Index1"/>
    <w:semiHidden/>
    <w:rsid w:val="006577DE"/>
    <w:pPr>
      <w:spacing w:before="120" w:after="120"/>
    </w:pPr>
    <w:rPr>
      <w:rFonts w:ascii="Arial" w:hAnsi="Arial"/>
      <w:b/>
      <w:color w:val="918585"/>
      <w:sz w:val="24"/>
    </w:rPr>
  </w:style>
  <w:style w:type="paragraph" w:styleId="Header">
    <w:name w:val="header"/>
    <w:basedOn w:val="Normal"/>
    <w:link w:val="HeaderChar"/>
    <w:rsid w:val="006577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77DE"/>
    <w:rPr>
      <w:rFonts w:ascii="Times New Roman" w:eastAsia="Times New Roman" w:hAnsi="Times New Roman" w:cs="Times New Roman"/>
      <w:sz w:val="16"/>
      <w:szCs w:val="20"/>
      <w:lang w:val="en-GB" w:eastAsia="en-US"/>
    </w:rPr>
  </w:style>
  <w:style w:type="paragraph" w:customStyle="1" w:styleId="Chapter">
    <w:name w:val="Chapter"/>
    <w:basedOn w:val="Normal"/>
    <w:rsid w:val="006577DE"/>
    <w:pPr>
      <w:spacing w:before="240"/>
    </w:pPr>
    <w:rPr>
      <w:rFonts w:ascii="Times New Roman" w:hAnsi="Times New Roman"/>
      <w:smallCaps/>
      <w:spacing w:val="80"/>
      <w:sz w:val="28"/>
    </w:rPr>
  </w:style>
  <w:style w:type="paragraph" w:customStyle="1" w:styleId="InChapter">
    <w:name w:val="InChapter"/>
    <w:basedOn w:val="Heading3"/>
    <w:rsid w:val="006577DE"/>
    <w:pPr>
      <w:spacing w:after="240"/>
      <w:outlineLvl w:val="9"/>
    </w:pPr>
    <w:rPr>
      <w:noProof/>
    </w:rPr>
  </w:style>
  <w:style w:type="paragraph" w:styleId="Index2">
    <w:name w:val="index 2"/>
    <w:basedOn w:val="Normal"/>
    <w:next w:val="Normal"/>
    <w:semiHidden/>
    <w:rsid w:val="006577DE"/>
    <w:pPr>
      <w:tabs>
        <w:tab w:val="right" w:pos="4176"/>
      </w:tabs>
      <w:ind w:left="568" w:hanging="284"/>
    </w:pPr>
    <w:rPr>
      <w:rFonts w:ascii="Garamond" w:hAnsi="Garamond"/>
    </w:rPr>
  </w:style>
  <w:style w:type="paragraph" w:customStyle="1" w:styleId="Byline">
    <w:name w:val="Byline"/>
    <w:rsid w:val="006577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77DE"/>
    <w:pPr>
      <w:tabs>
        <w:tab w:val="clear" w:pos="3600"/>
        <w:tab w:val="clear" w:pos="3958"/>
      </w:tabs>
      <w:jc w:val="right"/>
    </w:pPr>
  </w:style>
  <w:style w:type="character" w:styleId="Emphasis">
    <w:name w:val="Emphasis"/>
    <w:basedOn w:val="DefaultParagraphFont"/>
    <w:qFormat/>
    <w:rsid w:val="006577DE"/>
    <w:rPr>
      <w:i/>
    </w:rPr>
  </w:style>
  <w:style w:type="paragraph" w:styleId="Caption">
    <w:name w:val="caption"/>
    <w:basedOn w:val="BodyText"/>
    <w:next w:val="Normal"/>
    <w:qFormat/>
    <w:rsid w:val="006577DE"/>
    <w:pPr>
      <w:framePr w:w="2268" w:hSpace="181" w:vSpace="181" w:wrap="around" w:vAnchor="text" w:hAnchor="page" w:x="1135" w:y="285" w:anchorLock="1"/>
    </w:pPr>
    <w:rPr>
      <w:i/>
    </w:rPr>
  </w:style>
  <w:style w:type="paragraph" w:customStyle="1" w:styleId="MiniTOCTitle">
    <w:name w:val="MiniTOCTitle"/>
    <w:basedOn w:val="Heading4"/>
    <w:rsid w:val="006577DE"/>
    <w:pPr>
      <w:spacing w:before="240"/>
      <w:outlineLvl w:val="9"/>
    </w:pPr>
    <w:rPr>
      <w:noProof/>
      <w:sz w:val="24"/>
    </w:rPr>
  </w:style>
  <w:style w:type="paragraph" w:customStyle="1" w:styleId="MiniTOCItem">
    <w:name w:val="MiniTOCItem"/>
    <w:basedOn w:val="ListBullet"/>
    <w:rsid w:val="006577DE"/>
    <w:pPr>
      <w:numPr>
        <w:numId w:val="0"/>
      </w:numPr>
      <w:tabs>
        <w:tab w:val="right" w:leader="dot" w:pos="6521"/>
      </w:tabs>
      <w:spacing w:before="0" w:after="0"/>
    </w:pPr>
  </w:style>
  <w:style w:type="paragraph" w:customStyle="1" w:styleId="TOFTitle">
    <w:name w:val="TOFTitle"/>
    <w:basedOn w:val="TOCTitle"/>
    <w:rsid w:val="006577DE"/>
  </w:style>
  <w:style w:type="paragraph" w:styleId="TableofFigures">
    <w:name w:val="table of figures"/>
    <w:basedOn w:val="Normal"/>
    <w:next w:val="Normal"/>
    <w:semiHidden/>
    <w:rsid w:val="006577DE"/>
    <w:pPr>
      <w:tabs>
        <w:tab w:val="right" w:leader="dot" w:pos="9072"/>
      </w:tabs>
      <w:ind w:left="970" w:hanging="403"/>
    </w:pPr>
    <w:rPr>
      <w:rFonts w:ascii="Times New Roman" w:hAnsi="Times New Roman"/>
      <w:b/>
    </w:rPr>
  </w:style>
  <w:style w:type="paragraph" w:styleId="ListNumber">
    <w:name w:val="List Number"/>
    <w:basedOn w:val="List"/>
    <w:rsid w:val="006577DE"/>
    <w:pPr>
      <w:numPr>
        <w:numId w:val="14"/>
      </w:numPr>
      <w:tabs>
        <w:tab w:val="clear" w:pos="340"/>
      </w:tabs>
    </w:pPr>
  </w:style>
  <w:style w:type="character" w:customStyle="1" w:styleId="WingdingSymbols">
    <w:name w:val="Wingding Symbols"/>
    <w:rsid w:val="006577DE"/>
    <w:rPr>
      <w:rFonts w:ascii="Wingdings" w:hAnsi="Wingdings"/>
    </w:rPr>
  </w:style>
  <w:style w:type="paragraph" w:customStyle="1" w:styleId="TableHeading">
    <w:name w:val="Table Heading"/>
    <w:basedOn w:val="HeadingBase"/>
    <w:rsid w:val="006577DE"/>
    <w:pPr>
      <w:keepLines/>
      <w:pBdr>
        <w:bottom w:val="single" w:sz="6" w:space="1" w:color="918585"/>
      </w:pBdr>
      <w:spacing w:before="240"/>
    </w:pPr>
  </w:style>
  <w:style w:type="character" w:customStyle="1" w:styleId="HotSpot">
    <w:name w:val="HotSpot"/>
    <w:rsid w:val="006577DE"/>
    <w:rPr>
      <w:color w:val="0033CC"/>
      <w:u w:val="none"/>
    </w:rPr>
  </w:style>
  <w:style w:type="paragraph" w:customStyle="1" w:styleId="BodyTextRight">
    <w:name w:val="Body Text Right"/>
    <w:basedOn w:val="BodyText"/>
    <w:rsid w:val="006577DE"/>
    <w:pPr>
      <w:spacing w:before="0" w:after="0"/>
      <w:jc w:val="right"/>
    </w:pPr>
  </w:style>
  <w:style w:type="paragraph" w:styleId="Index3">
    <w:name w:val="index 3"/>
    <w:basedOn w:val="ListNumber2"/>
    <w:next w:val="Normal"/>
    <w:semiHidden/>
    <w:rsid w:val="006577DE"/>
    <w:pPr>
      <w:numPr>
        <w:numId w:val="0"/>
      </w:numPr>
      <w:tabs>
        <w:tab w:val="right" w:leader="dot" w:pos="4176"/>
      </w:tabs>
    </w:pPr>
  </w:style>
  <w:style w:type="paragraph" w:styleId="ListNumber2">
    <w:name w:val="List Number 2"/>
    <w:basedOn w:val="List2"/>
    <w:rsid w:val="006577DE"/>
    <w:pPr>
      <w:numPr>
        <w:numId w:val="9"/>
      </w:numPr>
      <w:tabs>
        <w:tab w:val="clear" w:pos="1060"/>
      </w:tabs>
    </w:pPr>
  </w:style>
  <w:style w:type="paragraph" w:customStyle="1" w:styleId="MarginNote">
    <w:name w:val="Margin Note"/>
    <w:basedOn w:val="BodyText"/>
    <w:rsid w:val="006577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77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77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77DE"/>
    <w:rPr>
      <w:sz w:val="32"/>
    </w:rPr>
  </w:style>
  <w:style w:type="paragraph" w:customStyle="1" w:styleId="HeadingProcedure">
    <w:name w:val="Heading Procedure"/>
    <w:basedOn w:val="HeadingBase"/>
    <w:next w:val="Normal"/>
    <w:rsid w:val="006577DE"/>
    <w:pPr>
      <w:tabs>
        <w:tab w:val="left" w:pos="0"/>
      </w:tabs>
      <w:spacing w:before="120" w:after="60"/>
    </w:pPr>
    <w:rPr>
      <w:i/>
      <w:color w:val="918585"/>
      <w:sz w:val="22"/>
    </w:rPr>
  </w:style>
  <w:style w:type="paragraph" w:customStyle="1" w:styleId="TableBodyText">
    <w:name w:val="Table Body Text"/>
    <w:basedOn w:val="BodyText"/>
    <w:rsid w:val="006577DE"/>
    <w:pPr>
      <w:spacing w:before="60" w:after="60"/>
    </w:pPr>
  </w:style>
  <w:style w:type="paragraph" w:styleId="ListContinue">
    <w:name w:val="List Continue"/>
    <w:basedOn w:val="List"/>
    <w:rsid w:val="006577DE"/>
    <w:pPr>
      <w:ind w:firstLine="0"/>
    </w:pPr>
  </w:style>
  <w:style w:type="paragraph" w:customStyle="1" w:styleId="ListNote">
    <w:name w:val="List Note"/>
    <w:basedOn w:val="List"/>
    <w:rsid w:val="006577DE"/>
    <w:pPr>
      <w:pBdr>
        <w:top w:val="single" w:sz="6" w:space="2" w:color="918585"/>
        <w:bottom w:val="single" w:sz="6" w:space="2" w:color="918585"/>
      </w:pBdr>
      <w:tabs>
        <w:tab w:val="left" w:pos="1021"/>
      </w:tabs>
      <w:ind w:firstLine="0"/>
    </w:pPr>
  </w:style>
  <w:style w:type="paragraph" w:customStyle="1" w:styleId="Warning">
    <w:name w:val="Warning"/>
    <w:basedOn w:val="BodyText"/>
    <w:rsid w:val="006577DE"/>
    <w:pPr>
      <w:shd w:val="clear" w:color="auto" w:fill="D9D9D9"/>
      <w:tabs>
        <w:tab w:val="left" w:pos="992"/>
      </w:tabs>
      <w:ind w:left="119" w:right="119"/>
    </w:pPr>
    <w:rPr>
      <w:sz w:val="20"/>
    </w:rPr>
  </w:style>
  <w:style w:type="paragraph" w:customStyle="1" w:styleId="MarginIcons">
    <w:name w:val="Margin Icons"/>
    <w:basedOn w:val="BodyText"/>
    <w:rsid w:val="006577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77DE"/>
    <w:rPr>
      <w:rFonts w:ascii="Courier New" w:hAnsi="Courier New"/>
    </w:rPr>
  </w:style>
  <w:style w:type="paragraph" w:customStyle="1" w:styleId="NoteBullet">
    <w:name w:val="Note Bullet"/>
    <w:basedOn w:val="Note"/>
    <w:rsid w:val="006577DE"/>
    <w:pPr>
      <w:tabs>
        <w:tab w:val="clear" w:pos="680"/>
      </w:tabs>
      <w:spacing w:before="60" w:after="60"/>
    </w:pPr>
  </w:style>
  <w:style w:type="paragraph" w:customStyle="1" w:styleId="SubHeading2">
    <w:name w:val="SubHeading2"/>
    <w:basedOn w:val="HeadingBase"/>
    <w:rsid w:val="006577DE"/>
    <w:pPr>
      <w:spacing w:before="240" w:after="60"/>
    </w:pPr>
    <w:rPr>
      <w:sz w:val="20"/>
    </w:rPr>
  </w:style>
  <w:style w:type="paragraph" w:customStyle="1" w:styleId="SubHeading1">
    <w:name w:val="SubHeading1"/>
    <w:basedOn w:val="HeadingBase"/>
    <w:rsid w:val="006577DE"/>
    <w:pPr>
      <w:spacing w:before="240" w:after="60"/>
    </w:pPr>
    <w:rPr>
      <w:color w:val="918585"/>
      <w:sz w:val="22"/>
    </w:rPr>
  </w:style>
  <w:style w:type="paragraph" w:customStyle="1" w:styleId="SideHeading">
    <w:name w:val="Side Heading"/>
    <w:basedOn w:val="HeadingBase"/>
    <w:rsid w:val="006577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77DE"/>
    <w:pPr>
      <w:numPr>
        <w:numId w:val="10"/>
      </w:numPr>
    </w:pPr>
  </w:style>
  <w:style w:type="paragraph" w:styleId="PlainText">
    <w:name w:val="Plain Text"/>
    <w:basedOn w:val="Normal"/>
    <w:link w:val="PlainTextChar"/>
    <w:rsid w:val="006577DE"/>
    <w:rPr>
      <w:sz w:val="20"/>
    </w:rPr>
  </w:style>
  <w:style w:type="character" w:customStyle="1" w:styleId="PlainTextChar">
    <w:name w:val="Plain Text Char"/>
    <w:basedOn w:val="DefaultParagraphFont"/>
    <w:link w:val="PlainText"/>
    <w:rsid w:val="006577DE"/>
    <w:rPr>
      <w:rFonts w:ascii="Courier New" w:eastAsia="Times New Roman" w:hAnsi="Courier New" w:cs="Times New Roman"/>
      <w:sz w:val="20"/>
      <w:szCs w:val="20"/>
      <w:lang w:eastAsia="en-US"/>
    </w:rPr>
  </w:style>
  <w:style w:type="character" w:customStyle="1" w:styleId="MenuOption">
    <w:name w:val="Menu Option"/>
    <w:basedOn w:val="DefaultParagraphFont"/>
    <w:rsid w:val="006577DE"/>
    <w:rPr>
      <w:b/>
      <w:smallCaps/>
    </w:rPr>
  </w:style>
  <w:style w:type="paragraph" w:customStyle="1" w:styleId="TableListNumber">
    <w:name w:val="Table List Number"/>
    <w:basedOn w:val="ListNumber"/>
    <w:rsid w:val="006577DE"/>
    <w:pPr>
      <w:numPr>
        <w:numId w:val="0"/>
      </w:numPr>
    </w:pPr>
  </w:style>
  <w:style w:type="paragraph" w:styleId="TOC4">
    <w:name w:val="toc 4"/>
    <w:basedOn w:val="TOCBase"/>
    <w:next w:val="Normal"/>
    <w:semiHidden/>
    <w:rsid w:val="006577DE"/>
    <w:pPr>
      <w:tabs>
        <w:tab w:val="right" w:leader="dot" w:pos="9071"/>
      </w:tabs>
      <w:ind w:left="1701"/>
    </w:pPr>
  </w:style>
  <w:style w:type="paragraph" w:customStyle="1" w:styleId="ListAlpha">
    <w:name w:val="List Alpha"/>
    <w:basedOn w:val="List"/>
    <w:rsid w:val="006577DE"/>
    <w:pPr>
      <w:numPr>
        <w:numId w:val="8"/>
      </w:numPr>
    </w:pPr>
  </w:style>
  <w:style w:type="paragraph" w:customStyle="1" w:styleId="ListAlpha2">
    <w:name w:val="List Alpha 2"/>
    <w:basedOn w:val="List2"/>
    <w:rsid w:val="006577DE"/>
    <w:pPr>
      <w:numPr>
        <w:numId w:val="7"/>
      </w:numPr>
    </w:pPr>
  </w:style>
  <w:style w:type="paragraph" w:styleId="List2">
    <w:name w:val="List 2"/>
    <w:basedOn w:val="BodyText"/>
    <w:rsid w:val="006577DE"/>
    <w:pPr>
      <w:tabs>
        <w:tab w:val="left" w:pos="680"/>
      </w:tabs>
      <w:spacing w:before="60" w:after="60"/>
      <w:ind w:left="680" w:hanging="340"/>
    </w:pPr>
  </w:style>
  <w:style w:type="paragraph" w:styleId="List3">
    <w:name w:val="List 3"/>
    <w:basedOn w:val="BodyText"/>
    <w:rsid w:val="006577DE"/>
    <w:pPr>
      <w:tabs>
        <w:tab w:val="left" w:pos="1021"/>
      </w:tabs>
      <w:spacing w:before="60" w:after="60"/>
      <w:ind w:left="1020" w:hanging="340"/>
    </w:pPr>
  </w:style>
  <w:style w:type="paragraph" w:styleId="List4">
    <w:name w:val="List 4"/>
    <w:basedOn w:val="BodyText"/>
    <w:rsid w:val="006577DE"/>
    <w:pPr>
      <w:tabs>
        <w:tab w:val="left" w:pos="1361"/>
      </w:tabs>
      <w:spacing w:before="60" w:after="60"/>
      <w:ind w:left="1361" w:hanging="340"/>
    </w:pPr>
  </w:style>
  <w:style w:type="paragraph" w:styleId="List5">
    <w:name w:val="List 5"/>
    <w:basedOn w:val="BodyText"/>
    <w:rsid w:val="006577DE"/>
    <w:pPr>
      <w:tabs>
        <w:tab w:val="left" w:pos="1701"/>
      </w:tabs>
      <w:spacing w:before="60" w:after="60"/>
      <w:ind w:left="1701" w:hanging="340"/>
    </w:pPr>
  </w:style>
  <w:style w:type="paragraph" w:styleId="ListBullet3">
    <w:name w:val="List Bullet 3"/>
    <w:basedOn w:val="List3"/>
    <w:rsid w:val="006577DE"/>
    <w:pPr>
      <w:numPr>
        <w:numId w:val="13"/>
      </w:numPr>
      <w:tabs>
        <w:tab w:val="clear" w:pos="1021"/>
      </w:tabs>
      <w:ind w:left="1037" w:hanging="357"/>
    </w:pPr>
  </w:style>
  <w:style w:type="paragraph" w:styleId="ListBullet4">
    <w:name w:val="List Bullet 4"/>
    <w:basedOn w:val="List4"/>
    <w:rsid w:val="006577DE"/>
    <w:pPr>
      <w:numPr>
        <w:numId w:val="2"/>
      </w:numPr>
      <w:tabs>
        <w:tab w:val="clear" w:pos="1361"/>
      </w:tabs>
    </w:pPr>
  </w:style>
  <w:style w:type="paragraph" w:styleId="ListBullet5">
    <w:name w:val="List Bullet 5"/>
    <w:basedOn w:val="List5"/>
    <w:rsid w:val="006577DE"/>
    <w:pPr>
      <w:numPr>
        <w:numId w:val="3"/>
      </w:numPr>
    </w:pPr>
  </w:style>
  <w:style w:type="paragraph" w:styleId="ListContinue2">
    <w:name w:val="List Continue 2"/>
    <w:basedOn w:val="List2"/>
    <w:rsid w:val="006577DE"/>
    <w:pPr>
      <w:ind w:firstLine="0"/>
    </w:pPr>
  </w:style>
  <w:style w:type="paragraph" w:styleId="ListContinue3">
    <w:name w:val="List Continue 3"/>
    <w:basedOn w:val="List3"/>
    <w:rsid w:val="006577DE"/>
    <w:pPr>
      <w:ind w:left="1021" w:firstLine="0"/>
    </w:pPr>
  </w:style>
  <w:style w:type="paragraph" w:styleId="ListContinue4">
    <w:name w:val="List Continue 4"/>
    <w:basedOn w:val="List4"/>
    <w:rsid w:val="006577DE"/>
    <w:pPr>
      <w:ind w:firstLine="0"/>
    </w:pPr>
  </w:style>
  <w:style w:type="paragraph" w:styleId="ListContinue5">
    <w:name w:val="List Continue 5"/>
    <w:basedOn w:val="List5"/>
    <w:rsid w:val="006577DE"/>
    <w:pPr>
      <w:ind w:firstLine="0"/>
    </w:pPr>
  </w:style>
  <w:style w:type="paragraph" w:styleId="ListNumber3">
    <w:name w:val="List Number 3"/>
    <w:basedOn w:val="List3"/>
    <w:rsid w:val="006577DE"/>
    <w:pPr>
      <w:numPr>
        <w:numId w:val="4"/>
      </w:numPr>
    </w:pPr>
  </w:style>
  <w:style w:type="paragraph" w:styleId="ListNumber4">
    <w:name w:val="List Number 4"/>
    <w:basedOn w:val="List4"/>
    <w:rsid w:val="006577DE"/>
    <w:pPr>
      <w:numPr>
        <w:numId w:val="5"/>
      </w:numPr>
    </w:pPr>
  </w:style>
  <w:style w:type="paragraph" w:styleId="ListNumber5">
    <w:name w:val="List Number 5"/>
    <w:basedOn w:val="List5"/>
    <w:rsid w:val="006577DE"/>
    <w:pPr>
      <w:numPr>
        <w:numId w:val="6"/>
      </w:numPr>
    </w:pPr>
  </w:style>
  <w:style w:type="paragraph" w:styleId="BlockText">
    <w:name w:val="Block Text"/>
    <w:basedOn w:val="Normal"/>
    <w:rsid w:val="006577DE"/>
    <w:pPr>
      <w:spacing w:after="120"/>
      <w:ind w:left="1440" w:right="1440"/>
    </w:pPr>
  </w:style>
  <w:style w:type="character" w:customStyle="1" w:styleId="Subscript">
    <w:name w:val="Subscript"/>
    <w:basedOn w:val="DefaultParagraphFont"/>
    <w:rsid w:val="006577DE"/>
    <w:rPr>
      <w:sz w:val="16"/>
      <w:vertAlign w:val="subscript"/>
    </w:rPr>
  </w:style>
  <w:style w:type="character" w:customStyle="1" w:styleId="Superscript">
    <w:name w:val="Superscript"/>
    <w:basedOn w:val="DefaultParagraphFont"/>
    <w:rsid w:val="006577DE"/>
    <w:rPr>
      <w:sz w:val="16"/>
      <w:vertAlign w:val="superscript"/>
    </w:rPr>
  </w:style>
  <w:style w:type="character" w:customStyle="1" w:styleId="Symbols">
    <w:name w:val="Symbols"/>
    <w:basedOn w:val="DefaultParagraphFont"/>
    <w:rsid w:val="006577DE"/>
    <w:rPr>
      <w:rFonts w:ascii="Symbol" w:hAnsi="Symbol"/>
    </w:rPr>
  </w:style>
  <w:style w:type="character" w:customStyle="1" w:styleId="MenuOptions">
    <w:name w:val="Menu Options"/>
    <w:basedOn w:val="DefaultParagraphFont"/>
    <w:rsid w:val="006577DE"/>
    <w:rPr>
      <w:rFonts w:ascii="Arial Narrow" w:hAnsi="Arial Narrow"/>
      <w:smallCaps/>
    </w:rPr>
  </w:style>
  <w:style w:type="character" w:customStyle="1" w:styleId="Buttons">
    <w:name w:val="Buttons"/>
    <w:basedOn w:val="DefaultParagraphFont"/>
    <w:rsid w:val="006577DE"/>
    <w:rPr>
      <w:b/>
    </w:rPr>
  </w:style>
  <w:style w:type="character" w:customStyle="1" w:styleId="Underlined">
    <w:name w:val="Underlined"/>
    <w:basedOn w:val="DefaultParagraphFont"/>
    <w:rsid w:val="006577DE"/>
    <w:rPr>
      <w:u w:val="single"/>
    </w:rPr>
  </w:style>
  <w:style w:type="paragraph" w:customStyle="1" w:styleId="TableBodyTextRight">
    <w:name w:val="Table Body Text Right"/>
    <w:basedOn w:val="TableBodyText"/>
    <w:rsid w:val="006577DE"/>
    <w:pPr>
      <w:widowControl w:val="0"/>
      <w:autoSpaceDE w:val="0"/>
      <w:autoSpaceDN w:val="0"/>
      <w:adjustRightInd w:val="0"/>
      <w:jc w:val="right"/>
    </w:pPr>
    <w:rPr>
      <w:rFonts w:cs="Arial"/>
      <w:szCs w:val="18"/>
    </w:rPr>
  </w:style>
  <w:style w:type="paragraph" w:customStyle="1" w:styleId="CopyrightText">
    <w:name w:val="Copyright Text"/>
    <w:basedOn w:val="BodyText"/>
    <w:rsid w:val="006577DE"/>
    <w:rPr>
      <w:sz w:val="18"/>
    </w:rPr>
  </w:style>
  <w:style w:type="paragraph" w:customStyle="1" w:styleId="BodySmallRight">
    <w:name w:val="Body Small Right"/>
    <w:basedOn w:val="BodyTextRight"/>
    <w:rsid w:val="006577DE"/>
    <w:rPr>
      <w:sz w:val="18"/>
      <w:szCs w:val="18"/>
    </w:rPr>
  </w:style>
  <w:style w:type="paragraph" w:customStyle="1" w:styleId="MarginEdition">
    <w:name w:val="Margin Edition"/>
    <w:basedOn w:val="MarginNote"/>
    <w:rsid w:val="006577DE"/>
    <w:pPr>
      <w:spacing w:before="0" w:after="0"/>
    </w:pPr>
    <w:rPr>
      <w:rFonts w:ascii="Times New Roman" w:hAnsi="Times New Roman"/>
      <w:color w:val="999999"/>
    </w:rPr>
  </w:style>
  <w:style w:type="paragraph" w:customStyle="1" w:styleId="Spacer">
    <w:name w:val="Spacer"/>
    <w:basedOn w:val="Normal"/>
    <w:rsid w:val="006577DE"/>
    <w:rPr>
      <w:sz w:val="2"/>
      <w:szCs w:val="2"/>
    </w:rPr>
  </w:style>
  <w:style w:type="character" w:customStyle="1" w:styleId="Small">
    <w:name w:val="Small"/>
    <w:basedOn w:val="DefaultParagraphFont"/>
    <w:rsid w:val="006577DE"/>
    <w:rPr>
      <w:sz w:val="16"/>
    </w:rPr>
  </w:style>
  <w:style w:type="paragraph" w:customStyle="1" w:styleId="WideTable">
    <w:name w:val="Wide Table"/>
    <w:basedOn w:val="Normal"/>
    <w:rsid w:val="006577DE"/>
    <w:pPr>
      <w:ind w:left="-1418"/>
    </w:pPr>
    <w:rPr>
      <w:sz w:val="2"/>
      <w:szCs w:val="2"/>
    </w:rPr>
  </w:style>
  <w:style w:type="character" w:styleId="PageNumber">
    <w:name w:val="page number"/>
    <w:basedOn w:val="DefaultParagraphFont"/>
    <w:rsid w:val="006577DE"/>
  </w:style>
  <w:style w:type="paragraph" w:styleId="Quote">
    <w:name w:val="Quote"/>
    <w:basedOn w:val="Heading1"/>
    <w:link w:val="QuoteChar"/>
    <w:qFormat/>
    <w:rsid w:val="006577DE"/>
    <w:rPr>
      <w:b w:val="0"/>
      <w:sz w:val="72"/>
      <w:szCs w:val="72"/>
      <w:lang w:val="en-NZ"/>
    </w:rPr>
  </w:style>
  <w:style w:type="character" w:customStyle="1" w:styleId="QuoteChar">
    <w:name w:val="Quote Char"/>
    <w:basedOn w:val="DefaultParagraphFont"/>
    <w:link w:val="Quote"/>
    <w:rsid w:val="006577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77DE"/>
    <w:pPr>
      <w:pageBreakBefore/>
    </w:pPr>
  </w:style>
  <w:style w:type="paragraph" w:customStyle="1" w:styleId="Border">
    <w:name w:val="Border"/>
    <w:basedOn w:val="Normal"/>
    <w:qFormat/>
    <w:rsid w:val="006577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77DE"/>
    <w:rPr>
      <w:b/>
      <w:bCs/>
      <w:i/>
      <w:iCs/>
      <w:color w:val="auto"/>
    </w:rPr>
  </w:style>
  <w:style w:type="paragraph" w:styleId="IntenseQuote">
    <w:name w:val="Intense Quote"/>
    <w:basedOn w:val="Normal"/>
    <w:next w:val="Normal"/>
    <w:link w:val="IntenseQuoteChar"/>
    <w:uiPriority w:val="30"/>
    <w:qFormat/>
    <w:rsid w:val="006577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77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77DE"/>
    <w:rPr>
      <w:smallCaps/>
      <w:color w:val="auto"/>
      <w:u w:val="single"/>
    </w:rPr>
  </w:style>
  <w:style w:type="character" w:styleId="IntenseReference">
    <w:name w:val="Intense Reference"/>
    <w:basedOn w:val="DefaultParagraphFont"/>
    <w:uiPriority w:val="32"/>
    <w:qFormat/>
    <w:rsid w:val="006577DE"/>
    <w:rPr>
      <w:b/>
      <w:bCs/>
      <w:smallCaps/>
      <w:color w:val="auto"/>
      <w:spacing w:val="5"/>
      <w:u w:val="single"/>
    </w:rPr>
  </w:style>
  <w:style w:type="paragraph" w:customStyle="1" w:styleId="2ColumnHeading">
    <w:name w:val="2Column Heading"/>
    <w:basedOn w:val="BodyText"/>
    <w:qFormat/>
    <w:rsid w:val="006577DE"/>
    <w:pPr>
      <w:spacing w:after="60"/>
      <w:ind w:left="-2268"/>
    </w:pPr>
    <w:rPr>
      <w:b/>
    </w:rPr>
  </w:style>
  <w:style w:type="paragraph" w:customStyle="1" w:styleId="Heading1TOC">
    <w:name w:val="Heading1 TOC"/>
    <w:basedOn w:val="Normal"/>
    <w:qFormat/>
    <w:rsid w:val="006577DE"/>
    <w:pPr>
      <w:spacing w:before="240" w:after="120"/>
    </w:pPr>
    <w:rPr>
      <w:rFonts w:ascii="Times New Roman" w:hAnsi="Times New Roman"/>
      <w:b/>
      <w:sz w:val="32"/>
    </w:rPr>
  </w:style>
  <w:style w:type="paragraph" w:customStyle="1" w:styleId="Heading2TOC">
    <w:name w:val="Heading2 TOC"/>
    <w:basedOn w:val="Normal"/>
    <w:qFormat/>
    <w:rsid w:val="006577DE"/>
    <w:pPr>
      <w:spacing w:before="240" w:after="60"/>
    </w:pPr>
    <w:rPr>
      <w:rFonts w:ascii="Times New Roman" w:hAnsi="Times New Roman"/>
      <w:b/>
      <w:sz w:val="28"/>
    </w:rPr>
  </w:style>
  <w:style w:type="character" w:customStyle="1" w:styleId="Underline">
    <w:name w:val="Underline"/>
    <w:basedOn w:val="DefaultParagraphFont"/>
    <w:qFormat/>
    <w:rsid w:val="006577DE"/>
    <w:rPr>
      <w:u w:val="single"/>
    </w:rPr>
  </w:style>
  <w:style w:type="character" w:customStyle="1" w:styleId="BoldandItalics">
    <w:name w:val="Bold and Italics"/>
    <w:qFormat/>
    <w:rsid w:val="006577DE"/>
    <w:rPr>
      <w:b/>
      <w:i/>
      <w:u w:val="none"/>
    </w:rPr>
  </w:style>
  <w:style w:type="paragraph" w:styleId="BalloonText">
    <w:name w:val="Balloon Text"/>
    <w:basedOn w:val="Normal"/>
    <w:link w:val="BalloonTextChar"/>
    <w:rsid w:val="006577DE"/>
    <w:rPr>
      <w:rFonts w:ascii="Tahoma" w:hAnsi="Tahoma" w:cs="Tahoma"/>
      <w:sz w:val="16"/>
      <w:szCs w:val="16"/>
    </w:rPr>
  </w:style>
  <w:style w:type="character" w:customStyle="1" w:styleId="BalloonTextChar">
    <w:name w:val="Balloon Text Char"/>
    <w:basedOn w:val="DefaultParagraphFont"/>
    <w:link w:val="BalloonText"/>
    <w:rsid w:val="006577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77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577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77DE"/>
    <w:rPr>
      <w:b/>
      <w:color w:val="660033"/>
      <w:spacing w:val="0"/>
    </w:rPr>
  </w:style>
  <w:style w:type="paragraph" w:customStyle="1" w:styleId="Nameditemlist">
    <w:name w:val="Named item list"/>
    <w:basedOn w:val="BodyText"/>
    <w:qFormat/>
    <w:rsid w:val="006577DE"/>
    <w:pPr>
      <w:tabs>
        <w:tab w:val="left" w:pos="2835"/>
      </w:tabs>
      <w:ind w:left="2835" w:hanging="2835"/>
    </w:pPr>
  </w:style>
  <w:style w:type="paragraph" w:customStyle="1" w:styleId="BodyTextnopadding">
    <w:name w:val="Body Text no padding"/>
    <w:basedOn w:val="BodyText"/>
    <w:qFormat/>
    <w:rsid w:val="006577DE"/>
    <w:pPr>
      <w:spacing w:before="0" w:after="0"/>
    </w:pPr>
  </w:style>
  <w:style w:type="paragraph" w:customStyle="1" w:styleId="BodyTextBold">
    <w:name w:val="Body Text Bold"/>
    <w:basedOn w:val="BodyText"/>
    <w:qFormat/>
    <w:rsid w:val="006577DE"/>
    <w:rPr>
      <w:b/>
    </w:rPr>
  </w:style>
  <w:style w:type="character" w:styleId="Hyperlink">
    <w:name w:val="Hyperlink"/>
    <w:basedOn w:val="DefaultParagraphFont"/>
    <w:uiPriority w:val="99"/>
    <w:unhideWhenUsed/>
    <w:rsid w:val="004A09A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1124</Words>
  <Characters>6805</Characters>
  <Application>Microsoft Office Word</Application>
  <DocSecurity>0</DocSecurity>
  <Lines>400</Lines>
  <Paragraphs>203</Paragraphs>
  <ScaleCrop>false</ScaleCrop>
  <Company>Author-it Software Corporation Ltd.</Company>
  <LinksUpToDate>false</LinksUpToDate>
  <CharactersWithSpaces>7726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MARL017 Apply intermediate principles of naval architecture</dc:title>
  <dc:subject>Approved</dc:subject>
  <dc:creator>Australian Industry Standards</dc:creator>
  <cp:keywords>Release: 1</cp:keywords>
  <dc:description>Review Date: 12 April 2008</dc:description>
  <cp:lastModifiedBy>HSD_TPCMSd.prod</cp:lastModifiedBy>
  <cp:revision>3</cp:revision>
  <dcterms:created xsi:type="dcterms:W3CDTF">2020-10-27T01:02:00Z</dcterms:created>
  <dcterms:modified xsi:type="dcterms:W3CDTF">2020-10-27T01:03:00Z</dcterms:modified>
</cp:coreProperties>
</file>