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5046" w:rsidP="008B5046">
      <w:pPr>
        <w:pStyle w:val="Title"/>
      </w:pPr>
      <w:r>
        <w:fldChar w:fldCharType="begin"/>
      </w:r>
      <w:r>
        <w:instrText xml:space="preserve"> TITLE   \* MERGEFORMAT </w:instrText>
      </w:r>
      <w:r>
        <w:fldChar w:fldCharType="separate"/>
      </w:r>
      <w:r>
        <w:t>MARL015 Apply intermediate principles of marine engineering thermodynamics</w:t>
      </w:r>
      <w:r>
        <w:fldChar w:fldCharType="end"/>
      </w:r>
    </w:p>
    <w:p w:rsidR="008B5046" w:rsidP="008B5046">
      <w:pPr>
        <w:pStyle w:val="Version"/>
        <w:sectPr w:rsidSect="002A0E2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0E2C" w:rsidP="002A0E2C">
      <w:pPr>
        <w:pStyle w:val="SuperHeading"/>
      </w:pPr>
      <w:r w:rsidRPr="002A0E2C">
        <w:t>MARL015 Apply</w:t>
      </w:r>
      <w:r w:rsidRPr="002A0E2C">
        <w:t xml:space="preserve"> intermediate principles of marine engineering thermodynamics</w:t>
      </w:r>
    </w:p>
    <w:p w:rsidR="00000000" w:rsidRPr="002A0E2C" w:rsidP="002A0E2C">
      <w:pPr>
        <w:pStyle w:val="Heading1"/>
      </w:pPr>
      <w:bookmarkStart w:id="1" w:name="O_661449"/>
      <w:bookmarkEnd w:id="1"/>
      <w:r w:rsidRPr="002A0E2C">
        <w:t>Modification History</w:t>
      </w:r>
    </w:p>
    <w:p w:rsidR="00000000" w:rsidRPr="002A0E2C" w:rsidP="008B5046">
      <w:pPr>
        <w:pStyle w:val="BodyText"/>
      </w:pPr>
      <w:r w:rsidRPr="002A0E2C">
        <w:t>Release 1. New unit of competency.</w:t>
      </w:r>
    </w:p>
    <w:p w:rsidR="00000000" w:rsidRPr="002A0E2C" w:rsidP="002A0E2C">
      <w:pPr>
        <w:pStyle w:val="Heading1"/>
      </w:pPr>
      <w:bookmarkStart w:id="2" w:name="O_661450"/>
      <w:bookmarkEnd w:id="2"/>
      <w:r w:rsidRPr="002A0E2C">
        <w:t>Application</w:t>
      </w:r>
    </w:p>
    <w:p w:rsidR="00000000" w:rsidRPr="002A0E2C" w:rsidP="008B5046">
      <w:pPr>
        <w:pStyle w:val="BodyText"/>
      </w:pPr>
      <w:r w:rsidRPr="002A0E2C">
        <w:t>This unit involves the skills and knowledge required to apply intermediate principles of marine engineering thermodynamics to perform calculations and explain the operation of marine machinery, including engines, compressors, steam plants, refrigeration an</w:t>
      </w:r>
      <w:r w:rsidRPr="002A0E2C">
        <w:t>d air-conditioning units.</w:t>
      </w:r>
    </w:p>
    <w:p w:rsidR="00000000" w:rsidRPr="002A0E2C" w:rsidP="008B5046">
      <w:pPr>
        <w:pStyle w:val="BodyText"/>
      </w:pPr>
      <w:r w:rsidRPr="002A0E2C">
        <w:t xml:space="preserve">This unit applies to the work of a Marine Engineer Class 2 on commercial vessels greater than 3000 kW and forms part of the requirements for the Certificate of Competency Marine Engineer Class 2 issued by the Australian Maritime </w:t>
      </w:r>
      <w:r w:rsidRPr="002A0E2C">
        <w:t>Safety Authority (AMSA).</w:t>
      </w:r>
    </w:p>
    <w:p w:rsidR="00000000" w:rsidRPr="002A0E2C" w:rsidP="008B5046">
      <w:pPr>
        <w:pStyle w:val="BodyText"/>
      </w:pPr>
      <w:r w:rsidRPr="002A0E2C">
        <w:t>No licensing, legislative or certification requirements apply to this unit at the time of publication.</w:t>
      </w:r>
    </w:p>
    <w:p w:rsidR="00000000" w:rsidRPr="002A0E2C" w:rsidP="002A0E2C">
      <w:pPr>
        <w:pStyle w:val="Heading1"/>
      </w:pPr>
      <w:bookmarkStart w:id="3" w:name="O_661451"/>
      <w:bookmarkEnd w:id="3"/>
      <w:r w:rsidRPr="002A0E2C">
        <w:t>Pre-requisite Unit</w:t>
      </w:r>
    </w:p>
    <w:p w:rsidR="00000000" w:rsidRPr="002A0E2C" w:rsidP="008B5046">
      <w:pPr>
        <w:pStyle w:val="BodyText"/>
      </w:pPr>
      <w:r w:rsidRPr="002A0E2C">
        <w:t>Not applicable.</w:t>
      </w:r>
    </w:p>
    <w:p w:rsidR="00000000" w:rsidRPr="002A0E2C" w:rsidP="002A0E2C">
      <w:pPr>
        <w:pStyle w:val="Heading1"/>
      </w:pPr>
      <w:bookmarkStart w:id="4" w:name="O_661452"/>
      <w:bookmarkEnd w:id="4"/>
      <w:r w:rsidRPr="002A0E2C">
        <w:t>Competency Field</w:t>
      </w:r>
    </w:p>
    <w:p w:rsidR="00000000" w:rsidRPr="002A0E2C" w:rsidP="008B5046">
      <w:pPr>
        <w:pStyle w:val="BodyText"/>
      </w:pPr>
      <w:r w:rsidRPr="002A0E2C">
        <w:t>L – Marine Engineering</w:t>
      </w:r>
    </w:p>
    <w:p w:rsidR="00000000" w:rsidRPr="002A0E2C" w:rsidP="002A0E2C">
      <w:pPr>
        <w:pStyle w:val="Heading1"/>
      </w:pPr>
      <w:bookmarkStart w:id="5" w:name="O_661453"/>
      <w:bookmarkEnd w:id="5"/>
      <w:r w:rsidRPr="002A0E2C">
        <w:t>U</w:t>
      </w:r>
      <w:r w:rsidRPr="002A0E2C">
        <w:t>nit Sector</w:t>
      </w:r>
    </w:p>
    <w:p w:rsidR="00000000" w:rsidRPr="002A0E2C" w:rsidP="008B5046">
      <w:pPr>
        <w:pStyle w:val="BodyText"/>
      </w:pPr>
      <w:r w:rsidRPr="002A0E2C">
        <w:t>Not applicable.</w:t>
      </w:r>
    </w:p>
    <w:p w:rsidR="00000000" w:rsidRPr="002A0E2C" w:rsidP="002A0E2C">
      <w:pPr>
        <w:pStyle w:val="Heading1"/>
      </w:pPr>
      <w:bookmarkStart w:id="6" w:name="O_661454"/>
      <w:bookmarkEnd w:id="6"/>
      <w:r w:rsidRPr="002A0E2C">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8B5046">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2A0E2C">
            <w:pPr>
              <w:pStyle w:val="BodyText"/>
              <w:rPr>
                <w:lang w:val="en-NZ"/>
              </w:rPr>
            </w:pPr>
            <w:r w:rsidRPr="002A0E2C">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2A0E2C">
            <w:pPr>
              <w:pStyle w:val="BodyText"/>
              <w:rPr>
                <w:lang w:val="en-NZ"/>
              </w:rPr>
            </w:pPr>
            <w:r w:rsidRPr="002A0E2C">
              <w:t>Performance criteria describe the performance needed to demonstrate achievement of the element.</w:t>
            </w:r>
          </w:p>
        </w:tc>
      </w:tr>
      <w:tr w:rsidTr="008B504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2A0E2C" w:rsidP="002A0E2C">
            <w:pPr>
              <w:pStyle w:val="BodyText"/>
            </w:pPr>
            <w:r w:rsidRPr="002A0E2C">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RPr="002A0E2C" w:rsidP="002A0E2C">
            <w:pPr>
              <w:pStyle w:val="BodyText"/>
            </w:pPr>
            <w:r w:rsidRPr="002A0E2C">
              <w:rPr>
                <w:rStyle w:val="SpecialBold"/>
              </w:rPr>
              <w:t xml:space="preserve">Calculate heat mixtures involving water equivalent, </w:t>
            </w:r>
            <w:r w:rsidRPr="002A0E2C">
              <w:rPr>
                <w:rStyle w:val="SpecialBold"/>
              </w:rPr>
              <w:t>change of phase, and feed heating</w:t>
            </w:r>
          </w:p>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A0E2C">
            <w:pPr>
              <w:pStyle w:val="BodyText"/>
              <w:rPr>
                <w:lang w:val="en-NZ"/>
              </w:rPr>
            </w:pPr>
            <w:r w:rsidRPr="002A0E2C">
              <w:t>1.1</w:t>
            </w:r>
          </w:p>
        </w:tc>
        <w:tc>
          <w:tcPr>
            <w:tcW w:w="6045" w:type="dxa"/>
            <w:tcBorders>
              <w:top w:val="nil"/>
              <w:left w:val="nil"/>
              <w:bottom w:val="nil"/>
              <w:right w:val="nil"/>
            </w:tcBorders>
            <w:tcMar>
              <w:top w:w="0" w:type="dxa"/>
              <w:left w:w="62" w:type="dxa"/>
              <w:bottom w:w="0" w:type="dxa"/>
              <w:right w:w="62" w:type="dxa"/>
            </w:tcMar>
          </w:tcPr>
          <w:p w:rsidR="00000000" w:rsidP="002A0E2C">
            <w:pPr>
              <w:pStyle w:val="BodyText"/>
              <w:rPr>
                <w:lang w:val="en-NZ"/>
              </w:rPr>
            </w:pPr>
            <w:r w:rsidRPr="002A0E2C">
              <w:t>Key terms associated with heat transmission are explained</w:t>
            </w:r>
          </w:p>
        </w:tc>
      </w:tr>
      <w:tr w:rsidTr="008B504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A0E2C">
            <w:pPr>
              <w:pStyle w:val="BodyText"/>
              <w:rPr>
                <w:lang w:val="en-NZ"/>
              </w:rPr>
            </w:pPr>
            <w:r w:rsidRPr="002A0E2C">
              <w:t>1.2</w:t>
            </w:r>
          </w:p>
        </w:tc>
        <w:tc>
          <w:tcPr>
            <w:tcW w:w="6045" w:type="dxa"/>
            <w:tcBorders>
              <w:top w:val="nil"/>
              <w:left w:val="nil"/>
              <w:bottom w:val="nil"/>
              <w:right w:val="nil"/>
            </w:tcBorders>
            <w:tcMar>
              <w:top w:w="0" w:type="dxa"/>
              <w:left w:w="62" w:type="dxa"/>
              <w:bottom w:w="0" w:type="dxa"/>
              <w:right w:w="62" w:type="dxa"/>
            </w:tcMar>
          </w:tcPr>
          <w:p w:rsidR="00000000" w:rsidP="002A0E2C">
            <w:pPr>
              <w:pStyle w:val="BodyText"/>
              <w:rPr>
                <w:lang w:val="en-NZ"/>
              </w:rPr>
            </w:pPr>
            <w:r w:rsidRPr="002A0E2C">
              <w:t xml:space="preserve">Heat transfer is calculated between liquids and solids using </w:t>
            </w:r>
            <w:r w:rsidRPr="002A0E2C">
              <w:t>water equivalent</w:t>
            </w:r>
          </w:p>
        </w:tc>
      </w:tr>
      <w:tr w:rsidTr="008B504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A0E2C">
            <w:pPr>
              <w:pStyle w:val="BodyText"/>
              <w:rPr>
                <w:lang w:val="en-NZ"/>
              </w:rPr>
            </w:pPr>
            <w:r w:rsidRPr="002A0E2C">
              <w:t>1.3</w:t>
            </w:r>
          </w:p>
        </w:tc>
        <w:tc>
          <w:tcPr>
            <w:tcW w:w="6045" w:type="dxa"/>
            <w:tcBorders>
              <w:top w:val="nil"/>
              <w:left w:val="nil"/>
              <w:bottom w:val="nil"/>
              <w:right w:val="nil"/>
            </w:tcBorders>
            <w:tcMar>
              <w:top w:w="0" w:type="dxa"/>
              <w:left w:w="62" w:type="dxa"/>
              <w:bottom w:w="0" w:type="dxa"/>
              <w:right w:w="62" w:type="dxa"/>
            </w:tcMar>
          </w:tcPr>
          <w:p w:rsidR="00000000" w:rsidP="002A0E2C">
            <w:pPr>
              <w:pStyle w:val="BodyText"/>
              <w:rPr>
                <w:lang w:val="en-NZ"/>
              </w:rPr>
            </w:pPr>
            <w:r w:rsidRPr="002A0E2C">
              <w:t>Flow is differentiated from non-flow heating and cooling processes</w:t>
            </w:r>
          </w:p>
        </w:tc>
      </w:tr>
      <w:tr w:rsidTr="008B504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A0E2C">
            <w:pPr>
              <w:pStyle w:val="BodyText"/>
              <w:rPr>
                <w:lang w:val="en-NZ"/>
              </w:rPr>
            </w:pPr>
            <w:r w:rsidRPr="002A0E2C">
              <w:t>1.4</w:t>
            </w:r>
          </w:p>
        </w:tc>
        <w:tc>
          <w:tcPr>
            <w:tcW w:w="6045" w:type="dxa"/>
            <w:tcBorders>
              <w:top w:val="nil"/>
              <w:left w:val="nil"/>
              <w:bottom w:val="nil"/>
              <w:right w:val="nil"/>
            </w:tcBorders>
            <w:tcMar>
              <w:top w:w="0" w:type="dxa"/>
              <w:left w:w="62" w:type="dxa"/>
              <w:bottom w:w="0" w:type="dxa"/>
              <w:right w:w="62" w:type="dxa"/>
            </w:tcMar>
          </w:tcPr>
          <w:p w:rsidR="00000000" w:rsidP="002A0E2C">
            <w:pPr>
              <w:pStyle w:val="BodyText"/>
              <w:rPr>
                <w:lang w:val="en-NZ"/>
              </w:rPr>
            </w:pPr>
            <w:r w:rsidRPr="002A0E2C">
              <w:t>Effects of superheating and sub-cooling on steam plant efficiency are outlined</w:t>
            </w:r>
          </w:p>
        </w:tc>
      </w:tr>
      <w:tr w:rsidTr="008B504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A0E2C">
            <w:pPr>
              <w:pStyle w:val="BodyText"/>
              <w:rPr>
                <w:lang w:val="en-NZ"/>
              </w:rPr>
            </w:pPr>
            <w:r w:rsidRPr="002A0E2C">
              <w:t>1.5</w:t>
            </w:r>
          </w:p>
        </w:tc>
        <w:tc>
          <w:tcPr>
            <w:tcW w:w="6045" w:type="dxa"/>
            <w:tcBorders>
              <w:top w:val="nil"/>
              <w:left w:val="nil"/>
              <w:bottom w:val="nil"/>
              <w:right w:val="nil"/>
            </w:tcBorders>
            <w:tcMar>
              <w:top w:w="0" w:type="dxa"/>
              <w:left w:w="62" w:type="dxa"/>
              <w:bottom w:w="0" w:type="dxa"/>
              <w:right w:w="62" w:type="dxa"/>
            </w:tcMar>
          </w:tcPr>
          <w:p w:rsidR="00000000" w:rsidP="002A0E2C">
            <w:pPr>
              <w:pStyle w:val="BodyText"/>
              <w:rPr>
                <w:lang w:val="en-NZ"/>
              </w:rPr>
            </w:pPr>
            <w:r w:rsidRPr="002A0E2C">
              <w:t>Mass balance throughout a steam plant cycle is constructed and effects of pressure and temperatu</w:t>
            </w:r>
            <w:r w:rsidRPr="002A0E2C">
              <w:t>re on cycle efficiency are analysed</w:t>
            </w:r>
          </w:p>
        </w:tc>
      </w:tr>
      <w:tr w:rsidTr="008B504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2A0E2C" w:rsidP="002A0E2C">
            <w:pPr>
              <w:pStyle w:val="BodyText"/>
            </w:pPr>
            <w:r w:rsidRPr="002A0E2C">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RPr="002A0E2C" w:rsidP="002A0E2C">
            <w:pPr>
              <w:pStyle w:val="BodyText"/>
            </w:pPr>
            <w:r w:rsidRPr="002A0E2C">
              <w:rPr>
                <w:rStyle w:val="SpecialBold"/>
              </w:rPr>
              <w:t>Determine fluid properties of steam</w:t>
            </w:r>
          </w:p>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A0E2C">
            <w:pPr>
              <w:pStyle w:val="BodyText"/>
              <w:rPr>
                <w:lang w:val="en-NZ"/>
              </w:rPr>
            </w:pPr>
            <w:r w:rsidRPr="002A0E2C">
              <w:t>2.1</w:t>
            </w:r>
          </w:p>
        </w:tc>
        <w:tc>
          <w:tcPr>
            <w:tcW w:w="6045" w:type="dxa"/>
            <w:tcBorders>
              <w:top w:val="nil"/>
              <w:left w:val="nil"/>
              <w:bottom w:val="nil"/>
              <w:right w:val="nil"/>
            </w:tcBorders>
            <w:tcMar>
              <w:top w:w="0" w:type="dxa"/>
              <w:left w:w="62" w:type="dxa"/>
              <w:bottom w:w="0" w:type="dxa"/>
              <w:right w:w="62" w:type="dxa"/>
            </w:tcMar>
          </w:tcPr>
          <w:p w:rsidR="00000000" w:rsidP="002A0E2C">
            <w:pPr>
              <w:pStyle w:val="BodyText"/>
              <w:rPr>
                <w:lang w:val="en-NZ"/>
              </w:rPr>
            </w:pPr>
            <w:r w:rsidRPr="002A0E2C">
              <w:t>Relationship between saturated and superheated steam, including dryness fraction, is explained</w:t>
            </w:r>
          </w:p>
        </w:tc>
      </w:tr>
      <w:tr w:rsidTr="008B504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A0E2C">
            <w:pPr>
              <w:pStyle w:val="BodyText"/>
              <w:rPr>
                <w:lang w:val="en-NZ"/>
              </w:rPr>
            </w:pPr>
            <w:r w:rsidRPr="002A0E2C">
              <w:t>2.2</w:t>
            </w:r>
          </w:p>
        </w:tc>
        <w:tc>
          <w:tcPr>
            <w:tcW w:w="6045" w:type="dxa"/>
            <w:tcBorders>
              <w:top w:val="nil"/>
              <w:left w:val="nil"/>
              <w:bottom w:val="nil"/>
              <w:right w:val="nil"/>
            </w:tcBorders>
            <w:tcMar>
              <w:top w:w="0" w:type="dxa"/>
              <w:left w:w="62" w:type="dxa"/>
              <w:bottom w:w="0" w:type="dxa"/>
              <w:right w:w="62" w:type="dxa"/>
            </w:tcMar>
          </w:tcPr>
          <w:p w:rsidR="00000000" w:rsidP="002A0E2C">
            <w:pPr>
              <w:pStyle w:val="BodyText"/>
              <w:rPr>
                <w:lang w:val="en-NZ"/>
              </w:rPr>
            </w:pPr>
            <w:r w:rsidRPr="002A0E2C">
              <w:t>Regions on a temperature/enthalpy diagram are constructed and identified</w:t>
            </w:r>
          </w:p>
        </w:tc>
      </w:tr>
      <w:tr w:rsidTr="008B504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A0E2C">
            <w:pPr>
              <w:pStyle w:val="BodyText"/>
              <w:rPr>
                <w:lang w:val="en-NZ"/>
              </w:rPr>
            </w:pPr>
            <w:r w:rsidRPr="002A0E2C">
              <w:t>2.3</w:t>
            </w:r>
          </w:p>
        </w:tc>
        <w:tc>
          <w:tcPr>
            <w:tcW w:w="6045" w:type="dxa"/>
            <w:tcBorders>
              <w:top w:val="nil"/>
              <w:left w:val="nil"/>
              <w:bottom w:val="nil"/>
              <w:right w:val="nil"/>
            </w:tcBorders>
            <w:tcMar>
              <w:top w:w="0" w:type="dxa"/>
              <w:left w:w="62" w:type="dxa"/>
              <w:bottom w:w="0" w:type="dxa"/>
              <w:right w:w="62" w:type="dxa"/>
            </w:tcMar>
          </w:tcPr>
          <w:p w:rsidR="00000000" w:rsidP="002A0E2C">
            <w:pPr>
              <w:pStyle w:val="BodyText"/>
              <w:rPr>
                <w:lang w:val="en-NZ"/>
              </w:rPr>
            </w:pPr>
            <w:r w:rsidRPr="002A0E2C">
              <w:t>Steam tables are used to determine fluid properties</w:t>
            </w:r>
          </w:p>
        </w:tc>
      </w:tr>
      <w:tr w:rsidTr="008B504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A0E2C">
            <w:pPr>
              <w:pStyle w:val="BodyText"/>
              <w:rPr>
                <w:lang w:val="en-NZ"/>
              </w:rPr>
            </w:pPr>
            <w:r w:rsidRPr="002A0E2C">
              <w:t>2.4</w:t>
            </w:r>
          </w:p>
        </w:tc>
        <w:tc>
          <w:tcPr>
            <w:tcW w:w="6045" w:type="dxa"/>
            <w:tcBorders>
              <w:top w:val="nil"/>
              <w:left w:val="nil"/>
              <w:bottom w:val="nil"/>
              <w:right w:val="nil"/>
            </w:tcBorders>
            <w:tcMar>
              <w:top w:w="0" w:type="dxa"/>
              <w:left w:w="62" w:type="dxa"/>
              <w:bottom w:w="0" w:type="dxa"/>
              <w:right w:w="62" w:type="dxa"/>
            </w:tcMar>
          </w:tcPr>
          <w:p w:rsidR="00000000" w:rsidP="002A0E2C">
            <w:pPr>
              <w:pStyle w:val="BodyText"/>
              <w:rPr>
                <w:lang w:val="en-NZ"/>
              </w:rPr>
            </w:pPr>
            <w:r w:rsidRPr="002A0E2C">
              <w:t>Changes of enthalpy throughout a system are identified</w:t>
            </w:r>
          </w:p>
        </w:tc>
      </w:tr>
      <w:tr w:rsidTr="008B504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A0E2C">
            <w:pPr>
              <w:pStyle w:val="BodyText"/>
              <w:rPr>
                <w:lang w:val="en-NZ"/>
              </w:rPr>
            </w:pPr>
            <w:r w:rsidRPr="002A0E2C">
              <w:t>2.5</w:t>
            </w:r>
          </w:p>
        </w:tc>
        <w:tc>
          <w:tcPr>
            <w:tcW w:w="6045" w:type="dxa"/>
            <w:tcBorders>
              <w:top w:val="nil"/>
              <w:left w:val="nil"/>
              <w:bottom w:val="nil"/>
              <w:right w:val="nil"/>
            </w:tcBorders>
            <w:tcMar>
              <w:top w:w="0" w:type="dxa"/>
              <w:left w:w="62" w:type="dxa"/>
              <w:bottom w:w="0" w:type="dxa"/>
              <w:right w:w="62" w:type="dxa"/>
            </w:tcMar>
          </w:tcPr>
          <w:p w:rsidR="00000000" w:rsidP="002A0E2C">
            <w:pPr>
              <w:pStyle w:val="BodyText"/>
              <w:rPr>
                <w:lang w:val="en-NZ"/>
              </w:rPr>
            </w:pPr>
            <w:r w:rsidRPr="002A0E2C">
              <w:t>Operating principles and application in steam plants of thr</w:t>
            </w:r>
            <w:r w:rsidRPr="002A0E2C">
              <w:t>ottling, separating and combined throttling, and separating calorimeters are explained</w:t>
            </w:r>
          </w:p>
        </w:tc>
      </w:tr>
      <w:tr w:rsidTr="008B504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A0E2C">
            <w:pPr>
              <w:pStyle w:val="BodyText"/>
              <w:rPr>
                <w:lang w:val="en-NZ"/>
              </w:rPr>
            </w:pPr>
            <w:r w:rsidRPr="002A0E2C">
              <w:t>2.6</w:t>
            </w:r>
          </w:p>
        </w:tc>
        <w:tc>
          <w:tcPr>
            <w:tcW w:w="6045" w:type="dxa"/>
            <w:tcBorders>
              <w:top w:val="nil"/>
              <w:left w:val="nil"/>
              <w:bottom w:val="nil"/>
              <w:right w:val="nil"/>
            </w:tcBorders>
            <w:tcMar>
              <w:top w:w="0" w:type="dxa"/>
              <w:left w:w="62" w:type="dxa"/>
              <w:bottom w:w="0" w:type="dxa"/>
              <w:right w:w="62" w:type="dxa"/>
            </w:tcMar>
          </w:tcPr>
          <w:p w:rsidR="00000000" w:rsidP="002A0E2C">
            <w:pPr>
              <w:pStyle w:val="BodyText"/>
              <w:rPr>
                <w:lang w:val="en-NZ"/>
              </w:rPr>
            </w:pPr>
            <w:r w:rsidRPr="002A0E2C">
              <w:t>Calorimeters are applied to determine dryness fraction of steam</w:t>
            </w:r>
          </w:p>
        </w:tc>
      </w:tr>
      <w:tr w:rsidTr="008B504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2A0E2C" w:rsidP="002A0E2C">
            <w:pPr>
              <w:pStyle w:val="BodyText"/>
            </w:pPr>
            <w:r w:rsidRPr="002A0E2C">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RPr="002A0E2C" w:rsidP="002A0E2C">
            <w:pPr>
              <w:pStyle w:val="BodyText"/>
            </w:pPr>
            <w:r w:rsidRPr="002A0E2C">
              <w:rPr>
                <w:rStyle w:val="SpecialBold"/>
              </w:rPr>
              <w:t>Calculate boiler efficiency and boiler water density</w:t>
            </w:r>
          </w:p>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A0E2C">
            <w:pPr>
              <w:pStyle w:val="BodyText"/>
              <w:rPr>
                <w:lang w:val="en-NZ"/>
              </w:rPr>
            </w:pPr>
            <w:r w:rsidRPr="002A0E2C">
              <w:t>3.1</w:t>
            </w:r>
          </w:p>
        </w:tc>
        <w:tc>
          <w:tcPr>
            <w:tcW w:w="6045" w:type="dxa"/>
            <w:tcBorders>
              <w:top w:val="nil"/>
              <w:left w:val="nil"/>
              <w:bottom w:val="nil"/>
              <w:right w:val="nil"/>
            </w:tcBorders>
            <w:tcMar>
              <w:top w:w="0" w:type="dxa"/>
              <w:left w:w="62" w:type="dxa"/>
              <w:bottom w:w="0" w:type="dxa"/>
              <w:right w:w="62" w:type="dxa"/>
            </w:tcMar>
          </w:tcPr>
          <w:p w:rsidR="00000000" w:rsidP="002A0E2C">
            <w:pPr>
              <w:pStyle w:val="BodyText"/>
              <w:rPr>
                <w:lang w:val="en-NZ"/>
              </w:rPr>
            </w:pPr>
            <w:r w:rsidRPr="002A0E2C">
              <w:t>Efficiency of saturated and superheat</w:t>
            </w:r>
            <w:r w:rsidRPr="002A0E2C">
              <w:t>ed steam boilers is calculated</w:t>
            </w:r>
          </w:p>
        </w:tc>
      </w:tr>
      <w:tr w:rsidTr="008B504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A0E2C">
            <w:pPr>
              <w:pStyle w:val="BodyText"/>
              <w:rPr>
                <w:lang w:val="en-NZ"/>
              </w:rPr>
            </w:pPr>
            <w:r w:rsidRPr="002A0E2C">
              <w:t>3.2</w:t>
            </w:r>
          </w:p>
        </w:tc>
        <w:tc>
          <w:tcPr>
            <w:tcW w:w="6045" w:type="dxa"/>
            <w:tcBorders>
              <w:top w:val="nil"/>
              <w:left w:val="nil"/>
              <w:bottom w:val="nil"/>
              <w:right w:val="nil"/>
            </w:tcBorders>
            <w:tcMar>
              <w:top w:w="0" w:type="dxa"/>
              <w:left w:w="62" w:type="dxa"/>
              <w:bottom w:w="0" w:type="dxa"/>
              <w:right w:w="62" w:type="dxa"/>
            </w:tcMar>
          </w:tcPr>
          <w:p w:rsidR="00000000" w:rsidP="002A0E2C">
            <w:pPr>
              <w:pStyle w:val="BodyText"/>
              <w:rPr>
                <w:lang w:val="en-NZ"/>
              </w:rPr>
            </w:pPr>
            <w:r w:rsidRPr="002A0E2C">
              <w:t>Where loss of efficiency occurs is shown</w:t>
            </w:r>
          </w:p>
        </w:tc>
      </w:tr>
      <w:tr w:rsidTr="008B504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A0E2C">
            <w:pPr>
              <w:pStyle w:val="BodyText"/>
              <w:rPr>
                <w:lang w:val="en-NZ"/>
              </w:rPr>
            </w:pPr>
            <w:r w:rsidRPr="002A0E2C">
              <w:t>3.3</w:t>
            </w:r>
          </w:p>
        </w:tc>
        <w:tc>
          <w:tcPr>
            <w:tcW w:w="6045" w:type="dxa"/>
            <w:tcBorders>
              <w:top w:val="nil"/>
              <w:left w:val="nil"/>
              <w:bottom w:val="nil"/>
              <w:right w:val="nil"/>
            </w:tcBorders>
            <w:tcMar>
              <w:top w:w="0" w:type="dxa"/>
              <w:left w:w="62" w:type="dxa"/>
              <w:bottom w:w="0" w:type="dxa"/>
              <w:right w:w="62" w:type="dxa"/>
            </w:tcMar>
          </w:tcPr>
          <w:p w:rsidR="00000000" w:rsidP="002A0E2C">
            <w:pPr>
              <w:pStyle w:val="BodyText"/>
              <w:rPr>
                <w:lang w:val="en-NZ"/>
              </w:rPr>
            </w:pPr>
            <w:r w:rsidRPr="002A0E2C">
              <w:t>Concept of parts per million for density of boiler water is explained</w:t>
            </w:r>
          </w:p>
        </w:tc>
      </w:tr>
      <w:tr w:rsidTr="008B504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A0E2C">
            <w:pPr>
              <w:pStyle w:val="BodyText"/>
              <w:rPr>
                <w:lang w:val="en-NZ"/>
              </w:rPr>
            </w:pPr>
            <w:r w:rsidRPr="002A0E2C">
              <w:t>3.4</w:t>
            </w:r>
          </w:p>
        </w:tc>
        <w:tc>
          <w:tcPr>
            <w:tcW w:w="6045" w:type="dxa"/>
            <w:tcBorders>
              <w:top w:val="nil"/>
              <w:left w:val="nil"/>
              <w:bottom w:val="nil"/>
              <w:right w:val="nil"/>
            </w:tcBorders>
            <w:tcMar>
              <w:top w:w="0" w:type="dxa"/>
              <w:left w:w="62" w:type="dxa"/>
              <w:bottom w:w="0" w:type="dxa"/>
              <w:right w:w="62" w:type="dxa"/>
            </w:tcMar>
          </w:tcPr>
          <w:p w:rsidR="00000000" w:rsidP="002A0E2C">
            <w:pPr>
              <w:pStyle w:val="BodyText"/>
              <w:rPr>
                <w:lang w:val="en-NZ"/>
              </w:rPr>
            </w:pPr>
            <w:r w:rsidRPr="002A0E2C">
              <w:t>Changes in boiler water density due to contaminated feed are calculated</w:t>
            </w:r>
          </w:p>
        </w:tc>
      </w:tr>
      <w:tr w:rsidTr="008B504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A0E2C">
            <w:pPr>
              <w:pStyle w:val="BodyText"/>
              <w:rPr>
                <w:lang w:val="en-NZ"/>
              </w:rPr>
            </w:pPr>
            <w:r w:rsidRPr="002A0E2C">
              <w:t>3.5</w:t>
            </w:r>
          </w:p>
        </w:tc>
        <w:tc>
          <w:tcPr>
            <w:tcW w:w="6045" w:type="dxa"/>
            <w:tcBorders>
              <w:top w:val="nil"/>
              <w:left w:val="nil"/>
              <w:bottom w:val="nil"/>
              <w:right w:val="nil"/>
            </w:tcBorders>
            <w:tcMar>
              <w:top w:w="0" w:type="dxa"/>
              <w:left w:w="62" w:type="dxa"/>
              <w:bottom w:w="0" w:type="dxa"/>
              <w:right w:w="62" w:type="dxa"/>
            </w:tcMar>
          </w:tcPr>
          <w:p w:rsidR="00000000" w:rsidP="002A0E2C">
            <w:pPr>
              <w:pStyle w:val="BodyText"/>
              <w:rPr>
                <w:lang w:val="en-NZ"/>
              </w:rPr>
            </w:pPr>
            <w:r w:rsidRPr="002A0E2C">
              <w:t>How acceptable dissolved solids and water levels may be maintained in a boiler is shown</w:t>
            </w:r>
          </w:p>
        </w:tc>
      </w:tr>
      <w:tr w:rsidTr="008B504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2A0E2C" w:rsidP="002A0E2C">
            <w:pPr>
              <w:pStyle w:val="BodyText"/>
            </w:pPr>
            <w:r w:rsidRPr="002A0E2C">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RPr="002A0E2C" w:rsidP="002A0E2C">
            <w:pPr>
              <w:pStyle w:val="BodyText"/>
            </w:pPr>
            <w:r w:rsidRPr="002A0E2C">
              <w:rPr>
                <w:rStyle w:val="SpecialBold"/>
              </w:rPr>
              <w:t>Determine steam turbine velocity</w:t>
            </w:r>
          </w:p>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A0E2C">
            <w:pPr>
              <w:pStyle w:val="BodyText"/>
              <w:rPr>
                <w:lang w:val="en-NZ"/>
              </w:rPr>
            </w:pPr>
            <w:r w:rsidRPr="002A0E2C">
              <w:t>4.1</w:t>
            </w:r>
          </w:p>
        </w:tc>
        <w:tc>
          <w:tcPr>
            <w:tcW w:w="6045" w:type="dxa"/>
            <w:tcBorders>
              <w:top w:val="nil"/>
              <w:left w:val="nil"/>
              <w:bottom w:val="nil"/>
              <w:right w:val="nil"/>
            </w:tcBorders>
            <w:tcMar>
              <w:top w:w="0" w:type="dxa"/>
              <w:left w:w="62" w:type="dxa"/>
              <w:bottom w:w="0" w:type="dxa"/>
              <w:right w:w="62" w:type="dxa"/>
            </w:tcMar>
          </w:tcPr>
          <w:p w:rsidR="00000000" w:rsidP="002A0E2C">
            <w:pPr>
              <w:pStyle w:val="BodyText"/>
              <w:rPr>
                <w:lang w:val="en-NZ"/>
              </w:rPr>
            </w:pPr>
            <w:r w:rsidRPr="002A0E2C">
              <w:t>Principles and differences between pressure and velocity changes in reaction and impulse steam turbines are explained</w:t>
            </w:r>
          </w:p>
        </w:tc>
      </w:tr>
      <w:tr w:rsidTr="008B504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A0E2C">
            <w:pPr>
              <w:pStyle w:val="BodyText"/>
              <w:rPr>
                <w:lang w:val="en-NZ"/>
              </w:rPr>
            </w:pPr>
            <w:r w:rsidRPr="002A0E2C">
              <w:t>4.2</w:t>
            </w:r>
          </w:p>
        </w:tc>
        <w:tc>
          <w:tcPr>
            <w:tcW w:w="6045" w:type="dxa"/>
            <w:tcBorders>
              <w:top w:val="nil"/>
              <w:left w:val="nil"/>
              <w:bottom w:val="nil"/>
              <w:right w:val="nil"/>
            </w:tcBorders>
            <w:tcMar>
              <w:top w:w="0" w:type="dxa"/>
              <w:left w:w="62" w:type="dxa"/>
              <w:bottom w:w="0" w:type="dxa"/>
              <w:right w:w="62" w:type="dxa"/>
            </w:tcMar>
          </w:tcPr>
          <w:p w:rsidR="00000000" w:rsidP="002A0E2C">
            <w:pPr>
              <w:pStyle w:val="BodyText"/>
              <w:rPr>
                <w:lang w:val="en-NZ"/>
              </w:rPr>
            </w:pPr>
            <w:r w:rsidRPr="002A0E2C">
              <w:t>Ve</w:t>
            </w:r>
            <w:r w:rsidRPr="002A0E2C">
              <w:t>locity diagrams to calculate steam velocity at exit of nozzles and blades are applied</w:t>
            </w:r>
          </w:p>
        </w:tc>
      </w:tr>
      <w:tr w:rsidTr="008B504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A0E2C">
            <w:pPr>
              <w:pStyle w:val="BodyText"/>
              <w:rPr>
                <w:lang w:val="en-NZ"/>
              </w:rPr>
            </w:pPr>
            <w:r w:rsidRPr="002A0E2C">
              <w:t>4.3</w:t>
            </w:r>
          </w:p>
        </w:tc>
        <w:tc>
          <w:tcPr>
            <w:tcW w:w="6045" w:type="dxa"/>
            <w:tcBorders>
              <w:top w:val="nil"/>
              <w:left w:val="nil"/>
              <w:bottom w:val="nil"/>
              <w:right w:val="nil"/>
            </w:tcBorders>
            <w:tcMar>
              <w:top w:w="0" w:type="dxa"/>
              <w:left w:w="62" w:type="dxa"/>
              <w:bottom w:w="0" w:type="dxa"/>
              <w:right w:w="62" w:type="dxa"/>
            </w:tcMar>
          </w:tcPr>
          <w:p w:rsidR="00000000" w:rsidP="002A0E2C">
            <w:pPr>
              <w:pStyle w:val="BodyText"/>
              <w:rPr>
                <w:lang w:val="en-NZ"/>
              </w:rPr>
            </w:pPr>
            <w:r w:rsidRPr="002A0E2C">
              <w:t xml:space="preserve">Graphical and mathematical methods to determine blade </w:t>
            </w:r>
            <w:r w:rsidRPr="002A0E2C">
              <w:t xml:space="preserve">angle, steam velocity, thrust, power, and efficiency of single stage impulse and reaction </w:t>
            </w:r>
            <w:r w:rsidRPr="002A0E2C">
              <w:t>steam turbines are applied</w:t>
            </w:r>
          </w:p>
        </w:tc>
      </w:tr>
      <w:tr w:rsidTr="008B504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2A0E2C" w:rsidP="002A0E2C">
            <w:pPr>
              <w:pStyle w:val="BodyText"/>
            </w:pPr>
            <w:r w:rsidRPr="002A0E2C">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RPr="002A0E2C" w:rsidP="002A0E2C">
            <w:pPr>
              <w:pStyle w:val="BodyText"/>
            </w:pPr>
            <w:r w:rsidRPr="002A0E2C">
              <w:rPr>
                <w:rStyle w:val="SpecialBold"/>
              </w:rPr>
              <w:t>Calculate calorific value and the air fuel ratio for solid and liquid fuels</w:t>
            </w:r>
          </w:p>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A0E2C">
            <w:pPr>
              <w:pStyle w:val="BodyText"/>
              <w:rPr>
                <w:lang w:val="en-NZ"/>
              </w:rPr>
            </w:pPr>
            <w:r w:rsidRPr="002A0E2C">
              <w:t>5.1</w:t>
            </w:r>
          </w:p>
        </w:tc>
        <w:tc>
          <w:tcPr>
            <w:tcW w:w="6045" w:type="dxa"/>
            <w:tcBorders>
              <w:top w:val="nil"/>
              <w:left w:val="nil"/>
              <w:bottom w:val="nil"/>
              <w:right w:val="nil"/>
            </w:tcBorders>
            <w:tcMar>
              <w:top w:w="0" w:type="dxa"/>
              <w:left w:w="62" w:type="dxa"/>
              <w:bottom w:w="0" w:type="dxa"/>
              <w:right w:w="62" w:type="dxa"/>
            </w:tcMar>
          </w:tcPr>
          <w:p w:rsidR="00000000" w:rsidP="002A0E2C">
            <w:pPr>
              <w:pStyle w:val="BodyText"/>
              <w:rPr>
                <w:lang w:val="en-NZ"/>
              </w:rPr>
            </w:pPr>
            <w:r w:rsidRPr="002A0E2C">
              <w:t>Elements and compounds present in fuel and the products of combustion are evaluated</w:t>
            </w:r>
          </w:p>
        </w:tc>
      </w:tr>
      <w:tr w:rsidTr="008B504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A0E2C">
            <w:pPr>
              <w:pStyle w:val="BodyText"/>
              <w:rPr>
                <w:lang w:val="en-NZ"/>
              </w:rPr>
            </w:pPr>
            <w:r w:rsidRPr="002A0E2C">
              <w:t>5.2</w:t>
            </w:r>
          </w:p>
        </w:tc>
        <w:tc>
          <w:tcPr>
            <w:tcW w:w="6045" w:type="dxa"/>
            <w:tcBorders>
              <w:top w:val="nil"/>
              <w:left w:val="nil"/>
              <w:bottom w:val="nil"/>
              <w:right w:val="nil"/>
            </w:tcBorders>
            <w:tcMar>
              <w:top w:w="0" w:type="dxa"/>
              <w:left w:w="62" w:type="dxa"/>
              <w:bottom w:w="0" w:type="dxa"/>
              <w:right w:w="62" w:type="dxa"/>
            </w:tcMar>
          </w:tcPr>
          <w:p w:rsidR="00000000" w:rsidP="002A0E2C">
            <w:pPr>
              <w:pStyle w:val="BodyText"/>
              <w:rPr>
                <w:lang w:val="en-NZ"/>
              </w:rPr>
            </w:pPr>
            <w:r w:rsidRPr="002A0E2C">
              <w:t>Air/fuel ratio, gravimetric and volumetric analysis are explained</w:t>
            </w:r>
          </w:p>
        </w:tc>
      </w:tr>
      <w:tr w:rsidTr="008B504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A0E2C">
            <w:pPr>
              <w:pStyle w:val="BodyText"/>
              <w:rPr>
                <w:lang w:val="en-NZ"/>
              </w:rPr>
            </w:pPr>
            <w:r w:rsidRPr="002A0E2C">
              <w:t>5.3</w:t>
            </w:r>
          </w:p>
        </w:tc>
        <w:tc>
          <w:tcPr>
            <w:tcW w:w="6045" w:type="dxa"/>
            <w:tcBorders>
              <w:top w:val="nil"/>
              <w:left w:val="nil"/>
              <w:bottom w:val="nil"/>
              <w:right w:val="nil"/>
            </w:tcBorders>
            <w:tcMar>
              <w:top w:w="0" w:type="dxa"/>
              <w:left w:w="62" w:type="dxa"/>
              <w:bottom w:w="0" w:type="dxa"/>
              <w:right w:w="62" w:type="dxa"/>
            </w:tcMar>
          </w:tcPr>
          <w:p w:rsidR="00000000" w:rsidP="002A0E2C">
            <w:pPr>
              <w:pStyle w:val="BodyText"/>
              <w:rPr>
                <w:lang w:val="en-NZ"/>
              </w:rPr>
            </w:pPr>
            <w:r w:rsidRPr="002A0E2C">
              <w:t>Chemical equations for combustion elements and compounds are developed and elements of combustion are analysed</w:t>
            </w:r>
          </w:p>
        </w:tc>
      </w:tr>
      <w:tr w:rsidTr="008B504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A0E2C">
            <w:pPr>
              <w:pStyle w:val="BodyText"/>
              <w:rPr>
                <w:lang w:val="en-NZ"/>
              </w:rPr>
            </w:pPr>
            <w:r w:rsidRPr="002A0E2C">
              <w:t>5.4</w:t>
            </w:r>
          </w:p>
        </w:tc>
        <w:tc>
          <w:tcPr>
            <w:tcW w:w="6045" w:type="dxa"/>
            <w:tcBorders>
              <w:top w:val="nil"/>
              <w:left w:val="nil"/>
              <w:bottom w:val="nil"/>
              <w:right w:val="nil"/>
            </w:tcBorders>
            <w:tcMar>
              <w:top w:w="0" w:type="dxa"/>
              <w:left w:w="62" w:type="dxa"/>
              <w:bottom w:w="0" w:type="dxa"/>
              <w:right w:w="62" w:type="dxa"/>
            </w:tcMar>
          </w:tcPr>
          <w:p w:rsidR="00000000" w:rsidP="002A0E2C">
            <w:pPr>
              <w:pStyle w:val="BodyText"/>
              <w:rPr>
                <w:lang w:val="en-NZ"/>
              </w:rPr>
            </w:pPr>
            <w:r w:rsidRPr="002A0E2C">
              <w:t xml:space="preserve">Bomb calorimeter is used to find calorific value of a fuel </w:t>
            </w:r>
          </w:p>
        </w:tc>
      </w:tr>
      <w:tr w:rsidTr="008B504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A0E2C">
            <w:pPr>
              <w:pStyle w:val="BodyText"/>
              <w:rPr>
                <w:lang w:val="en-NZ"/>
              </w:rPr>
            </w:pPr>
            <w:r w:rsidRPr="002A0E2C">
              <w:t>5.</w:t>
            </w:r>
            <w:r w:rsidRPr="002A0E2C">
              <w:t>5</w:t>
            </w:r>
          </w:p>
        </w:tc>
        <w:tc>
          <w:tcPr>
            <w:tcW w:w="6045" w:type="dxa"/>
            <w:tcBorders>
              <w:top w:val="nil"/>
              <w:left w:val="nil"/>
              <w:bottom w:val="nil"/>
              <w:right w:val="nil"/>
            </w:tcBorders>
            <w:tcMar>
              <w:top w:w="0" w:type="dxa"/>
              <w:left w:w="62" w:type="dxa"/>
              <w:bottom w:w="0" w:type="dxa"/>
              <w:right w:w="62" w:type="dxa"/>
            </w:tcMar>
          </w:tcPr>
          <w:p w:rsidR="00000000" w:rsidP="002A0E2C">
            <w:pPr>
              <w:pStyle w:val="BodyText"/>
              <w:rPr>
                <w:lang w:val="en-NZ"/>
              </w:rPr>
            </w:pPr>
            <w:r w:rsidRPr="002A0E2C">
              <w:t>Formula to calculate calorific value of a fuel from mass analysis of fuel is applied</w:t>
            </w:r>
          </w:p>
        </w:tc>
      </w:tr>
      <w:tr w:rsidTr="008B504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A0E2C">
            <w:pPr>
              <w:pStyle w:val="BodyText"/>
              <w:rPr>
                <w:lang w:val="en-NZ"/>
              </w:rPr>
            </w:pPr>
            <w:r w:rsidRPr="002A0E2C">
              <w:t>5.6</w:t>
            </w:r>
          </w:p>
        </w:tc>
        <w:tc>
          <w:tcPr>
            <w:tcW w:w="6045" w:type="dxa"/>
            <w:tcBorders>
              <w:top w:val="nil"/>
              <w:left w:val="nil"/>
              <w:bottom w:val="nil"/>
              <w:right w:val="nil"/>
            </w:tcBorders>
            <w:tcMar>
              <w:top w:w="0" w:type="dxa"/>
              <w:left w:w="62" w:type="dxa"/>
              <w:bottom w:w="0" w:type="dxa"/>
              <w:right w:w="62" w:type="dxa"/>
            </w:tcMar>
          </w:tcPr>
          <w:p w:rsidR="00000000" w:rsidP="002A0E2C">
            <w:pPr>
              <w:pStyle w:val="BodyText"/>
              <w:rPr>
                <w:lang w:val="en-NZ"/>
              </w:rPr>
            </w:pPr>
            <w:r w:rsidRPr="002A0E2C">
              <w:t>Air required for combustion is calculated</w:t>
            </w:r>
          </w:p>
        </w:tc>
      </w:tr>
      <w:tr w:rsidTr="008B504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2A0E2C" w:rsidP="002A0E2C">
            <w:pPr>
              <w:pStyle w:val="BodyText"/>
            </w:pPr>
            <w:r w:rsidRPr="002A0E2C">
              <w:rPr>
                <w:rStyle w:val="SpecialBold"/>
              </w:rPr>
              <w:t>6</w:t>
            </w:r>
          </w:p>
        </w:tc>
        <w:tc>
          <w:tcPr>
            <w:tcW w:w="2303" w:type="dxa"/>
            <w:vMerge w:val="restart"/>
            <w:tcBorders>
              <w:top w:val="nil"/>
              <w:left w:val="nil"/>
              <w:bottom w:val="nil"/>
              <w:right w:val="nil"/>
            </w:tcBorders>
            <w:tcMar>
              <w:top w:w="0" w:type="dxa"/>
              <w:left w:w="62" w:type="dxa"/>
              <w:bottom w:w="0" w:type="dxa"/>
              <w:right w:w="62" w:type="dxa"/>
            </w:tcMar>
          </w:tcPr>
          <w:p w:rsidR="00000000" w:rsidRPr="002A0E2C" w:rsidP="002A0E2C">
            <w:pPr>
              <w:pStyle w:val="BodyText"/>
            </w:pPr>
            <w:r w:rsidRPr="002A0E2C">
              <w:rPr>
                <w:rStyle w:val="SpecialBold"/>
              </w:rPr>
              <w:t>Calculate thermal expansion</w:t>
            </w:r>
          </w:p>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A0E2C">
            <w:pPr>
              <w:pStyle w:val="BodyText"/>
              <w:rPr>
                <w:lang w:val="en-NZ"/>
              </w:rPr>
            </w:pPr>
            <w:r w:rsidRPr="002A0E2C">
              <w:t>6.1</w:t>
            </w:r>
          </w:p>
        </w:tc>
        <w:tc>
          <w:tcPr>
            <w:tcW w:w="6045" w:type="dxa"/>
            <w:tcBorders>
              <w:top w:val="nil"/>
              <w:left w:val="nil"/>
              <w:bottom w:val="nil"/>
              <w:right w:val="nil"/>
            </w:tcBorders>
            <w:tcMar>
              <w:top w:w="0" w:type="dxa"/>
              <w:left w:w="62" w:type="dxa"/>
              <w:bottom w:w="0" w:type="dxa"/>
              <w:right w:w="62" w:type="dxa"/>
            </w:tcMar>
          </w:tcPr>
          <w:p w:rsidR="00000000" w:rsidP="002A0E2C">
            <w:pPr>
              <w:pStyle w:val="BodyText"/>
              <w:rPr>
                <w:lang w:val="en-NZ"/>
              </w:rPr>
            </w:pPr>
            <w:r w:rsidRPr="002A0E2C">
              <w:t>Coefficient of linear expansion and its significance to different materials is explained</w:t>
            </w:r>
          </w:p>
        </w:tc>
      </w:tr>
      <w:tr w:rsidTr="008B504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A0E2C">
            <w:pPr>
              <w:pStyle w:val="BodyText"/>
              <w:rPr>
                <w:lang w:val="en-NZ"/>
              </w:rPr>
            </w:pPr>
            <w:r w:rsidRPr="002A0E2C">
              <w:t>6.2</w:t>
            </w:r>
          </w:p>
        </w:tc>
        <w:tc>
          <w:tcPr>
            <w:tcW w:w="6045" w:type="dxa"/>
            <w:tcBorders>
              <w:top w:val="nil"/>
              <w:left w:val="nil"/>
              <w:bottom w:val="nil"/>
              <w:right w:val="nil"/>
            </w:tcBorders>
            <w:tcMar>
              <w:top w:w="0" w:type="dxa"/>
              <w:left w:w="62" w:type="dxa"/>
              <w:bottom w:w="0" w:type="dxa"/>
              <w:right w:w="62" w:type="dxa"/>
            </w:tcMar>
          </w:tcPr>
          <w:p w:rsidR="00000000" w:rsidP="002A0E2C">
            <w:pPr>
              <w:pStyle w:val="BodyText"/>
              <w:rPr>
                <w:lang w:val="en-NZ"/>
              </w:rPr>
            </w:pPr>
            <w:r w:rsidRPr="002A0E2C">
              <w:t>Clearances and shrunk fit allowances are calculated</w:t>
            </w:r>
          </w:p>
        </w:tc>
      </w:tr>
      <w:tr w:rsidTr="008B504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A0E2C">
            <w:pPr>
              <w:pStyle w:val="BodyText"/>
              <w:rPr>
                <w:lang w:val="en-NZ"/>
              </w:rPr>
            </w:pPr>
            <w:r w:rsidRPr="002A0E2C">
              <w:t>6.3</w:t>
            </w:r>
          </w:p>
        </w:tc>
        <w:tc>
          <w:tcPr>
            <w:tcW w:w="6045" w:type="dxa"/>
            <w:tcBorders>
              <w:top w:val="nil"/>
              <w:left w:val="nil"/>
              <w:bottom w:val="nil"/>
              <w:right w:val="nil"/>
            </w:tcBorders>
            <w:tcMar>
              <w:top w:w="0" w:type="dxa"/>
              <w:left w:w="62" w:type="dxa"/>
              <w:bottom w:w="0" w:type="dxa"/>
              <w:right w:w="62" w:type="dxa"/>
            </w:tcMar>
          </w:tcPr>
          <w:p w:rsidR="00000000" w:rsidP="002A0E2C">
            <w:pPr>
              <w:pStyle w:val="BodyText"/>
              <w:rPr>
                <w:lang w:val="en-NZ"/>
              </w:rPr>
            </w:pPr>
            <w:r w:rsidRPr="002A0E2C">
              <w:t>Stresses generated with restricted expansion are calculated</w:t>
            </w:r>
          </w:p>
        </w:tc>
      </w:tr>
      <w:tr w:rsidTr="008B504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A0E2C">
            <w:pPr>
              <w:pStyle w:val="BodyText"/>
              <w:rPr>
                <w:lang w:val="en-NZ"/>
              </w:rPr>
            </w:pPr>
            <w:r w:rsidRPr="002A0E2C">
              <w:t>6.4</w:t>
            </w:r>
          </w:p>
        </w:tc>
        <w:tc>
          <w:tcPr>
            <w:tcW w:w="6045" w:type="dxa"/>
            <w:tcBorders>
              <w:top w:val="nil"/>
              <w:left w:val="nil"/>
              <w:bottom w:val="nil"/>
              <w:right w:val="nil"/>
            </w:tcBorders>
            <w:tcMar>
              <w:top w:w="0" w:type="dxa"/>
              <w:left w:w="62" w:type="dxa"/>
              <w:bottom w:w="0" w:type="dxa"/>
              <w:right w:w="62" w:type="dxa"/>
            </w:tcMar>
          </w:tcPr>
          <w:p w:rsidR="00000000" w:rsidP="002A0E2C">
            <w:pPr>
              <w:pStyle w:val="BodyText"/>
              <w:rPr>
                <w:lang w:val="en-NZ"/>
              </w:rPr>
            </w:pPr>
            <w:r w:rsidRPr="002A0E2C">
              <w:t>Volumetric expansion of solid and liquids, and allowance required for fluid expansion in tanks and systems is calculated</w:t>
            </w:r>
          </w:p>
        </w:tc>
      </w:tr>
      <w:tr w:rsidTr="008B504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2A0E2C" w:rsidP="002A0E2C">
            <w:pPr>
              <w:pStyle w:val="BodyText"/>
            </w:pPr>
            <w:r w:rsidRPr="002A0E2C">
              <w:rPr>
                <w:rStyle w:val="SpecialBold"/>
              </w:rPr>
              <w:t>7</w:t>
            </w:r>
          </w:p>
        </w:tc>
        <w:tc>
          <w:tcPr>
            <w:tcW w:w="2303" w:type="dxa"/>
            <w:vMerge w:val="restart"/>
            <w:tcBorders>
              <w:top w:val="nil"/>
              <w:left w:val="nil"/>
              <w:bottom w:val="nil"/>
              <w:right w:val="nil"/>
            </w:tcBorders>
            <w:tcMar>
              <w:top w:w="0" w:type="dxa"/>
              <w:left w:w="62" w:type="dxa"/>
              <w:bottom w:w="0" w:type="dxa"/>
              <w:right w:w="62" w:type="dxa"/>
            </w:tcMar>
          </w:tcPr>
          <w:p w:rsidR="00000000" w:rsidRPr="002A0E2C" w:rsidP="002A0E2C">
            <w:pPr>
              <w:pStyle w:val="BodyText"/>
            </w:pPr>
            <w:r w:rsidRPr="002A0E2C">
              <w:rPr>
                <w:rStyle w:val="SpecialBold"/>
              </w:rPr>
              <w:t>Apply gas law equations</w:t>
            </w:r>
          </w:p>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A0E2C">
            <w:pPr>
              <w:pStyle w:val="BodyText"/>
              <w:rPr>
                <w:lang w:val="en-NZ"/>
              </w:rPr>
            </w:pPr>
            <w:r w:rsidRPr="002A0E2C">
              <w:t>7.1</w:t>
            </w:r>
          </w:p>
        </w:tc>
        <w:tc>
          <w:tcPr>
            <w:tcW w:w="6045" w:type="dxa"/>
            <w:tcBorders>
              <w:top w:val="nil"/>
              <w:left w:val="nil"/>
              <w:bottom w:val="nil"/>
              <w:right w:val="nil"/>
            </w:tcBorders>
            <w:tcMar>
              <w:top w:w="0" w:type="dxa"/>
              <w:left w:w="62" w:type="dxa"/>
              <w:bottom w:w="0" w:type="dxa"/>
              <w:right w:w="62" w:type="dxa"/>
            </w:tcMar>
          </w:tcPr>
          <w:p w:rsidR="00000000" w:rsidP="002A0E2C">
            <w:pPr>
              <w:pStyle w:val="BodyText"/>
              <w:rPr>
                <w:lang w:val="en-NZ"/>
              </w:rPr>
            </w:pPr>
            <w:r w:rsidRPr="002A0E2C">
              <w:t xml:space="preserve">Compression and pressure ratio is explained and related to combined gas law equation </w:t>
            </w:r>
          </w:p>
        </w:tc>
      </w:tr>
      <w:tr w:rsidTr="008B504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A0E2C">
            <w:pPr>
              <w:pStyle w:val="BodyText"/>
              <w:rPr>
                <w:lang w:val="en-NZ"/>
              </w:rPr>
            </w:pPr>
            <w:r w:rsidRPr="002A0E2C">
              <w:t>7.2</w:t>
            </w:r>
          </w:p>
        </w:tc>
        <w:tc>
          <w:tcPr>
            <w:tcW w:w="6045" w:type="dxa"/>
            <w:tcBorders>
              <w:top w:val="nil"/>
              <w:left w:val="nil"/>
              <w:bottom w:val="nil"/>
              <w:right w:val="nil"/>
            </w:tcBorders>
            <w:tcMar>
              <w:top w:w="0" w:type="dxa"/>
              <w:left w:w="62" w:type="dxa"/>
              <w:bottom w:w="0" w:type="dxa"/>
              <w:right w:w="62" w:type="dxa"/>
            </w:tcMar>
          </w:tcPr>
          <w:p w:rsidR="00000000" w:rsidP="002A0E2C">
            <w:pPr>
              <w:pStyle w:val="BodyText"/>
              <w:rPr>
                <w:lang w:val="en-NZ"/>
              </w:rPr>
            </w:pPr>
            <w:r w:rsidRPr="002A0E2C">
              <w:t xml:space="preserve">Combined gas law equation is applied to constant volume and constant pressure processes </w:t>
            </w:r>
          </w:p>
        </w:tc>
      </w:tr>
      <w:tr w:rsidTr="008B504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A0E2C">
            <w:pPr>
              <w:pStyle w:val="BodyText"/>
              <w:rPr>
                <w:lang w:val="en-NZ"/>
              </w:rPr>
            </w:pPr>
            <w:r w:rsidRPr="002A0E2C">
              <w:t>7.3</w:t>
            </w:r>
          </w:p>
        </w:tc>
        <w:tc>
          <w:tcPr>
            <w:tcW w:w="6045" w:type="dxa"/>
            <w:tcBorders>
              <w:top w:val="nil"/>
              <w:left w:val="nil"/>
              <w:bottom w:val="nil"/>
              <w:right w:val="nil"/>
            </w:tcBorders>
            <w:tcMar>
              <w:top w:w="0" w:type="dxa"/>
              <w:left w:w="62" w:type="dxa"/>
              <w:bottom w:w="0" w:type="dxa"/>
              <w:right w:w="62" w:type="dxa"/>
            </w:tcMar>
          </w:tcPr>
          <w:p w:rsidR="00000000" w:rsidP="002A0E2C">
            <w:pPr>
              <w:pStyle w:val="BodyText"/>
              <w:rPr>
                <w:lang w:val="en-NZ"/>
              </w:rPr>
            </w:pPr>
            <w:r w:rsidRPr="002A0E2C">
              <w:t>Specific gas constant of a gas or mixture of gases is calculated</w:t>
            </w:r>
          </w:p>
        </w:tc>
      </w:tr>
      <w:tr w:rsidTr="008B504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A0E2C">
            <w:pPr>
              <w:pStyle w:val="BodyText"/>
              <w:rPr>
                <w:lang w:val="en-NZ"/>
              </w:rPr>
            </w:pPr>
            <w:r w:rsidRPr="002A0E2C">
              <w:t>7.4</w:t>
            </w:r>
          </w:p>
        </w:tc>
        <w:tc>
          <w:tcPr>
            <w:tcW w:w="6045" w:type="dxa"/>
            <w:tcBorders>
              <w:top w:val="nil"/>
              <w:left w:val="nil"/>
              <w:bottom w:val="nil"/>
              <w:right w:val="nil"/>
            </w:tcBorders>
            <w:tcMar>
              <w:top w:w="0" w:type="dxa"/>
              <w:left w:w="62" w:type="dxa"/>
              <w:bottom w:w="0" w:type="dxa"/>
              <w:right w:w="62" w:type="dxa"/>
            </w:tcMar>
          </w:tcPr>
          <w:p w:rsidR="00000000" w:rsidP="002A0E2C">
            <w:pPr>
              <w:pStyle w:val="BodyText"/>
              <w:rPr>
                <w:lang w:val="en-NZ"/>
              </w:rPr>
            </w:pPr>
            <w:r w:rsidRPr="002A0E2C">
              <w:t>Differentiation is made between specific heat of gases, ratio of specific heats, work an</w:t>
            </w:r>
            <w:r w:rsidRPr="002A0E2C">
              <w:t>d change in internal energy</w:t>
            </w:r>
          </w:p>
        </w:tc>
      </w:tr>
      <w:tr w:rsidTr="008B504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A0E2C">
            <w:pPr>
              <w:pStyle w:val="BodyText"/>
              <w:rPr>
                <w:lang w:val="en-NZ"/>
              </w:rPr>
            </w:pPr>
            <w:r w:rsidRPr="002A0E2C">
              <w:t>7.5</w:t>
            </w:r>
          </w:p>
        </w:tc>
        <w:tc>
          <w:tcPr>
            <w:tcW w:w="6045" w:type="dxa"/>
            <w:tcBorders>
              <w:top w:val="nil"/>
              <w:left w:val="nil"/>
              <w:bottom w:val="nil"/>
              <w:right w:val="nil"/>
            </w:tcBorders>
            <w:tcMar>
              <w:top w:w="0" w:type="dxa"/>
              <w:left w:w="62" w:type="dxa"/>
              <w:bottom w:w="0" w:type="dxa"/>
              <w:right w:w="62" w:type="dxa"/>
            </w:tcMar>
          </w:tcPr>
          <w:p w:rsidR="00000000" w:rsidP="002A0E2C">
            <w:pPr>
              <w:pStyle w:val="BodyText"/>
              <w:rPr>
                <w:lang w:val="en-NZ"/>
              </w:rPr>
            </w:pPr>
            <w:r w:rsidRPr="002A0E2C">
              <w:t>Changes in internal energy associated with specific heat of gases, ratio of specific heats and work are calculated</w:t>
            </w:r>
          </w:p>
        </w:tc>
      </w:tr>
      <w:tr w:rsidTr="008B504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2A0E2C" w:rsidP="002A0E2C">
            <w:pPr>
              <w:pStyle w:val="BodyText"/>
            </w:pPr>
            <w:r w:rsidRPr="002A0E2C">
              <w:rPr>
                <w:rStyle w:val="SpecialBold"/>
              </w:rPr>
              <w:t>8</w:t>
            </w:r>
          </w:p>
        </w:tc>
        <w:tc>
          <w:tcPr>
            <w:tcW w:w="2303" w:type="dxa"/>
            <w:vMerge w:val="restart"/>
            <w:tcBorders>
              <w:top w:val="nil"/>
              <w:left w:val="nil"/>
              <w:bottom w:val="nil"/>
              <w:right w:val="nil"/>
            </w:tcBorders>
            <w:tcMar>
              <w:top w:w="0" w:type="dxa"/>
              <w:left w:w="62" w:type="dxa"/>
              <w:bottom w:w="0" w:type="dxa"/>
              <w:right w:w="62" w:type="dxa"/>
            </w:tcMar>
          </w:tcPr>
          <w:p w:rsidR="00000000" w:rsidRPr="002A0E2C" w:rsidP="002A0E2C">
            <w:pPr>
              <w:pStyle w:val="BodyText"/>
            </w:pPr>
            <w:r w:rsidRPr="002A0E2C">
              <w:rPr>
                <w:rStyle w:val="SpecialBold"/>
              </w:rPr>
              <w:t>Calculate gas conditions, work and thermal efficiency of internal combustion engines</w:t>
            </w:r>
          </w:p>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A0E2C">
            <w:pPr>
              <w:pStyle w:val="BodyText"/>
              <w:rPr>
                <w:lang w:val="en-NZ"/>
              </w:rPr>
            </w:pPr>
            <w:r w:rsidRPr="002A0E2C">
              <w:t>8.1</w:t>
            </w:r>
          </w:p>
        </w:tc>
        <w:tc>
          <w:tcPr>
            <w:tcW w:w="6045" w:type="dxa"/>
            <w:tcBorders>
              <w:top w:val="nil"/>
              <w:left w:val="nil"/>
              <w:bottom w:val="nil"/>
              <w:right w:val="nil"/>
            </w:tcBorders>
            <w:tcMar>
              <w:top w:w="0" w:type="dxa"/>
              <w:left w:w="62" w:type="dxa"/>
              <w:bottom w:w="0" w:type="dxa"/>
              <w:right w:w="62" w:type="dxa"/>
            </w:tcMar>
          </w:tcPr>
          <w:p w:rsidR="00000000" w:rsidP="002A0E2C">
            <w:pPr>
              <w:pStyle w:val="BodyText"/>
              <w:rPr>
                <w:lang w:val="en-NZ"/>
              </w:rPr>
            </w:pPr>
            <w:r w:rsidRPr="002A0E2C">
              <w:t>Processes ass</w:t>
            </w:r>
            <w:r w:rsidRPr="002A0E2C">
              <w:t>ociated with expansion and compression of gases are explained</w:t>
            </w:r>
          </w:p>
        </w:tc>
      </w:tr>
      <w:tr w:rsidTr="008B504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A0E2C">
            <w:pPr>
              <w:pStyle w:val="BodyText"/>
              <w:rPr>
                <w:lang w:val="en-NZ"/>
              </w:rPr>
            </w:pPr>
            <w:r w:rsidRPr="002A0E2C">
              <w:t>8.2</w:t>
            </w:r>
          </w:p>
        </w:tc>
        <w:tc>
          <w:tcPr>
            <w:tcW w:w="6045" w:type="dxa"/>
            <w:tcBorders>
              <w:top w:val="nil"/>
              <w:left w:val="nil"/>
              <w:bottom w:val="nil"/>
              <w:right w:val="nil"/>
            </w:tcBorders>
            <w:tcMar>
              <w:top w:w="0" w:type="dxa"/>
              <w:left w:w="62" w:type="dxa"/>
              <w:bottom w:w="0" w:type="dxa"/>
              <w:right w:w="62" w:type="dxa"/>
            </w:tcMar>
          </w:tcPr>
          <w:p w:rsidR="00000000" w:rsidP="002A0E2C">
            <w:pPr>
              <w:pStyle w:val="BodyText"/>
              <w:rPr>
                <w:lang w:val="en-NZ"/>
              </w:rPr>
            </w:pPr>
            <w:r w:rsidRPr="002A0E2C">
              <w:t>Gas conditions and index of compression at end of each process are determined</w:t>
            </w:r>
          </w:p>
        </w:tc>
      </w:tr>
      <w:tr w:rsidTr="008B504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A0E2C">
            <w:pPr>
              <w:pStyle w:val="BodyText"/>
              <w:rPr>
                <w:lang w:val="en-NZ"/>
              </w:rPr>
            </w:pPr>
            <w:r w:rsidRPr="002A0E2C">
              <w:t>8.3</w:t>
            </w:r>
          </w:p>
        </w:tc>
        <w:tc>
          <w:tcPr>
            <w:tcW w:w="6045" w:type="dxa"/>
            <w:tcBorders>
              <w:top w:val="nil"/>
              <w:left w:val="nil"/>
              <w:bottom w:val="nil"/>
              <w:right w:val="nil"/>
            </w:tcBorders>
            <w:tcMar>
              <w:top w:w="0" w:type="dxa"/>
              <w:left w:w="62" w:type="dxa"/>
              <w:bottom w:w="0" w:type="dxa"/>
              <w:right w:w="62" w:type="dxa"/>
            </w:tcMar>
          </w:tcPr>
          <w:p w:rsidR="00000000" w:rsidP="002A0E2C">
            <w:pPr>
              <w:pStyle w:val="BodyText"/>
              <w:rPr>
                <w:lang w:val="en-NZ"/>
              </w:rPr>
            </w:pPr>
            <w:r w:rsidRPr="002A0E2C">
              <w:t xml:space="preserve">Work formula is derived for each process and derived formula is applied to calculate work and power per cycle </w:t>
            </w:r>
          </w:p>
        </w:tc>
      </w:tr>
      <w:tr w:rsidTr="008B504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A0E2C">
            <w:pPr>
              <w:pStyle w:val="BodyText"/>
              <w:rPr>
                <w:lang w:val="en-NZ"/>
              </w:rPr>
            </w:pPr>
            <w:r w:rsidRPr="002A0E2C">
              <w:t>8.4</w:t>
            </w:r>
          </w:p>
        </w:tc>
        <w:tc>
          <w:tcPr>
            <w:tcW w:w="6045" w:type="dxa"/>
            <w:tcBorders>
              <w:top w:val="nil"/>
              <w:left w:val="nil"/>
              <w:bottom w:val="nil"/>
              <w:right w:val="nil"/>
            </w:tcBorders>
            <w:tcMar>
              <w:top w:w="0" w:type="dxa"/>
              <w:left w:w="62" w:type="dxa"/>
              <w:bottom w:w="0" w:type="dxa"/>
              <w:right w:w="62" w:type="dxa"/>
            </w:tcMar>
          </w:tcPr>
          <w:p w:rsidR="00000000" w:rsidP="002A0E2C">
            <w:pPr>
              <w:pStyle w:val="BodyText"/>
              <w:rPr>
                <w:lang w:val="en-NZ"/>
              </w:rPr>
            </w:pPr>
            <w:r w:rsidRPr="002A0E2C">
              <w:t>Air standard cycle is applied to determine amount of fuel consumed and work produced by an internal combustion engine</w:t>
            </w:r>
          </w:p>
        </w:tc>
      </w:tr>
      <w:tr w:rsidTr="008B504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A0E2C">
            <w:pPr>
              <w:pStyle w:val="BodyText"/>
              <w:rPr>
                <w:lang w:val="en-NZ"/>
              </w:rPr>
            </w:pPr>
            <w:r w:rsidRPr="002A0E2C">
              <w:t>8.5</w:t>
            </w:r>
          </w:p>
        </w:tc>
        <w:tc>
          <w:tcPr>
            <w:tcW w:w="6045" w:type="dxa"/>
            <w:tcBorders>
              <w:top w:val="nil"/>
              <w:left w:val="nil"/>
              <w:bottom w:val="nil"/>
              <w:right w:val="nil"/>
            </w:tcBorders>
            <w:tcMar>
              <w:top w:w="0" w:type="dxa"/>
              <w:left w:w="62" w:type="dxa"/>
              <w:bottom w:w="0" w:type="dxa"/>
              <w:right w:w="62" w:type="dxa"/>
            </w:tcMar>
          </w:tcPr>
          <w:p w:rsidR="00000000" w:rsidP="002A0E2C">
            <w:pPr>
              <w:pStyle w:val="BodyText"/>
              <w:rPr>
                <w:lang w:val="en-NZ"/>
              </w:rPr>
            </w:pPr>
            <w:r w:rsidRPr="002A0E2C">
              <w:t>D</w:t>
            </w:r>
            <w:r w:rsidRPr="002A0E2C">
              <w:t>ifferentiation is made between air standard efficiency and thermal efficiency</w:t>
            </w:r>
          </w:p>
        </w:tc>
      </w:tr>
      <w:tr w:rsidTr="008B504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A0E2C">
            <w:pPr>
              <w:pStyle w:val="BodyText"/>
              <w:rPr>
                <w:lang w:val="en-NZ"/>
              </w:rPr>
            </w:pPr>
            <w:r w:rsidRPr="002A0E2C">
              <w:t>8.6</w:t>
            </w:r>
          </w:p>
        </w:tc>
        <w:tc>
          <w:tcPr>
            <w:tcW w:w="6045" w:type="dxa"/>
            <w:tcBorders>
              <w:top w:val="nil"/>
              <w:left w:val="nil"/>
              <w:bottom w:val="nil"/>
              <w:right w:val="nil"/>
            </w:tcBorders>
            <w:tcMar>
              <w:top w:w="0" w:type="dxa"/>
              <w:left w:w="62" w:type="dxa"/>
              <w:bottom w:w="0" w:type="dxa"/>
              <w:right w:w="62" w:type="dxa"/>
            </w:tcMar>
          </w:tcPr>
          <w:p w:rsidR="00000000" w:rsidP="002A0E2C">
            <w:pPr>
              <w:pStyle w:val="BodyText"/>
              <w:rPr>
                <w:lang w:val="en-NZ"/>
              </w:rPr>
            </w:pPr>
            <w:r w:rsidRPr="002A0E2C">
              <w:t>Thermal efficiency of engine cycles is calculated</w:t>
            </w:r>
          </w:p>
        </w:tc>
      </w:tr>
      <w:tr w:rsidTr="008B504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2A0E2C" w:rsidP="002A0E2C">
            <w:pPr>
              <w:pStyle w:val="BodyText"/>
            </w:pPr>
            <w:r w:rsidRPr="002A0E2C">
              <w:rPr>
                <w:rStyle w:val="SpecialBold"/>
              </w:rPr>
              <w:t>9</w:t>
            </w:r>
          </w:p>
        </w:tc>
        <w:tc>
          <w:tcPr>
            <w:tcW w:w="2303" w:type="dxa"/>
            <w:vMerge w:val="restart"/>
            <w:tcBorders>
              <w:top w:val="nil"/>
              <w:left w:val="nil"/>
              <w:bottom w:val="nil"/>
              <w:right w:val="nil"/>
            </w:tcBorders>
            <w:tcMar>
              <w:top w:w="0" w:type="dxa"/>
              <w:left w:w="62" w:type="dxa"/>
              <w:bottom w:w="0" w:type="dxa"/>
              <w:right w:w="62" w:type="dxa"/>
            </w:tcMar>
          </w:tcPr>
          <w:p w:rsidR="00000000" w:rsidRPr="002A0E2C" w:rsidP="002A0E2C">
            <w:pPr>
              <w:pStyle w:val="BodyText"/>
            </w:pPr>
            <w:r w:rsidRPr="002A0E2C">
              <w:rPr>
                <w:rStyle w:val="SpecialBold"/>
              </w:rPr>
              <w:t>Perform calculations related to refrigeration and air conditioning cycles</w:t>
            </w:r>
          </w:p>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A0E2C">
            <w:pPr>
              <w:pStyle w:val="BodyText"/>
              <w:rPr>
                <w:lang w:val="en-NZ"/>
              </w:rPr>
            </w:pPr>
            <w:r w:rsidRPr="002A0E2C">
              <w:t>9.1</w:t>
            </w:r>
          </w:p>
        </w:tc>
        <w:tc>
          <w:tcPr>
            <w:tcW w:w="6045" w:type="dxa"/>
            <w:tcBorders>
              <w:top w:val="nil"/>
              <w:left w:val="nil"/>
              <w:bottom w:val="nil"/>
              <w:right w:val="nil"/>
            </w:tcBorders>
            <w:tcMar>
              <w:top w:w="0" w:type="dxa"/>
              <w:left w:w="62" w:type="dxa"/>
              <w:bottom w:w="0" w:type="dxa"/>
              <w:right w:w="62" w:type="dxa"/>
            </w:tcMar>
          </w:tcPr>
          <w:p w:rsidR="00000000" w:rsidP="002A0E2C">
            <w:pPr>
              <w:pStyle w:val="BodyText"/>
              <w:rPr>
                <w:lang w:val="en-NZ"/>
              </w:rPr>
            </w:pPr>
            <w:r w:rsidRPr="002A0E2C">
              <w:t>Pressure/enthalpy diagram is applied to</w:t>
            </w:r>
            <w:r w:rsidRPr="002A0E2C">
              <w:t xml:space="preserve"> describe the refrigeration cycle</w:t>
            </w:r>
          </w:p>
        </w:tc>
      </w:tr>
      <w:tr w:rsidTr="008B504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A0E2C">
            <w:pPr>
              <w:pStyle w:val="BodyText"/>
              <w:rPr>
                <w:lang w:val="en-NZ"/>
              </w:rPr>
            </w:pPr>
            <w:r w:rsidRPr="002A0E2C">
              <w:t>9.2</w:t>
            </w:r>
          </w:p>
        </w:tc>
        <w:tc>
          <w:tcPr>
            <w:tcW w:w="6045" w:type="dxa"/>
            <w:tcBorders>
              <w:top w:val="nil"/>
              <w:left w:val="nil"/>
              <w:bottom w:val="nil"/>
              <w:right w:val="nil"/>
            </w:tcBorders>
            <w:tcMar>
              <w:top w:w="0" w:type="dxa"/>
              <w:left w:w="62" w:type="dxa"/>
              <w:bottom w:w="0" w:type="dxa"/>
              <w:right w:w="62" w:type="dxa"/>
            </w:tcMar>
          </w:tcPr>
          <w:p w:rsidR="00000000" w:rsidP="002A0E2C">
            <w:pPr>
              <w:pStyle w:val="BodyText"/>
              <w:rPr>
                <w:lang w:val="en-NZ"/>
              </w:rPr>
            </w:pPr>
            <w:r w:rsidRPr="002A0E2C">
              <w:t>Importance of superheating and under-cooling in determining stability and well-functioning of refrigeration systems is explained</w:t>
            </w:r>
          </w:p>
        </w:tc>
      </w:tr>
      <w:tr w:rsidTr="008B504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A0E2C">
            <w:pPr>
              <w:pStyle w:val="BodyText"/>
              <w:rPr>
                <w:lang w:val="en-NZ"/>
              </w:rPr>
            </w:pPr>
            <w:r w:rsidRPr="002A0E2C">
              <w:t>9.3</w:t>
            </w:r>
          </w:p>
        </w:tc>
        <w:tc>
          <w:tcPr>
            <w:tcW w:w="6045" w:type="dxa"/>
            <w:tcBorders>
              <w:top w:val="nil"/>
              <w:left w:val="nil"/>
              <w:bottom w:val="nil"/>
              <w:right w:val="nil"/>
            </w:tcBorders>
            <w:tcMar>
              <w:top w:w="0" w:type="dxa"/>
              <w:left w:w="62" w:type="dxa"/>
              <w:bottom w:w="0" w:type="dxa"/>
              <w:right w:w="62" w:type="dxa"/>
            </w:tcMar>
          </w:tcPr>
          <w:p w:rsidR="00000000" w:rsidP="002A0E2C">
            <w:pPr>
              <w:pStyle w:val="BodyText"/>
              <w:rPr>
                <w:lang w:val="en-NZ"/>
              </w:rPr>
            </w:pPr>
            <w:r w:rsidRPr="002A0E2C">
              <w:t>Properties and hazards of refrigerants used in refrigeration and air conditioning systems are identified</w:t>
            </w:r>
          </w:p>
        </w:tc>
      </w:tr>
      <w:tr w:rsidTr="008B504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A0E2C">
            <w:pPr>
              <w:pStyle w:val="BodyText"/>
              <w:rPr>
                <w:lang w:val="en-NZ"/>
              </w:rPr>
            </w:pPr>
            <w:r w:rsidRPr="002A0E2C">
              <w:t>9.4</w:t>
            </w:r>
          </w:p>
        </w:tc>
        <w:tc>
          <w:tcPr>
            <w:tcW w:w="6045" w:type="dxa"/>
            <w:tcBorders>
              <w:top w:val="nil"/>
              <w:left w:val="nil"/>
              <w:bottom w:val="nil"/>
              <w:right w:val="nil"/>
            </w:tcBorders>
            <w:tcMar>
              <w:top w:w="0" w:type="dxa"/>
              <w:left w:w="62" w:type="dxa"/>
              <w:bottom w:w="0" w:type="dxa"/>
              <w:right w:w="62" w:type="dxa"/>
            </w:tcMar>
          </w:tcPr>
          <w:p w:rsidR="00000000" w:rsidP="002A0E2C">
            <w:pPr>
              <w:pStyle w:val="BodyText"/>
              <w:rPr>
                <w:lang w:val="en-NZ"/>
              </w:rPr>
            </w:pPr>
            <w:r w:rsidRPr="002A0E2C">
              <w:t>Refrigeration tables are applied to calculate refrigeration effect, cooling load and coefficient of performance</w:t>
            </w:r>
          </w:p>
        </w:tc>
      </w:tr>
      <w:tr w:rsidTr="008B504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A0E2C">
            <w:pPr>
              <w:pStyle w:val="BodyText"/>
              <w:rPr>
                <w:lang w:val="en-NZ"/>
              </w:rPr>
            </w:pPr>
            <w:r w:rsidRPr="002A0E2C">
              <w:t>9.5</w:t>
            </w:r>
          </w:p>
        </w:tc>
        <w:tc>
          <w:tcPr>
            <w:tcW w:w="6045" w:type="dxa"/>
            <w:tcBorders>
              <w:top w:val="nil"/>
              <w:left w:val="nil"/>
              <w:bottom w:val="nil"/>
              <w:right w:val="nil"/>
            </w:tcBorders>
            <w:tcMar>
              <w:top w:w="0" w:type="dxa"/>
              <w:left w:w="62" w:type="dxa"/>
              <w:bottom w:w="0" w:type="dxa"/>
              <w:right w:w="62" w:type="dxa"/>
            </w:tcMar>
          </w:tcPr>
          <w:p w:rsidR="00000000" w:rsidP="002A0E2C">
            <w:pPr>
              <w:pStyle w:val="BodyText"/>
              <w:rPr>
                <w:lang w:val="en-NZ"/>
              </w:rPr>
            </w:pPr>
            <w:r w:rsidRPr="002A0E2C">
              <w:t>Basic air conditioning cycles are explained</w:t>
            </w:r>
          </w:p>
        </w:tc>
      </w:tr>
      <w:tr w:rsidTr="008B504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A0E2C">
            <w:pPr>
              <w:pStyle w:val="BodyText"/>
              <w:rPr>
                <w:lang w:val="en-NZ"/>
              </w:rPr>
            </w:pPr>
            <w:r w:rsidRPr="002A0E2C">
              <w:t>9.6</w:t>
            </w:r>
          </w:p>
        </w:tc>
        <w:tc>
          <w:tcPr>
            <w:tcW w:w="6045" w:type="dxa"/>
            <w:tcBorders>
              <w:top w:val="nil"/>
              <w:left w:val="nil"/>
              <w:bottom w:val="nil"/>
              <w:right w:val="nil"/>
            </w:tcBorders>
            <w:tcMar>
              <w:top w:w="0" w:type="dxa"/>
              <w:left w:w="62" w:type="dxa"/>
              <w:bottom w:w="0" w:type="dxa"/>
              <w:right w:w="62" w:type="dxa"/>
            </w:tcMar>
          </w:tcPr>
          <w:p w:rsidR="00000000" w:rsidP="002A0E2C">
            <w:pPr>
              <w:pStyle w:val="BodyText"/>
              <w:rPr>
                <w:lang w:val="en-NZ"/>
              </w:rPr>
            </w:pPr>
            <w:r w:rsidRPr="002A0E2C">
              <w:t>Wet and dry bulb temperatures are explained</w:t>
            </w:r>
          </w:p>
        </w:tc>
      </w:tr>
      <w:tr w:rsidTr="008B504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A0E2C">
            <w:pPr>
              <w:pStyle w:val="BodyText"/>
              <w:rPr>
                <w:lang w:val="en-NZ"/>
              </w:rPr>
            </w:pPr>
            <w:r w:rsidRPr="002A0E2C">
              <w:t>9.7</w:t>
            </w:r>
          </w:p>
        </w:tc>
        <w:tc>
          <w:tcPr>
            <w:tcW w:w="6045" w:type="dxa"/>
            <w:tcBorders>
              <w:top w:val="nil"/>
              <w:left w:val="nil"/>
              <w:bottom w:val="nil"/>
              <w:right w:val="nil"/>
            </w:tcBorders>
            <w:tcMar>
              <w:top w:w="0" w:type="dxa"/>
              <w:left w:w="62" w:type="dxa"/>
              <w:bottom w:w="0" w:type="dxa"/>
              <w:right w:w="62" w:type="dxa"/>
            </w:tcMar>
          </w:tcPr>
          <w:p w:rsidR="00000000" w:rsidP="002A0E2C">
            <w:pPr>
              <w:pStyle w:val="BodyText"/>
              <w:rPr>
                <w:lang w:val="en-NZ"/>
              </w:rPr>
            </w:pPr>
            <w:r w:rsidRPr="002A0E2C">
              <w:t>Humidity conditions are determined using psychrometric charts</w:t>
            </w:r>
          </w:p>
        </w:tc>
      </w:tr>
      <w:tr w:rsidTr="008B504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2A0E2C" w:rsidP="002A0E2C">
            <w:pPr>
              <w:pStyle w:val="BodyText"/>
            </w:pPr>
            <w:r w:rsidRPr="002A0E2C">
              <w:rPr>
                <w:rStyle w:val="SpecialBold"/>
              </w:rPr>
              <w:t>10</w:t>
            </w:r>
          </w:p>
        </w:tc>
        <w:tc>
          <w:tcPr>
            <w:tcW w:w="2303" w:type="dxa"/>
            <w:vMerge w:val="restart"/>
            <w:tcBorders>
              <w:top w:val="nil"/>
              <w:left w:val="nil"/>
              <w:bottom w:val="nil"/>
              <w:right w:val="nil"/>
            </w:tcBorders>
            <w:tcMar>
              <w:top w:w="0" w:type="dxa"/>
              <w:left w:w="62" w:type="dxa"/>
              <w:bottom w:w="0" w:type="dxa"/>
              <w:right w:w="62" w:type="dxa"/>
            </w:tcMar>
          </w:tcPr>
          <w:p w:rsidR="00000000" w:rsidRPr="002A0E2C" w:rsidP="002A0E2C">
            <w:pPr>
              <w:pStyle w:val="BodyText"/>
            </w:pPr>
            <w:r w:rsidRPr="002A0E2C">
              <w:rPr>
                <w:rStyle w:val="SpecialBold"/>
              </w:rPr>
              <w:t>Solve heat transfer problems involving flat plates and thin cylinders</w:t>
            </w:r>
          </w:p>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A0E2C">
            <w:pPr>
              <w:pStyle w:val="BodyText"/>
              <w:rPr>
                <w:lang w:val="en-NZ"/>
              </w:rPr>
            </w:pPr>
            <w:r w:rsidRPr="002A0E2C">
              <w:t>10.1</w:t>
            </w:r>
          </w:p>
        </w:tc>
        <w:tc>
          <w:tcPr>
            <w:tcW w:w="6045" w:type="dxa"/>
            <w:tcBorders>
              <w:top w:val="nil"/>
              <w:left w:val="nil"/>
              <w:bottom w:val="nil"/>
              <w:right w:val="nil"/>
            </w:tcBorders>
            <w:tcMar>
              <w:top w:w="0" w:type="dxa"/>
              <w:left w:w="62" w:type="dxa"/>
              <w:bottom w:w="0" w:type="dxa"/>
              <w:right w:w="62" w:type="dxa"/>
            </w:tcMar>
          </w:tcPr>
          <w:p w:rsidR="00000000" w:rsidP="002A0E2C">
            <w:pPr>
              <w:pStyle w:val="BodyText"/>
              <w:rPr>
                <w:lang w:val="en-NZ"/>
              </w:rPr>
            </w:pPr>
            <w:r w:rsidRPr="002A0E2C">
              <w:t>Different fo</w:t>
            </w:r>
            <w:r w:rsidRPr="002A0E2C">
              <w:t>rms of heat transfer are identified</w:t>
            </w:r>
          </w:p>
        </w:tc>
      </w:tr>
      <w:tr w:rsidTr="008B504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A0E2C">
            <w:pPr>
              <w:pStyle w:val="BodyText"/>
              <w:rPr>
                <w:lang w:val="en-NZ"/>
              </w:rPr>
            </w:pPr>
            <w:r w:rsidRPr="002A0E2C">
              <w:t>10.2</w:t>
            </w:r>
          </w:p>
        </w:tc>
        <w:tc>
          <w:tcPr>
            <w:tcW w:w="6045" w:type="dxa"/>
            <w:tcBorders>
              <w:top w:val="nil"/>
              <w:left w:val="nil"/>
              <w:bottom w:val="nil"/>
              <w:right w:val="nil"/>
            </w:tcBorders>
            <w:tcMar>
              <w:top w:w="0" w:type="dxa"/>
              <w:left w:w="62" w:type="dxa"/>
              <w:bottom w:w="0" w:type="dxa"/>
              <w:right w:w="62" w:type="dxa"/>
            </w:tcMar>
          </w:tcPr>
          <w:p w:rsidR="00000000" w:rsidP="002A0E2C">
            <w:pPr>
              <w:pStyle w:val="BodyText"/>
              <w:rPr>
                <w:lang w:val="en-NZ"/>
              </w:rPr>
            </w:pPr>
            <w:r w:rsidRPr="002A0E2C">
              <w:t>Heat flow through composite flat plates using thermal conductivity is calculated</w:t>
            </w:r>
          </w:p>
        </w:tc>
      </w:tr>
      <w:tr w:rsidTr="008B504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A0E2C">
            <w:pPr>
              <w:pStyle w:val="BodyText"/>
              <w:rPr>
                <w:lang w:val="en-NZ"/>
              </w:rPr>
            </w:pPr>
            <w:r w:rsidRPr="002A0E2C">
              <w:t>10.3</w:t>
            </w:r>
          </w:p>
        </w:tc>
        <w:tc>
          <w:tcPr>
            <w:tcW w:w="6045" w:type="dxa"/>
            <w:tcBorders>
              <w:top w:val="nil"/>
              <w:left w:val="nil"/>
              <w:bottom w:val="nil"/>
              <w:right w:val="nil"/>
            </w:tcBorders>
            <w:tcMar>
              <w:top w:w="0" w:type="dxa"/>
              <w:left w:w="62" w:type="dxa"/>
              <w:bottom w:w="0" w:type="dxa"/>
              <w:right w:w="62" w:type="dxa"/>
            </w:tcMar>
          </w:tcPr>
          <w:p w:rsidR="00000000" w:rsidP="002A0E2C">
            <w:pPr>
              <w:pStyle w:val="BodyText"/>
              <w:rPr>
                <w:lang w:val="en-NZ"/>
              </w:rPr>
            </w:pPr>
            <w:r w:rsidRPr="002A0E2C">
              <w:t>Interface temperatures of composite flat layers are calculated</w:t>
            </w:r>
          </w:p>
        </w:tc>
      </w:tr>
      <w:tr w:rsidTr="008B504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A0E2C">
            <w:pPr>
              <w:pStyle w:val="BodyText"/>
              <w:rPr>
                <w:lang w:val="en-NZ"/>
              </w:rPr>
            </w:pPr>
            <w:r w:rsidRPr="002A0E2C">
              <w:t>10.4</w:t>
            </w:r>
          </w:p>
        </w:tc>
        <w:tc>
          <w:tcPr>
            <w:tcW w:w="6045" w:type="dxa"/>
            <w:tcBorders>
              <w:top w:val="nil"/>
              <w:left w:val="nil"/>
              <w:bottom w:val="nil"/>
              <w:right w:val="nil"/>
            </w:tcBorders>
            <w:tcMar>
              <w:top w:w="0" w:type="dxa"/>
              <w:left w:w="62" w:type="dxa"/>
              <w:bottom w:w="0" w:type="dxa"/>
              <w:right w:w="62" w:type="dxa"/>
            </w:tcMar>
          </w:tcPr>
          <w:p w:rsidR="00000000" w:rsidP="002A0E2C">
            <w:pPr>
              <w:pStyle w:val="BodyText"/>
              <w:rPr>
                <w:lang w:val="en-NZ"/>
              </w:rPr>
            </w:pPr>
            <w:r w:rsidRPr="002A0E2C">
              <w:t>Radial conduction of heat through a thin cylinder is calculated</w:t>
            </w:r>
          </w:p>
        </w:tc>
      </w:tr>
      <w:tr w:rsidTr="008B504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2A0E2C" w:rsidP="002A0E2C">
            <w:pPr>
              <w:pStyle w:val="BodyText"/>
            </w:pPr>
            <w:r w:rsidRPr="002A0E2C">
              <w:rPr>
                <w:rStyle w:val="SpecialBold"/>
              </w:rPr>
              <w:t>11</w:t>
            </w:r>
          </w:p>
        </w:tc>
        <w:tc>
          <w:tcPr>
            <w:tcW w:w="2303" w:type="dxa"/>
            <w:vMerge w:val="restart"/>
            <w:tcBorders>
              <w:top w:val="nil"/>
              <w:left w:val="nil"/>
              <w:bottom w:val="nil"/>
              <w:right w:val="nil"/>
            </w:tcBorders>
            <w:tcMar>
              <w:top w:w="0" w:type="dxa"/>
              <w:left w:w="62" w:type="dxa"/>
              <w:bottom w:w="0" w:type="dxa"/>
              <w:right w:w="62" w:type="dxa"/>
            </w:tcMar>
          </w:tcPr>
          <w:p w:rsidR="00000000" w:rsidRPr="002A0E2C" w:rsidP="002A0E2C">
            <w:pPr>
              <w:pStyle w:val="BodyText"/>
            </w:pPr>
            <w:r w:rsidRPr="002A0E2C">
              <w:rPr>
                <w:rStyle w:val="SpecialBold"/>
              </w:rPr>
              <w:t>Solve problems related to single and multi stage air compression</w:t>
            </w:r>
          </w:p>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A0E2C">
            <w:pPr>
              <w:pStyle w:val="BodyText"/>
              <w:rPr>
                <w:lang w:val="en-NZ"/>
              </w:rPr>
            </w:pPr>
            <w:r w:rsidRPr="002A0E2C">
              <w:t>11.1</w:t>
            </w:r>
          </w:p>
        </w:tc>
        <w:tc>
          <w:tcPr>
            <w:tcW w:w="6045" w:type="dxa"/>
            <w:tcBorders>
              <w:top w:val="nil"/>
              <w:left w:val="nil"/>
              <w:bottom w:val="nil"/>
              <w:right w:val="nil"/>
            </w:tcBorders>
            <w:tcMar>
              <w:top w:w="0" w:type="dxa"/>
              <w:left w:w="62" w:type="dxa"/>
              <w:bottom w:w="0" w:type="dxa"/>
              <w:right w:w="62" w:type="dxa"/>
            </w:tcMar>
          </w:tcPr>
          <w:p w:rsidR="00000000" w:rsidP="002A0E2C">
            <w:pPr>
              <w:pStyle w:val="BodyText"/>
              <w:rPr>
                <w:lang w:val="en-NZ"/>
              </w:rPr>
            </w:pPr>
            <w:r w:rsidRPr="002A0E2C">
              <w:t>Pressure–volume diagram is applied to describe operating cycle of reciprocating compressors</w:t>
            </w:r>
          </w:p>
        </w:tc>
      </w:tr>
      <w:tr w:rsidTr="008B504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A0E2C">
            <w:pPr>
              <w:pStyle w:val="BodyText"/>
              <w:rPr>
                <w:lang w:val="en-NZ"/>
              </w:rPr>
            </w:pPr>
            <w:r w:rsidRPr="002A0E2C">
              <w:t>11.2</w:t>
            </w:r>
          </w:p>
        </w:tc>
        <w:tc>
          <w:tcPr>
            <w:tcW w:w="6045" w:type="dxa"/>
            <w:tcBorders>
              <w:top w:val="nil"/>
              <w:left w:val="nil"/>
              <w:bottom w:val="nil"/>
              <w:right w:val="nil"/>
            </w:tcBorders>
            <w:tcMar>
              <w:top w:w="0" w:type="dxa"/>
              <w:left w:w="62" w:type="dxa"/>
              <w:bottom w:w="0" w:type="dxa"/>
              <w:right w:w="62" w:type="dxa"/>
            </w:tcMar>
          </w:tcPr>
          <w:p w:rsidR="00000000" w:rsidP="002A0E2C">
            <w:pPr>
              <w:pStyle w:val="BodyText"/>
              <w:rPr>
                <w:lang w:val="en-NZ"/>
              </w:rPr>
            </w:pPr>
            <w:r w:rsidRPr="002A0E2C">
              <w:t>Work done by constant pressure, isothermal processes and polytropic processes in reciprocating compressors is calculated</w:t>
            </w:r>
          </w:p>
        </w:tc>
      </w:tr>
      <w:tr w:rsidTr="008B504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A0E2C">
            <w:pPr>
              <w:pStyle w:val="BodyText"/>
              <w:rPr>
                <w:lang w:val="en-NZ"/>
              </w:rPr>
            </w:pPr>
            <w:r w:rsidRPr="002A0E2C">
              <w:t>11.3</w:t>
            </w:r>
          </w:p>
        </w:tc>
        <w:tc>
          <w:tcPr>
            <w:tcW w:w="6045" w:type="dxa"/>
            <w:tcBorders>
              <w:top w:val="nil"/>
              <w:left w:val="nil"/>
              <w:bottom w:val="nil"/>
              <w:right w:val="nil"/>
            </w:tcBorders>
            <w:tcMar>
              <w:top w:w="0" w:type="dxa"/>
              <w:left w:w="62" w:type="dxa"/>
              <w:bottom w:w="0" w:type="dxa"/>
              <w:right w:w="62" w:type="dxa"/>
            </w:tcMar>
          </w:tcPr>
          <w:p w:rsidR="00000000" w:rsidP="002A0E2C">
            <w:pPr>
              <w:pStyle w:val="BodyText"/>
              <w:rPr>
                <w:lang w:val="en-NZ"/>
              </w:rPr>
            </w:pPr>
            <w:r w:rsidRPr="002A0E2C">
              <w:t>Effect of clearance volume on efficiency of reciprocating compressors is explained</w:t>
            </w:r>
          </w:p>
        </w:tc>
      </w:tr>
      <w:tr w:rsidTr="008B504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A0E2C">
            <w:pPr>
              <w:pStyle w:val="BodyText"/>
              <w:rPr>
                <w:lang w:val="en-NZ"/>
              </w:rPr>
            </w:pPr>
            <w:r w:rsidRPr="002A0E2C">
              <w:t>11.4</w:t>
            </w:r>
          </w:p>
        </w:tc>
        <w:tc>
          <w:tcPr>
            <w:tcW w:w="6045" w:type="dxa"/>
            <w:tcBorders>
              <w:top w:val="nil"/>
              <w:left w:val="nil"/>
              <w:bottom w:val="nil"/>
              <w:right w:val="nil"/>
            </w:tcBorders>
            <w:tcMar>
              <w:top w:w="0" w:type="dxa"/>
              <w:left w:w="62" w:type="dxa"/>
              <w:bottom w:w="0" w:type="dxa"/>
              <w:right w:w="62" w:type="dxa"/>
            </w:tcMar>
          </w:tcPr>
          <w:p w:rsidR="00000000" w:rsidP="002A0E2C">
            <w:pPr>
              <w:pStyle w:val="BodyText"/>
              <w:rPr>
                <w:lang w:val="en-NZ"/>
              </w:rPr>
            </w:pPr>
            <w:r w:rsidRPr="002A0E2C">
              <w:t>Volumetric efficiency and free air discharge in reciprocating compressors is calculated</w:t>
            </w:r>
          </w:p>
        </w:tc>
      </w:tr>
      <w:tr w:rsidTr="008B504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A0E2C">
            <w:pPr>
              <w:pStyle w:val="BodyText"/>
              <w:rPr>
                <w:lang w:val="en-NZ"/>
              </w:rPr>
            </w:pPr>
            <w:r w:rsidRPr="002A0E2C">
              <w:t>11.5</w:t>
            </w:r>
          </w:p>
        </w:tc>
        <w:tc>
          <w:tcPr>
            <w:tcW w:w="6045" w:type="dxa"/>
            <w:tcBorders>
              <w:top w:val="nil"/>
              <w:left w:val="nil"/>
              <w:bottom w:val="nil"/>
              <w:right w:val="nil"/>
            </w:tcBorders>
            <w:tcMar>
              <w:top w:w="0" w:type="dxa"/>
              <w:left w:w="62" w:type="dxa"/>
              <w:bottom w:w="0" w:type="dxa"/>
              <w:right w:w="62" w:type="dxa"/>
            </w:tcMar>
          </w:tcPr>
          <w:p w:rsidR="00000000" w:rsidP="002A0E2C">
            <w:pPr>
              <w:pStyle w:val="BodyText"/>
              <w:rPr>
                <w:lang w:val="en-NZ"/>
              </w:rPr>
            </w:pPr>
            <w:r w:rsidRPr="002A0E2C">
              <w:t>Volume, mass flow and temperature are calculated at completion of each process in reciprocating compressors</w:t>
            </w:r>
          </w:p>
        </w:tc>
      </w:tr>
      <w:tr w:rsidTr="008B504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A0E2C">
            <w:pPr>
              <w:pStyle w:val="BodyText"/>
              <w:rPr>
                <w:lang w:val="en-NZ"/>
              </w:rPr>
            </w:pPr>
            <w:r w:rsidRPr="002A0E2C">
              <w:t>11.6</w:t>
            </w:r>
          </w:p>
        </w:tc>
        <w:tc>
          <w:tcPr>
            <w:tcW w:w="6045" w:type="dxa"/>
            <w:tcBorders>
              <w:top w:val="nil"/>
              <w:left w:val="nil"/>
              <w:bottom w:val="nil"/>
              <w:right w:val="nil"/>
            </w:tcBorders>
            <w:tcMar>
              <w:top w:w="0" w:type="dxa"/>
              <w:left w:w="62" w:type="dxa"/>
              <w:bottom w:w="0" w:type="dxa"/>
              <w:right w:w="62" w:type="dxa"/>
            </w:tcMar>
          </w:tcPr>
          <w:p w:rsidR="00000000" w:rsidP="002A0E2C">
            <w:pPr>
              <w:pStyle w:val="BodyText"/>
              <w:rPr>
                <w:lang w:val="en-NZ"/>
              </w:rPr>
            </w:pPr>
            <w:r w:rsidRPr="002A0E2C">
              <w:t xml:space="preserve">How inter-cooling and after-cooling affects </w:t>
            </w:r>
            <w:r w:rsidRPr="002A0E2C">
              <w:t>overall efficiency of reciprocating compressors is explained</w:t>
            </w:r>
          </w:p>
        </w:tc>
      </w:tr>
      <w:tr w:rsidTr="008B504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A0E2C">
            <w:pPr>
              <w:pStyle w:val="BodyText"/>
              <w:rPr>
                <w:lang w:val="en-NZ"/>
              </w:rPr>
            </w:pPr>
            <w:r w:rsidRPr="002A0E2C">
              <w:t>11.7</w:t>
            </w:r>
          </w:p>
        </w:tc>
        <w:tc>
          <w:tcPr>
            <w:tcW w:w="6045" w:type="dxa"/>
            <w:tcBorders>
              <w:top w:val="nil"/>
              <w:left w:val="nil"/>
              <w:bottom w:val="nil"/>
              <w:right w:val="nil"/>
            </w:tcBorders>
            <w:tcMar>
              <w:top w:w="0" w:type="dxa"/>
              <w:left w:w="62" w:type="dxa"/>
              <w:bottom w:w="0" w:type="dxa"/>
              <w:right w:w="62" w:type="dxa"/>
            </w:tcMar>
          </w:tcPr>
          <w:p w:rsidR="00000000" w:rsidP="002A0E2C">
            <w:pPr>
              <w:pStyle w:val="BodyText"/>
              <w:rPr>
                <w:lang w:val="en-NZ"/>
              </w:rPr>
            </w:pPr>
            <w:r w:rsidRPr="002A0E2C">
              <w:t>Quantity of cooling water required by reciprocating compressors is calculated</w:t>
            </w:r>
          </w:p>
        </w:tc>
      </w:tr>
      <w:tr w:rsidTr="008B504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2A0E2C" w:rsidP="002A0E2C">
            <w:pPr>
              <w:pStyle w:val="BodyText"/>
            </w:pPr>
            <w:r w:rsidRPr="002A0E2C">
              <w:rPr>
                <w:rStyle w:val="SpecialBold"/>
              </w:rPr>
              <w:t>12</w:t>
            </w:r>
          </w:p>
        </w:tc>
        <w:tc>
          <w:tcPr>
            <w:tcW w:w="2303" w:type="dxa"/>
            <w:vMerge w:val="restart"/>
            <w:tcBorders>
              <w:top w:val="nil"/>
              <w:left w:val="nil"/>
              <w:bottom w:val="nil"/>
              <w:right w:val="nil"/>
            </w:tcBorders>
            <w:tcMar>
              <w:top w:w="0" w:type="dxa"/>
              <w:left w:w="62" w:type="dxa"/>
              <w:bottom w:w="0" w:type="dxa"/>
              <w:right w:w="62" w:type="dxa"/>
            </w:tcMar>
          </w:tcPr>
          <w:p w:rsidR="00000000" w:rsidRPr="002A0E2C" w:rsidP="002A0E2C">
            <w:pPr>
              <w:pStyle w:val="BodyText"/>
            </w:pPr>
            <w:r w:rsidRPr="002A0E2C">
              <w:rPr>
                <w:rStyle w:val="SpecialBold"/>
              </w:rPr>
              <w:t>Perform calculations related to engine power and heat balances</w:t>
            </w:r>
          </w:p>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A0E2C">
            <w:pPr>
              <w:pStyle w:val="BodyText"/>
              <w:rPr>
                <w:lang w:val="en-NZ"/>
              </w:rPr>
            </w:pPr>
            <w:r w:rsidRPr="002A0E2C">
              <w:t>12.1</w:t>
            </w:r>
          </w:p>
        </w:tc>
        <w:tc>
          <w:tcPr>
            <w:tcW w:w="6045" w:type="dxa"/>
            <w:tcBorders>
              <w:top w:val="nil"/>
              <w:left w:val="nil"/>
              <w:bottom w:val="nil"/>
              <w:right w:val="nil"/>
            </w:tcBorders>
            <w:tcMar>
              <w:top w:w="0" w:type="dxa"/>
              <w:left w:w="62" w:type="dxa"/>
              <w:bottom w:w="0" w:type="dxa"/>
              <w:right w:w="62" w:type="dxa"/>
            </w:tcMar>
          </w:tcPr>
          <w:p w:rsidR="00000000" w:rsidP="002A0E2C">
            <w:pPr>
              <w:pStyle w:val="BodyText"/>
              <w:rPr>
                <w:lang w:val="en-NZ"/>
              </w:rPr>
            </w:pPr>
            <w:r w:rsidRPr="002A0E2C">
              <w:t>Indicator and timing diagrams for internal combustion engines are plotted</w:t>
            </w:r>
          </w:p>
        </w:tc>
      </w:tr>
      <w:tr w:rsidTr="008B504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A0E2C">
            <w:pPr>
              <w:pStyle w:val="BodyText"/>
              <w:rPr>
                <w:lang w:val="en-NZ"/>
              </w:rPr>
            </w:pPr>
            <w:r w:rsidRPr="002A0E2C">
              <w:t>12.2</w:t>
            </w:r>
          </w:p>
        </w:tc>
        <w:tc>
          <w:tcPr>
            <w:tcW w:w="6045" w:type="dxa"/>
            <w:tcBorders>
              <w:top w:val="nil"/>
              <w:left w:val="nil"/>
              <w:bottom w:val="nil"/>
              <w:right w:val="nil"/>
            </w:tcBorders>
            <w:tcMar>
              <w:top w:w="0" w:type="dxa"/>
              <w:left w:w="62" w:type="dxa"/>
              <w:bottom w:w="0" w:type="dxa"/>
              <w:right w:w="62" w:type="dxa"/>
            </w:tcMar>
          </w:tcPr>
          <w:p w:rsidR="00000000" w:rsidP="002A0E2C">
            <w:pPr>
              <w:pStyle w:val="BodyText"/>
              <w:rPr>
                <w:lang w:val="en-NZ"/>
              </w:rPr>
            </w:pPr>
            <w:r w:rsidRPr="002A0E2C">
              <w:t>Formula is applied to solve problems related to indicated power of internal combustion engines</w:t>
            </w:r>
          </w:p>
        </w:tc>
      </w:tr>
      <w:tr w:rsidTr="008B504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A0E2C">
            <w:pPr>
              <w:pStyle w:val="BodyText"/>
              <w:rPr>
                <w:lang w:val="en-NZ"/>
              </w:rPr>
            </w:pPr>
            <w:r w:rsidRPr="002A0E2C">
              <w:t>12.3</w:t>
            </w:r>
          </w:p>
        </w:tc>
        <w:tc>
          <w:tcPr>
            <w:tcW w:w="6045" w:type="dxa"/>
            <w:tcBorders>
              <w:top w:val="nil"/>
              <w:left w:val="nil"/>
              <w:bottom w:val="nil"/>
              <w:right w:val="nil"/>
            </w:tcBorders>
            <w:tcMar>
              <w:top w:w="0" w:type="dxa"/>
              <w:left w:w="62" w:type="dxa"/>
              <w:bottom w:w="0" w:type="dxa"/>
              <w:right w:w="62" w:type="dxa"/>
            </w:tcMar>
          </w:tcPr>
          <w:p w:rsidR="00000000" w:rsidP="002A0E2C">
            <w:pPr>
              <w:pStyle w:val="BodyText"/>
              <w:rPr>
                <w:lang w:val="en-NZ"/>
              </w:rPr>
            </w:pPr>
            <w:r w:rsidRPr="002A0E2C">
              <w:t>Formula is applied to solve problems related to brake power of internal</w:t>
            </w:r>
            <w:r w:rsidRPr="002A0E2C">
              <w:t xml:space="preserve"> combustion engines</w:t>
            </w:r>
          </w:p>
        </w:tc>
      </w:tr>
      <w:tr w:rsidTr="008B504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A0E2C">
            <w:pPr>
              <w:pStyle w:val="BodyText"/>
              <w:rPr>
                <w:lang w:val="en-NZ"/>
              </w:rPr>
            </w:pPr>
            <w:r w:rsidRPr="002A0E2C">
              <w:t>12.4</w:t>
            </w:r>
          </w:p>
        </w:tc>
        <w:tc>
          <w:tcPr>
            <w:tcW w:w="6045" w:type="dxa"/>
            <w:tcBorders>
              <w:top w:val="nil"/>
              <w:left w:val="nil"/>
              <w:bottom w:val="nil"/>
              <w:right w:val="nil"/>
            </w:tcBorders>
            <w:tcMar>
              <w:top w:w="0" w:type="dxa"/>
              <w:left w:w="62" w:type="dxa"/>
              <w:bottom w:w="0" w:type="dxa"/>
              <w:right w:w="62" w:type="dxa"/>
            </w:tcMar>
          </w:tcPr>
          <w:p w:rsidR="00000000" w:rsidP="002A0E2C">
            <w:pPr>
              <w:pStyle w:val="BodyText"/>
              <w:rPr>
                <w:lang w:val="en-NZ"/>
              </w:rPr>
            </w:pPr>
            <w:r w:rsidRPr="002A0E2C">
              <w:t>Morse test is applied to determine the indicated power of internal combustion engines</w:t>
            </w:r>
          </w:p>
        </w:tc>
      </w:tr>
      <w:tr w:rsidTr="008B504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A0E2C">
            <w:pPr>
              <w:pStyle w:val="BodyText"/>
              <w:rPr>
                <w:lang w:val="en-NZ"/>
              </w:rPr>
            </w:pPr>
            <w:r w:rsidRPr="002A0E2C">
              <w:t>12.5</w:t>
            </w:r>
          </w:p>
        </w:tc>
        <w:tc>
          <w:tcPr>
            <w:tcW w:w="6045" w:type="dxa"/>
            <w:tcBorders>
              <w:top w:val="nil"/>
              <w:left w:val="nil"/>
              <w:bottom w:val="nil"/>
              <w:right w:val="nil"/>
            </w:tcBorders>
            <w:tcMar>
              <w:top w:w="0" w:type="dxa"/>
              <w:left w:w="62" w:type="dxa"/>
              <w:bottom w:w="0" w:type="dxa"/>
              <w:right w:w="62" w:type="dxa"/>
            </w:tcMar>
          </w:tcPr>
          <w:p w:rsidR="00000000" w:rsidRPr="002A0E2C" w:rsidP="002A0E2C">
            <w:pPr>
              <w:pStyle w:val="BodyText"/>
            </w:pPr>
            <w:r w:rsidRPr="002A0E2C">
              <w:t>Tabular and graphical heat balance diagrams are applied to calculate mechanical, thermal and overall efficiencies of internal combustion engines</w:t>
            </w:r>
          </w:p>
        </w:tc>
      </w:tr>
    </w:tbl>
    <w:p w:rsidR="00000000" w:rsidRPr="002A0E2C" w:rsidP="002A0E2C">
      <w:pPr>
        <w:pStyle w:val="BodyText"/>
      </w:pPr>
    </w:p>
    <w:p w:rsidR="00000000" w:rsidRPr="002A0E2C" w:rsidP="002A0E2C">
      <w:pPr>
        <w:pStyle w:val="AllowPageBreak"/>
      </w:pPr>
    </w:p>
    <w:p w:rsidR="00000000" w:rsidRPr="002A0E2C" w:rsidP="002A0E2C">
      <w:pPr>
        <w:pStyle w:val="Heading1"/>
      </w:pPr>
      <w:bookmarkStart w:id="7" w:name="O_661455"/>
      <w:bookmarkEnd w:id="7"/>
      <w:r w:rsidRPr="002A0E2C">
        <w:t>Foundation Skills</w:t>
      </w:r>
    </w:p>
    <w:tbl>
      <w:tblPr>
        <w:tblW w:w="9498" w:type="dxa"/>
        <w:tblLayout w:type="fixed"/>
        <w:tblCellMar>
          <w:left w:w="62" w:type="dxa"/>
          <w:right w:w="62" w:type="dxa"/>
        </w:tblCellMar>
        <w:tblLook w:val="0000"/>
      </w:tblPr>
      <w:tblGrid>
        <w:gridCol w:w="9498"/>
      </w:tblGrid>
      <w:tr w:rsidTr="002A0E2C">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2A0E2C" w:rsidP="002A0E2C">
            <w:pPr>
              <w:pStyle w:val="BodyText"/>
            </w:pPr>
            <w:r w:rsidRPr="002A0E2C">
              <w:t>Foundation skills essential to performance are explicit in the performance</w:t>
            </w:r>
            <w:r w:rsidRPr="002A0E2C">
              <w:t xml:space="preserve"> criteria of this unit of competency.</w:t>
            </w:r>
          </w:p>
        </w:tc>
      </w:tr>
    </w:tbl>
    <w:p w:rsidR="00000000" w:rsidRPr="002A0E2C" w:rsidP="002A0E2C">
      <w:pPr>
        <w:pStyle w:val="BodyText"/>
      </w:pPr>
    </w:p>
    <w:p w:rsidR="00000000" w:rsidRPr="002A0E2C" w:rsidP="002A0E2C">
      <w:pPr>
        <w:pStyle w:val="AllowPageBreak"/>
      </w:pPr>
    </w:p>
    <w:p w:rsidR="00000000" w:rsidRPr="002A0E2C" w:rsidP="002A0E2C">
      <w:pPr>
        <w:pStyle w:val="Heading1"/>
      </w:pPr>
      <w:bookmarkStart w:id="8" w:name="O_661456"/>
      <w:bookmarkEnd w:id="8"/>
      <w:r w:rsidRPr="002A0E2C">
        <w:t>Range of Conditions</w:t>
      </w:r>
    </w:p>
    <w:tbl>
      <w:tblPr>
        <w:tblW w:w="9498" w:type="dxa"/>
        <w:tblLayout w:type="fixed"/>
        <w:tblCellMar>
          <w:left w:w="62" w:type="dxa"/>
          <w:right w:w="62" w:type="dxa"/>
        </w:tblCellMar>
        <w:tblLook w:val="0000"/>
      </w:tblPr>
      <w:tblGrid>
        <w:gridCol w:w="2735"/>
        <w:gridCol w:w="6763"/>
      </w:tblGrid>
      <w:tr w:rsidTr="002A0E2C">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2A0E2C">
            <w:pPr>
              <w:pStyle w:val="BodyText"/>
              <w:rPr>
                <w:lang w:val="en-NZ"/>
              </w:rPr>
            </w:pPr>
            <w:r w:rsidRPr="002A0E2C">
              <w:t>Range is restricted to essential operating conditions and any other variables essential to the work environment.</w:t>
            </w:r>
          </w:p>
        </w:tc>
      </w:tr>
      <w:tr w:rsidTr="002A0E2C">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2A0E2C" w:rsidP="002A0E2C">
            <w:pPr>
              <w:pStyle w:val="BodyText"/>
            </w:pPr>
            <w:r w:rsidRPr="002A0E2C">
              <w:t>Key terms include:</w:t>
            </w:r>
          </w:p>
          <w:p w:rsidR="00000000" w:rsidRPr="002A0E2C" w:rsidP="002A0E2C">
            <w:pPr>
              <w:pStyle w:val="BodyText"/>
            </w:pPr>
          </w:p>
          <w:p w:rsidR="00000000" w:rsidP="002A0E2C">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2A0E2C" w:rsidP="002A0E2C">
            <w:pPr>
              <w:pStyle w:val="ListBullet"/>
            </w:pPr>
            <w:r w:rsidRPr="002A0E2C">
              <w:t xml:space="preserve">enthalpy of fusion </w:t>
            </w:r>
          </w:p>
          <w:p w:rsidR="00000000" w:rsidRPr="002A0E2C" w:rsidP="002A0E2C">
            <w:pPr>
              <w:pStyle w:val="ListBullet"/>
            </w:pPr>
            <w:r w:rsidRPr="002A0E2C">
              <w:t>evaporation</w:t>
            </w:r>
          </w:p>
          <w:p w:rsidR="00000000" w:rsidRPr="002A0E2C" w:rsidP="002A0E2C">
            <w:pPr>
              <w:pStyle w:val="ListBullet"/>
            </w:pPr>
            <w:r w:rsidRPr="002A0E2C">
              <w:t>sensible heat</w:t>
            </w:r>
          </w:p>
          <w:p w:rsidR="00000000" w:rsidP="002A0E2C">
            <w:pPr>
              <w:pStyle w:val="ListBullet"/>
              <w:rPr>
                <w:lang w:val="en-NZ"/>
              </w:rPr>
            </w:pPr>
            <w:r w:rsidRPr="002A0E2C">
              <w:t>transfer of heat energy</w:t>
            </w:r>
          </w:p>
        </w:tc>
      </w:tr>
      <w:tr w:rsidTr="002A0E2C">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2A0E2C" w:rsidP="002A0E2C">
            <w:pPr>
              <w:pStyle w:val="BodyText"/>
            </w:pPr>
            <w:r w:rsidRPr="002A0E2C">
              <w:t xml:space="preserve">Processes include one or more of the following: </w:t>
            </w:r>
          </w:p>
          <w:p w:rsidR="00000000" w:rsidP="002A0E2C">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2A0E2C" w:rsidP="002A0E2C">
            <w:pPr>
              <w:pStyle w:val="ListBullet"/>
            </w:pPr>
            <w:r w:rsidRPr="002A0E2C">
              <w:t xml:space="preserve">adiabatic </w:t>
            </w:r>
          </w:p>
          <w:p w:rsidR="00000000" w:rsidRPr="002A0E2C" w:rsidP="002A0E2C">
            <w:pPr>
              <w:pStyle w:val="ListBullet"/>
            </w:pPr>
            <w:r w:rsidRPr="002A0E2C">
              <w:t>isothermal</w:t>
            </w:r>
          </w:p>
          <w:p w:rsidR="00000000" w:rsidP="002A0E2C">
            <w:pPr>
              <w:pStyle w:val="ListBullet"/>
              <w:rPr>
                <w:lang w:val="en-NZ"/>
              </w:rPr>
            </w:pPr>
            <w:r w:rsidRPr="002A0E2C">
              <w:t>polytropic</w:t>
            </w:r>
          </w:p>
        </w:tc>
      </w:tr>
      <w:tr w:rsidTr="002A0E2C">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8B5046" w:rsidP="002A0E2C">
            <w:pPr>
              <w:pStyle w:val="BodyText"/>
            </w:pPr>
            <w:r w:rsidRPr="002A0E2C">
              <w:t xml:space="preserve">Fluid properties include one or more of the following: </w:t>
            </w:r>
          </w:p>
          <w:p w:rsidR="008B5046" w:rsidP="002A0E2C">
            <w:pPr>
              <w:pStyle w:val="BodyText"/>
            </w:pPr>
          </w:p>
          <w:p w:rsidR="00000000" w:rsidP="002A0E2C">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2A0E2C" w:rsidP="002A0E2C">
            <w:pPr>
              <w:pStyle w:val="ListBullet"/>
            </w:pPr>
            <w:r w:rsidRPr="002A0E2C">
              <w:t>density</w:t>
            </w:r>
          </w:p>
          <w:p w:rsidR="00000000" w:rsidRPr="002A0E2C" w:rsidP="002A0E2C">
            <w:pPr>
              <w:pStyle w:val="ListBullet"/>
            </w:pPr>
            <w:r w:rsidRPr="002A0E2C">
              <w:t xml:space="preserve">dryness faction </w:t>
            </w:r>
          </w:p>
          <w:p w:rsidR="00000000" w:rsidRPr="002A0E2C" w:rsidP="002A0E2C">
            <w:pPr>
              <w:pStyle w:val="ListBullet"/>
            </w:pPr>
            <w:r w:rsidRPr="002A0E2C">
              <w:t xml:space="preserve">enthalpy of water </w:t>
            </w:r>
          </w:p>
          <w:p w:rsidR="00000000" w:rsidRPr="002A0E2C" w:rsidP="002A0E2C">
            <w:pPr>
              <w:pStyle w:val="ListBullet"/>
            </w:pPr>
            <w:r w:rsidRPr="002A0E2C">
              <w:t>pressure</w:t>
            </w:r>
          </w:p>
          <w:p w:rsidR="00000000" w:rsidRPr="002A0E2C" w:rsidP="002A0E2C">
            <w:pPr>
              <w:pStyle w:val="ListBullet"/>
            </w:pPr>
            <w:r w:rsidRPr="002A0E2C">
              <w:t>saturated steam</w:t>
            </w:r>
          </w:p>
          <w:p w:rsidR="00000000" w:rsidRPr="002A0E2C" w:rsidP="002A0E2C">
            <w:pPr>
              <w:pStyle w:val="ListBullet"/>
            </w:pPr>
            <w:r w:rsidRPr="002A0E2C">
              <w:t>specific volume</w:t>
            </w:r>
          </w:p>
          <w:p w:rsidR="00000000" w:rsidRPr="002A0E2C" w:rsidP="002A0E2C">
            <w:pPr>
              <w:pStyle w:val="ListBullet"/>
            </w:pPr>
            <w:r w:rsidRPr="002A0E2C">
              <w:t>superheated steam</w:t>
            </w:r>
          </w:p>
          <w:p w:rsidR="00000000" w:rsidP="002A0E2C">
            <w:pPr>
              <w:pStyle w:val="ListBullet"/>
              <w:rPr>
                <w:lang w:val="en-NZ"/>
              </w:rPr>
            </w:pPr>
            <w:r w:rsidRPr="002A0E2C">
              <w:t>temperature</w:t>
            </w:r>
          </w:p>
        </w:tc>
      </w:tr>
      <w:tr w:rsidTr="002A0E2C">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2A0E2C">
            <w:pPr>
              <w:pStyle w:val="BodyText"/>
              <w:rPr>
                <w:lang w:val="en-NZ"/>
              </w:rPr>
            </w:pPr>
            <w:r w:rsidRPr="002A0E2C">
              <w:t xml:space="preserve">Forms of heat transfer must include: </w:t>
            </w:r>
          </w:p>
        </w:tc>
        <w:tc>
          <w:tcPr>
            <w:tcW w:w="6763" w:type="dxa"/>
            <w:tcBorders>
              <w:top w:val="nil"/>
              <w:left w:val="nil"/>
              <w:bottom w:val="nil"/>
              <w:right w:val="nil"/>
            </w:tcBorders>
            <w:tcMar>
              <w:top w:w="0" w:type="dxa"/>
              <w:left w:w="62" w:type="dxa"/>
              <w:bottom w:w="0" w:type="dxa"/>
              <w:right w:w="62" w:type="dxa"/>
            </w:tcMar>
          </w:tcPr>
          <w:p w:rsidR="00000000" w:rsidRPr="002A0E2C" w:rsidP="002A0E2C">
            <w:pPr>
              <w:pStyle w:val="ListBullet"/>
            </w:pPr>
            <w:r w:rsidRPr="002A0E2C">
              <w:t>conduction</w:t>
            </w:r>
          </w:p>
          <w:p w:rsidR="00000000" w:rsidRPr="002A0E2C" w:rsidP="002A0E2C">
            <w:pPr>
              <w:pStyle w:val="ListBullet"/>
            </w:pPr>
            <w:r w:rsidRPr="002A0E2C">
              <w:t xml:space="preserve">convection </w:t>
            </w:r>
          </w:p>
          <w:p w:rsidR="00000000" w:rsidRPr="002A0E2C" w:rsidP="002A0E2C">
            <w:pPr>
              <w:pStyle w:val="ListBullet"/>
            </w:pPr>
            <w:r w:rsidRPr="002A0E2C">
              <w:t>radiation</w:t>
            </w:r>
          </w:p>
        </w:tc>
      </w:tr>
    </w:tbl>
    <w:p w:rsidR="00000000" w:rsidRPr="002A0E2C" w:rsidP="002A0E2C">
      <w:pPr>
        <w:pStyle w:val="BodyText"/>
      </w:pPr>
    </w:p>
    <w:p w:rsidR="00000000" w:rsidRPr="002A0E2C" w:rsidP="002A0E2C">
      <w:pPr>
        <w:pStyle w:val="AllowPageBreak"/>
      </w:pPr>
    </w:p>
    <w:p w:rsidR="00000000" w:rsidRPr="002A0E2C" w:rsidP="002A0E2C">
      <w:pPr>
        <w:pStyle w:val="Heading1"/>
      </w:pPr>
      <w:bookmarkStart w:id="9" w:name="O_661457"/>
      <w:bookmarkEnd w:id="9"/>
      <w:r w:rsidRPr="002A0E2C">
        <w:t>Unit Mapping Information</w:t>
      </w:r>
    </w:p>
    <w:p w:rsidR="00000000" w:rsidRPr="002A0E2C" w:rsidP="008B5046">
      <w:pPr>
        <w:pStyle w:val="BodyText"/>
      </w:pPr>
      <w:r w:rsidRPr="002A0E2C">
        <w:t>This unit replaces and is equivalent to MARL6002A Apply intermediate principles of marine eng</w:t>
      </w:r>
      <w:r w:rsidRPr="002A0E2C">
        <w:t>ineering thermodynamics.</w:t>
      </w:r>
    </w:p>
    <w:p w:rsidR="00000000" w:rsidRPr="002A0E2C" w:rsidP="002A0E2C">
      <w:pPr>
        <w:pStyle w:val="Heading1"/>
      </w:pPr>
      <w:bookmarkStart w:id="10" w:name="O_661464"/>
      <w:bookmarkEnd w:id="10"/>
      <w:r w:rsidRPr="002A0E2C">
        <w:t>Links</w:t>
      </w:r>
    </w:p>
    <w:p w:rsidR="00000000" w:rsidRPr="002A0E2C" w:rsidP="008B5046">
      <w:pPr>
        <w:pStyle w:val="BodyText"/>
      </w:pPr>
      <w:r w:rsidRPr="002A0E2C">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712B29">
        <w:rPr>
          <w:rStyle w:val="Hyperlink"/>
        </w:rPr>
        <w:t>https://vetnet.gov.au/Pages/TrainingDocs.aspx?q=772efb7b-4cce-47fe-9bbd-ee3b1d1eb4c2</w:t>
      </w:r>
      <w:r>
        <w:fldChar w:fldCharType="end"/>
      </w:r>
    </w:p>
    <w:p w:rsidR="00000000" w:rsidRPr="002A0E2C" w:rsidP="002A0E2C"/>
    <w:sectPr w:rsidSect="002A0E2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E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E2C" w:rsidRPr="008B5046" w:rsidP="008B50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E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046" w:rsidP="002A0E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B5046" w:rsidP="002A0E2C">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B5046" w:rsidP="002A0E2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E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04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A0E2C" w:rsidRPr="008B5046" w:rsidP="008B504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E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046" w:rsidRPr="002D2AF8" w:rsidP="002A0E2C">
    <w:pPr>
      <w:pStyle w:val="Header"/>
      <w:framePr w:wrap="around"/>
    </w:pPr>
    <w:r>
      <w:fldChar w:fldCharType="begin"/>
    </w:r>
    <w:r>
      <w:instrText xml:space="preserve"> TITLE   \* MERGEFORMAT </w:instrText>
    </w:r>
    <w:r>
      <w:fldChar w:fldCharType="separate"/>
    </w:r>
    <w:r>
      <w:t>MARL015 Apply intermediate principles of marine engineering thermodynamics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8B5046" w:rsidP="002A0E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258222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FFA65A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0E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0E2C"/>
    <w:pPr>
      <w:spacing w:before="360" w:after="60"/>
      <w:outlineLvl w:val="0"/>
    </w:pPr>
    <w:rPr>
      <w:sz w:val="32"/>
    </w:rPr>
  </w:style>
  <w:style w:type="paragraph" w:styleId="Heading2">
    <w:name w:val="heading 2"/>
    <w:basedOn w:val="HeadingBase"/>
    <w:next w:val="BodyText"/>
    <w:link w:val="Heading2Char"/>
    <w:qFormat/>
    <w:rsid w:val="002A0E2C"/>
    <w:pPr>
      <w:keepLines/>
      <w:spacing w:before="240" w:after="120"/>
      <w:outlineLvl w:val="1"/>
    </w:pPr>
    <w:rPr>
      <w:sz w:val="28"/>
      <w:szCs w:val="40"/>
    </w:rPr>
  </w:style>
  <w:style w:type="paragraph" w:styleId="Heading3">
    <w:name w:val="heading 3"/>
    <w:basedOn w:val="HeadingBase"/>
    <w:next w:val="BodyText"/>
    <w:link w:val="Heading3Char"/>
    <w:qFormat/>
    <w:rsid w:val="002A0E2C"/>
    <w:pPr>
      <w:spacing w:before="180" w:after="120"/>
      <w:outlineLvl w:val="2"/>
    </w:pPr>
    <w:rPr>
      <w:spacing w:val="-10"/>
      <w:kern w:val="32"/>
    </w:rPr>
  </w:style>
  <w:style w:type="paragraph" w:styleId="Heading4">
    <w:name w:val="heading 4"/>
    <w:basedOn w:val="HeadingBase"/>
    <w:next w:val="BodyText"/>
    <w:link w:val="Heading4Char"/>
    <w:qFormat/>
    <w:rsid w:val="002A0E2C"/>
    <w:pPr>
      <w:spacing w:before="160" w:after="120"/>
      <w:outlineLvl w:val="3"/>
    </w:pPr>
    <w:rPr>
      <w:sz w:val="22"/>
    </w:rPr>
  </w:style>
  <w:style w:type="paragraph" w:styleId="Heading5">
    <w:name w:val="heading 5"/>
    <w:basedOn w:val="HeadingBase"/>
    <w:next w:val="Normal"/>
    <w:link w:val="Heading5Char"/>
    <w:qFormat/>
    <w:rsid w:val="002A0E2C"/>
    <w:pPr>
      <w:spacing w:before="80"/>
      <w:outlineLvl w:val="4"/>
    </w:pPr>
    <w:rPr>
      <w:color w:val="918585"/>
      <w:sz w:val="20"/>
    </w:rPr>
  </w:style>
  <w:style w:type="paragraph" w:styleId="Heading6">
    <w:name w:val="heading 6"/>
    <w:basedOn w:val="HeadingBase"/>
    <w:next w:val="Normal"/>
    <w:link w:val="Heading6Char"/>
    <w:qFormat/>
    <w:rsid w:val="002A0E2C"/>
    <w:pPr>
      <w:spacing w:before="60"/>
      <w:outlineLvl w:val="5"/>
    </w:pPr>
    <w:rPr>
      <w:color w:val="918585"/>
      <w:sz w:val="20"/>
    </w:rPr>
  </w:style>
  <w:style w:type="paragraph" w:styleId="Heading7">
    <w:name w:val="heading 7"/>
    <w:basedOn w:val="Normal"/>
    <w:next w:val="Normal"/>
    <w:link w:val="Heading7Char"/>
    <w:qFormat/>
    <w:rsid w:val="002A0E2C"/>
    <w:pPr>
      <w:ind w:left="720"/>
      <w:outlineLvl w:val="6"/>
    </w:pPr>
    <w:rPr>
      <w:i/>
    </w:rPr>
  </w:style>
  <w:style w:type="paragraph" w:styleId="Heading8">
    <w:name w:val="heading 8"/>
    <w:basedOn w:val="Normal"/>
    <w:next w:val="Normal"/>
    <w:link w:val="Heading8Char"/>
    <w:qFormat/>
    <w:rsid w:val="002A0E2C"/>
    <w:pPr>
      <w:ind w:left="720"/>
      <w:outlineLvl w:val="7"/>
    </w:pPr>
    <w:rPr>
      <w:i/>
    </w:rPr>
  </w:style>
  <w:style w:type="paragraph" w:styleId="Heading9">
    <w:name w:val="heading 9"/>
    <w:basedOn w:val="Normal"/>
    <w:next w:val="Normal"/>
    <w:link w:val="Heading9Char"/>
    <w:qFormat/>
    <w:rsid w:val="002A0E2C"/>
    <w:pPr>
      <w:ind w:left="720"/>
      <w:outlineLvl w:val="8"/>
    </w:pPr>
    <w:rPr>
      <w:i/>
    </w:rPr>
  </w:style>
  <w:style w:type="character" w:default="1" w:styleId="DefaultParagraphFont">
    <w:name w:val="Default Paragraph Font"/>
    <w:uiPriority w:val="1"/>
    <w:unhideWhenUsed/>
    <w:rsid w:val="002A0E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0E2C"/>
  </w:style>
  <w:style w:type="character" w:customStyle="1" w:styleId="Heading1Char">
    <w:name w:val="Heading 1 Char"/>
    <w:basedOn w:val="DefaultParagraphFont"/>
    <w:link w:val="Heading1"/>
    <w:rsid w:val="002A0E2C"/>
    <w:rPr>
      <w:rFonts w:ascii="Times New Roman" w:eastAsia="Times New Roman" w:hAnsi="Times New Roman" w:cs="Times New Roman"/>
      <w:b/>
      <w:sz w:val="32"/>
      <w:szCs w:val="20"/>
      <w:lang w:eastAsia="en-US"/>
    </w:rPr>
  </w:style>
  <w:style w:type="paragraph" w:styleId="BodyText">
    <w:name w:val="Body Text"/>
    <w:basedOn w:val="Normal"/>
    <w:link w:val="BodyTextChar"/>
    <w:rsid w:val="002A0E2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A0E2C"/>
    <w:rPr>
      <w:rFonts w:ascii="Times New Roman" w:eastAsia="Times New Roman" w:hAnsi="Times New Roman" w:cs="Times New Roman"/>
      <w:sz w:val="24"/>
      <w:lang w:eastAsia="en-US"/>
    </w:rPr>
  </w:style>
  <w:style w:type="paragraph" w:styleId="ListBullet">
    <w:name w:val="List Bullet"/>
    <w:basedOn w:val="List"/>
    <w:rsid w:val="002A0E2C"/>
    <w:pPr>
      <w:numPr>
        <w:numId w:val="11"/>
      </w:numPr>
      <w:tabs>
        <w:tab w:val="clear" w:pos="340"/>
      </w:tabs>
      <w:spacing w:before="40" w:after="40"/>
    </w:pPr>
  </w:style>
  <w:style w:type="character" w:customStyle="1" w:styleId="SpecialBold">
    <w:name w:val="Special Bold"/>
    <w:basedOn w:val="DefaultParagraphFont"/>
    <w:rsid w:val="002A0E2C"/>
    <w:rPr>
      <w:b/>
      <w:spacing w:val="0"/>
    </w:rPr>
  </w:style>
  <w:style w:type="paragraph" w:customStyle="1" w:styleId="SuperHeading">
    <w:name w:val="SuperHeading"/>
    <w:basedOn w:val="Normal"/>
    <w:rsid w:val="002A0E2C"/>
    <w:pPr>
      <w:spacing w:before="240" w:after="120"/>
      <w:outlineLvl w:val="0"/>
    </w:pPr>
    <w:rPr>
      <w:rFonts w:ascii="Times New Roman" w:hAnsi="Times New Roman"/>
      <w:b/>
      <w:sz w:val="32"/>
    </w:rPr>
  </w:style>
  <w:style w:type="paragraph" w:customStyle="1" w:styleId="AllowPageBreak">
    <w:name w:val="AllowPageBreak"/>
    <w:rsid w:val="002A0E2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A0E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0E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0E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0E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0E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0E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0E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0E2C"/>
    <w:rPr>
      <w:rFonts w:ascii="Courier New" w:eastAsia="Times New Roman" w:hAnsi="Courier New" w:cs="Times New Roman"/>
      <w:i/>
      <w:szCs w:val="20"/>
      <w:lang w:eastAsia="en-US"/>
    </w:rPr>
  </w:style>
  <w:style w:type="paragraph" w:customStyle="1" w:styleId="HeadingBase">
    <w:name w:val="Heading Base"/>
    <w:rsid w:val="002A0E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0E2C"/>
    <w:pPr>
      <w:tabs>
        <w:tab w:val="right" w:leader="dot" w:pos="9072"/>
      </w:tabs>
      <w:ind w:left="567"/>
    </w:pPr>
    <w:rPr>
      <w:szCs w:val="22"/>
    </w:rPr>
  </w:style>
  <w:style w:type="paragraph" w:customStyle="1" w:styleId="TOCBase">
    <w:name w:val="TOC Base"/>
    <w:rsid w:val="002A0E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0E2C"/>
    <w:pPr>
      <w:tabs>
        <w:tab w:val="right" w:leader="dot" w:pos="9072"/>
      </w:tabs>
      <w:spacing w:before="40" w:after="40"/>
      <w:ind w:left="284"/>
    </w:pPr>
    <w:rPr>
      <w:rFonts w:ascii="Times New Roman" w:hAnsi="Times New Roman"/>
    </w:rPr>
  </w:style>
  <w:style w:type="paragraph" w:styleId="TOC1">
    <w:name w:val="toc 1"/>
    <w:basedOn w:val="TOCBase"/>
    <w:next w:val="Normal"/>
    <w:rsid w:val="002A0E2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A0E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0E2C"/>
    <w:rPr>
      <w:rFonts w:ascii="Times New Roman" w:eastAsia="Times New Roman" w:hAnsi="Times New Roman" w:cs="Times New Roman"/>
      <w:sz w:val="16"/>
      <w:lang w:eastAsia="en-US"/>
    </w:rPr>
  </w:style>
  <w:style w:type="paragraph" w:styleId="Title">
    <w:name w:val="Title"/>
    <w:basedOn w:val="HeadingBase"/>
    <w:link w:val="TitleChar"/>
    <w:qFormat/>
    <w:rsid w:val="002A0E2C"/>
    <w:pPr>
      <w:spacing w:before="5040"/>
      <w:jc w:val="center"/>
    </w:pPr>
    <w:rPr>
      <w:sz w:val="48"/>
      <w:szCs w:val="72"/>
      <w:lang w:val="en-US"/>
    </w:rPr>
  </w:style>
  <w:style w:type="character" w:customStyle="1" w:styleId="TitleChar">
    <w:name w:val="Title Char"/>
    <w:basedOn w:val="DefaultParagraphFont"/>
    <w:link w:val="Title"/>
    <w:rsid w:val="002A0E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0E2C"/>
    <w:pPr>
      <w:tabs>
        <w:tab w:val="left" w:pos="3600"/>
        <w:tab w:val="left" w:pos="3958"/>
      </w:tabs>
    </w:pPr>
  </w:style>
  <w:style w:type="paragraph" w:styleId="List">
    <w:name w:val="List"/>
    <w:basedOn w:val="BodyText"/>
    <w:next w:val="BodyText"/>
    <w:rsid w:val="002A0E2C"/>
    <w:pPr>
      <w:tabs>
        <w:tab w:val="left" w:pos="340"/>
      </w:tabs>
      <w:spacing w:before="60" w:after="60"/>
      <w:ind w:left="340" w:hanging="340"/>
    </w:pPr>
  </w:style>
  <w:style w:type="paragraph" w:customStyle="1" w:styleId="Note">
    <w:name w:val="Note"/>
    <w:basedOn w:val="BodyText"/>
    <w:rsid w:val="002A0E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0E2C"/>
    <w:pPr>
      <w:framePr w:wrap="auto" w:hAnchor="text" w:y="6049"/>
    </w:pPr>
    <w:rPr>
      <w:color w:val="000000"/>
      <w:sz w:val="40"/>
    </w:rPr>
  </w:style>
  <w:style w:type="paragraph" w:customStyle="1" w:styleId="TOCTitle">
    <w:name w:val="TOCTitle"/>
    <w:basedOn w:val="Heading1"/>
    <w:rsid w:val="002A0E2C"/>
    <w:pPr>
      <w:spacing w:after="240"/>
      <w:jc w:val="center"/>
      <w:outlineLvl w:val="9"/>
    </w:pPr>
    <w:rPr>
      <w:caps/>
    </w:rPr>
  </w:style>
  <w:style w:type="paragraph" w:customStyle="1" w:styleId="Version">
    <w:name w:val="Version"/>
    <w:rsid w:val="002A0E2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A0E2C"/>
    <w:pPr>
      <w:numPr>
        <w:numId w:val="12"/>
      </w:numPr>
      <w:tabs>
        <w:tab w:val="clear" w:pos="680"/>
      </w:tabs>
    </w:pPr>
  </w:style>
  <w:style w:type="paragraph" w:styleId="Index1">
    <w:name w:val="index 1"/>
    <w:basedOn w:val="Normal"/>
    <w:next w:val="Normal"/>
    <w:semiHidden/>
    <w:rsid w:val="002A0E2C"/>
    <w:pPr>
      <w:keepNext w:val="0"/>
      <w:tabs>
        <w:tab w:val="right" w:pos="4176"/>
      </w:tabs>
      <w:ind w:left="198" w:hanging="198"/>
    </w:pPr>
    <w:rPr>
      <w:rFonts w:ascii="Garamond" w:hAnsi="Garamond"/>
    </w:rPr>
  </w:style>
  <w:style w:type="paragraph" w:styleId="IndexHeading">
    <w:name w:val="index heading"/>
    <w:basedOn w:val="Normal"/>
    <w:next w:val="Index1"/>
    <w:semiHidden/>
    <w:rsid w:val="002A0E2C"/>
    <w:pPr>
      <w:spacing w:before="120" w:after="120"/>
    </w:pPr>
    <w:rPr>
      <w:rFonts w:ascii="Arial" w:hAnsi="Arial"/>
      <w:b/>
      <w:color w:val="918585"/>
      <w:sz w:val="24"/>
    </w:rPr>
  </w:style>
  <w:style w:type="paragraph" w:styleId="Header">
    <w:name w:val="header"/>
    <w:basedOn w:val="Normal"/>
    <w:link w:val="HeaderChar"/>
    <w:rsid w:val="002A0E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0E2C"/>
    <w:rPr>
      <w:rFonts w:ascii="Times New Roman" w:eastAsia="Times New Roman" w:hAnsi="Times New Roman" w:cs="Times New Roman"/>
      <w:sz w:val="16"/>
      <w:szCs w:val="20"/>
      <w:lang w:val="en-GB" w:eastAsia="en-US"/>
    </w:rPr>
  </w:style>
  <w:style w:type="paragraph" w:customStyle="1" w:styleId="Chapter">
    <w:name w:val="Chapter"/>
    <w:basedOn w:val="Normal"/>
    <w:rsid w:val="002A0E2C"/>
    <w:pPr>
      <w:spacing w:before="240"/>
    </w:pPr>
    <w:rPr>
      <w:rFonts w:ascii="Times New Roman" w:hAnsi="Times New Roman"/>
      <w:smallCaps/>
      <w:spacing w:val="80"/>
      <w:sz w:val="28"/>
    </w:rPr>
  </w:style>
  <w:style w:type="paragraph" w:customStyle="1" w:styleId="InChapter">
    <w:name w:val="InChapter"/>
    <w:basedOn w:val="Heading3"/>
    <w:rsid w:val="002A0E2C"/>
    <w:pPr>
      <w:spacing w:after="240"/>
      <w:outlineLvl w:val="9"/>
    </w:pPr>
    <w:rPr>
      <w:noProof/>
    </w:rPr>
  </w:style>
  <w:style w:type="paragraph" w:styleId="Index2">
    <w:name w:val="index 2"/>
    <w:basedOn w:val="Normal"/>
    <w:next w:val="Normal"/>
    <w:semiHidden/>
    <w:rsid w:val="002A0E2C"/>
    <w:pPr>
      <w:tabs>
        <w:tab w:val="right" w:pos="4176"/>
      </w:tabs>
      <w:ind w:left="568" w:hanging="284"/>
    </w:pPr>
    <w:rPr>
      <w:rFonts w:ascii="Garamond" w:hAnsi="Garamond"/>
    </w:rPr>
  </w:style>
  <w:style w:type="paragraph" w:customStyle="1" w:styleId="Byline">
    <w:name w:val="Byline"/>
    <w:rsid w:val="002A0E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0E2C"/>
    <w:pPr>
      <w:tabs>
        <w:tab w:val="clear" w:pos="3600"/>
        <w:tab w:val="clear" w:pos="3958"/>
      </w:tabs>
      <w:jc w:val="right"/>
    </w:pPr>
  </w:style>
  <w:style w:type="character" w:styleId="Emphasis">
    <w:name w:val="Emphasis"/>
    <w:basedOn w:val="DefaultParagraphFont"/>
    <w:qFormat/>
    <w:rsid w:val="002A0E2C"/>
    <w:rPr>
      <w:i/>
    </w:rPr>
  </w:style>
  <w:style w:type="paragraph" w:styleId="Caption">
    <w:name w:val="caption"/>
    <w:basedOn w:val="BodyText"/>
    <w:next w:val="Normal"/>
    <w:qFormat/>
    <w:rsid w:val="002A0E2C"/>
    <w:pPr>
      <w:framePr w:w="2268" w:hSpace="181" w:vSpace="181" w:wrap="around" w:vAnchor="text" w:hAnchor="page" w:x="1135" w:y="285" w:anchorLock="1"/>
    </w:pPr>
    <w:rPr>
      <w:i/>
    </w:rPr>
  </w:style>
  <w:style w:type="paragraph" w:customStyle="1" w:styleId="MiniTOCTitle">
    <w:name w:val="MiniTOCTitle"/>
    <w:basedOn w:val="Heading4"/>
    <w:rsid w:val="002A0E2C"/>
    <w:pPr>
      <w:spacing w:before="240"/>
      <w:outlineLvl w:val="9"/>
    </w:pPr>
    <w:rPr>
      <w:noProof/>
      <w:sz w:val="24"/>
    </w:rPr>
  </w:style>
  <w:style w:type="paragraph" w:customStyle="1" w:styleId="MiniTOCItem">
    <w:name w:val="MiniTOCItem"/>
    <w:basedOn w:val="ListBullet"/>
    <w:rsid w:val="002A0E2C"/>
    <w:pPr>
      <w:numPr>
        <w:numId w:val="0"/>
      </w:numPr>
      <w:tabs>
        <w:tab w:val="right" w:leader="dot" w:pos="6521"/>
      </w:tabs>
      <w:spacing w:before="0" w:after="0"/>
    </w:pPr>
  </w:style>
  <w:style w:type="paragraph" w:customStyle="1" w:styleId="TOFTitle">
    <w:name w:val="TOFTitle"/>
    <w:basedOn w:val="TOCTitle"/>
    <w:rsid w:val="002A0E2C"/>
  </w:style>
  <w:style w:type="paragraph" w:styleId="TableofFigures">
    <w:name w:val="table of figures"/>
    <w:basedOn w:val="Normal"/>
    <w:next w:val="Normal"/>
    <w:semiHidden/>
    <w:rsid w:val="002A0E2C"/>
    <w:pPr>
      <w:tabs>
        <w:tab w:val="right" w:leader="dot" w:pos="9072"/>
      </w:tabs>
      <w:ind w:left="970" w:hanging="403"/>
    </w:pPr>
    <w:rPr>
      <w:rFonts w:ascii="Times New Roman" w:hAnsi="Times New Roman"/>
      <w:b/>
    </w:rPr>
  </w:style>
  <w:style w:type="paragraph" w:styleId="ListNumber">
    <w:name w:val="List Number"/>
    <w:basedOn w:val="List"/>
    <w:rsid w:val="002A0E2C"/>
    <w:pPr>
      <w:numPr>
        <w:numId w:val="14"/>
      </w:numPr>
      <w:tabs>
        <w:tab w:val="clear" w:pos="340"/>
      </w:tabs>
    </w:pPr>
  </w:style>
  <w:style w:type="character" w:customStyle="1" w:styleId="WingdingSymbols">
    <w:name w:val="Wingding Symbols"/>
    <w:rsid w:val="002A0E2C"/>
    <w:rPr>
      <w:rFonts w:ascii="Wingdings" w:hAnsi="Wingdings"/>
    </w:rPr>
  </w:style>
  <w:style w:type="paragraph" w:customStyle="1" w:styleId="TableHeading">
    <w:name w:val="Table Heading"/>
    <w:basedOn w:val="HeadingBase"/>
    <w:rsid w:val="002A0E2C"/>
    <w:pPr>
      <w:keepLines/>
      <w:pBdr>
        <w:bottom w:val="single" w:sz="6" w:space="1" w:color="918585"/>
      </w:pBdr>
      <w:spacing w:before="240"/>
    </w:pPr>
  </w:style>
  <w:style w:type="character" w:customStyle="1" w:styleId="HotSpot">
    <w:name w:val="HotSpot"/>
    <w:rsid w:val="002A0E2C"/>
    <w:rPr>
      <w:color w:val="0033CC"/>
      <w:u w:val="none"/>
    </w:rPr>
  </w:style>
  <w:style w:type="paragraph" w:customStyle="1" w:styleId="BodyTextRight">
    <w:name w:val="Body Text Right"/>
    <w:basedOn w:val="BodyText"/>
    <w:rsid w:val="002A0E2C"/>
    <w:pPr>
      <w:spacing w:before="0" w:after="0"/>
      <w:jc w:val="right"/>
    </w:pPr>
  </w:style>
  <w:style w:type="paragraph" w:styleId="Index3">
    <w:name w:val="index 3"/>
    <w:basedOn w:val="ListNumber2"/>
    <w:next w:val="Normal"/>
    <w:semiHidden/>
    <w:rsid w:val="002A0E2C"/>
    <w:pPr>
      <w:numPr>
        <w:numId w:val="0"/>
      </w:numPr>
      <w:tabs>
        <w:tab w:val="right" w:leader="dot" w:pos="4176"/>
      </w:tabs>
    </w:pPr>
  </w:style>
  <w:style w:type="paragraph" w:styleId="ListNumber2">
    <w:name w:val="List Number 2"/>
    <w:basedOn w:val="List2"/>
    <w:rsid w:val="002A0E2C"/>
    <w:pPr>
      <w:numPr>
        <w:numId w:val="9"/>
      </w:numPr>
      <w:tabs>
        <w:tab w:val="clear" w:pos="1060"/>
      </w:tabs>
    </w:pPr>
  </w:style>
  <w:style w:type="paragraph" w:customStyle="1" w:styleId="MarginNote">
    <w:name w:val="Margin Note"/>
    <w:basedOn w:val="BodyText"/>
    <w:rsid w:val="002A0E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0E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0E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0E2C"/>
    <w:rPr>
      <w:sz w:val="32"/>
    </w:rPr>
  </w:style>
  <w:style w:type="paragraph" w:customStyle="1" w:styleId="HeadingProcedure">
    <w:name w:val="Heading Procedure"/>
    <w:basedOn w:val="HeadingBase"/>
    <w:next w:val="Normal"/>
    <w:rsid w:val="002A0E2C"/>
    <w:pPr>
      <w:tabs>
        <w:tab w:val="left" w:pos="0"/>
      </w:tabs>
      <w:spacing w:before="120" w:after="60"/>
    </w:pPr>
    <w:rPr>
      <w:i/>
      <w:color w:val="918585"/>
      <w:sz w:val="22"/>
    </w:rPr>
  </w:style>
  <w:style w:type="paragraph" w:customStyle="1" w:styleId="TableBodyText">
    <w:name w:val="Table Body Text"/>
    <w:basedOn w:val="BodyText"/>
    <w:rsid w:val="002A0E2C"/>
    <w:pPr>
      <w:spacing w:before="60" w:after="60"/>
    </w:pPr>
  </w:style>
  <w:style w:type="paragraph" w:styleId="ListContinue">
    <w:name w:val="List Continue"/>
    <w:basedOn w:val="List"/>
    <w:rsid w:val="002A0E2C"/>
    <w:pPr>
      <w:ind w:firstLine="0"/>
    </w:pPr>
  </w:style>
  <w:style w:type="paragraph" w:customStyle="1" w:styleId="ListNote">
    <w:name w:val="List Note"/>
    <w:basedOn w:val="List"/>
    <w:rsid w:val="002A0E2C"/>
    <w:pPr>
      <w:pBdr>
        <w:top w:val="single" w:sz="6" w:space="2" w:color="918585"/>
        <w:bottom w:val="single" w:sz="6" w:space="2" w:color="918585"/>
      </w:pBdr>
      <w:tabs>
        <w:tab w:val="left" w:pos="1021"/>
      </w:tabs>
      <w:ind w:firstLine="0"/>
    </w:pPr>
  </w:style>
  <w:style w:type="paragraph" w:customStyle="1" w:styleId="Warning">
    <w:name w:val="Warning"/>
    <w:basedOn w:val="BodyText"/>
    <w:rsid w:val="002A0E2C"/>
    <w:pPr>
      <w:shd w:val="clear" w:color="auto" w:fill="D9D9D9"/>
      <w:tabs>
        <w:tab w:val="left" w:pos="992"/>
      </w:tabs>
      <w:ind w:left="119" w:right="119"/>
    </w:pPr>
    <w:rPr>
      <w:sz w:val="20"/>
    </w:rPr>
  </w:style>
  <w:style w:type="paragraph" w:customStyle="1" w:styleId="MarginIcons">
    <w:name w:val="Margin Icons"/>
    <w:basedOn w:val="BodyText"/>
    <w:rsid w:val="002A0E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0E2C"/>
    <w:rPr>
      <w:rFonts w:ascii="Courier New" w:hAnsi="Courier New"/>
    </w:rPr>
  </w:style>
  <w:style w:type="paragraph" w:customStyle="1" w:styleId="NoteBullet">
    <w:name w:val="Note Bullet"/>
    <w:basedOn w:val="Note"/>
    <w:rsid w:val="002A0E2C"/>
    <w:pPr>
      <w:tabs>
        <w:tab w:val="clear" w:pos="680"/>
      </w:tabs>
      <w:spacing w:before="60" w:after="60"/>
    </w:pPr>
  </w:style>
  <w:style w:type="paragraph" w:customStyle="1" w:styleId="SubHeading2">
    <w:name w:val="SubHeading2"/>
    <w:basedOn w:val="HeadingBase"/>
    <w:rsid w:val="002A0E2C"/>
    <w:pPr>
      <w:spacing w:before="240" w:after="60"/>
    </w:pPr>
    <w:rPr>
      <w:sz w:val="20"/>
    </w:rPr>
  </w:style>
  <w:style w:type="paragraph" w:customStyle="1" w:styleId="SubHeading1">
    <w:name w:val="SubHeading1"/>
    <w:basedOn w:val="HeadingBase"/>
    <w:rsid w:val="002A0E2C"/>
    <w:pPr>
      <w:spacing w:before="240" w:after="60"/>
    </w:pPr>
    <w:rPr>
      <w:color w:val="918585"/>
      <w:sz w:val="22"/>
    </w:rPr>
  </w:style>
  <w:style w:type="paragraph" w:customStyle="1" w:styleId="SideHeading">
    <w:name w:val="Side Heading"/>
    <w:basedOn w:val="HeadingBase"/>
    <w:rsid w:val="002A0E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0E2C"/>
    <w:pPr>
      <w:numPr>
        <w:numId w:val="10"/>
      </w:numPr>
    </w:pPr>
  </w:style>
  <w:style w:type="paragraph" w:styleId="PlainText">
    <w:name w:val="Plain Text"/>
    <w:basedOn w:val="Normal"/>
    <w:link w:val="PlainTextChar"/>
    <w:rsid w:val="002A0E2C"/>
    <w:rPr>
      <w:sz w:val="20"/>
    </w:rPr>
  </w:style>
  <w:style w:type="character" w:customStyle="1" w:styleId="PlainTextChar">
    <w:name w:val="Plain Text Char"/>
    <w:basedOn w:val="DefaultParagraphFont"/>
    <w:link w:val="PlainText"/>
    <w:rsid w:val="002A0E2C"/>
    <w:rPr>
      <w:rFonts w:ascii="Courier New" w:eastAsia="Times New Roman" w:hAnsi="Courier New" w:cs="Times New Roman"/>
      <w:sz w:val="20"/>
      <w:szCs w:val="20"/>
      <w:lang w:eastAsia="en-US"/>
    </w:rPr>
  </w:style>
  <w:style w:type="character" w:customStyle="1" w:styleId="MenuOption">
    <w:name w:val="Menu Option"/>
    <w:basedOn w:val="DefaultParagraphFont"/>
    <w:rsid w:val="002A0E2C"/>
    <w:rPr>
      <w:b/>
      <w:smallCaps/>
    </w:rPr>
  </w:style>
  <w:style w:type="paragraph" w:customStyle="1" w:styleId="TableListNumber">
    <w:name w:val="Table List Number"/>
    <w:basedOn w:val="ListNumber"/>
    <w:rsid w:val="002A0E2C"/>
    <w:pPr>
      <w:numPr>
        <w:numId w:val="0"/>
      </w:numPr>
    </w:pPr>
  </w:style>
  <w:style w:type="paragraph" w:styleId="TOC4">
    <w:name w:val="toc 4"/>
    <w:basedOn w:val="TOCBase"/>
    <w:next w:val="Normal"/>
    <w:semiHidden/>
    <w:rsid w:val="002A0E2C"/>
    <w:pPr>
      <w:tabs>
        <w:tab w:val="right" w:leader="dot" w:pos="9071"/>
      </w:tabs>
      <w:ind w:left="1701"/>
    </w:pPr>
  </w:style>
  <w:style w:type="paragraph" w:customStyle="1" w:styleId="ListAlpha">
    <w:name w:val="List Alpha"/>
    <w:basedOn w:val="List"/>
    <w:rsid w:val="002A0E2C"/>
    <w:pPr>
      <w:numPr>
        <w:numId w:val="8"/>
      </w:numPr>
    </w:pPr>
  </w:style>
  <w:style w:type="paragraph" w:customStyle="1" w:styleId="ListAlpha2">
    <w:name w:val="List Alpha 2"/>
    <w:basedOn w:val="List2"/>
    <w:rsid w:val="002A0E2C"/>
    <w:pPr>
      <w:numPr>
        <w:numId w:val="7"/>
      </w:numPr>
    </w:pPr>
  </w:style>
  <w:style w:type="paragraph" w:styleId="List2">
    <w:name w:val="List 2"/>
    <w:basedOn w:val="BodyText"/>
    <w:rsid w:val="002A0E2C"/>
    <w:pPr>
      <w:tabs>
        <w:tab w:val="left" w:pos="680"/>
      </w:tabs>
      <w:spacing w:before="60" w:after="60"/>
      <w:ind w:left="680" w:hanging="340"/>
    </w:pPr>
  </w:style>
  <w:style w:type="paragraph" w:styleId="List3">
    <w:name w:val="List 3"/>
    <w:basedOn w:val="BodyText"/>
    <w:rsid w:val="002A0E2C"/>
    <w:pPr>
      <w:tabs>
        <w:tab w:val="left" w:pos="1021"/>
      </w:tabs>
      <w:spacing w:before="60" w:after="60"/>
      <w:ind w:left="1020" w:hanging="340"/>
    </w:pPr>
  </w:style>
  <w:style w:type="paragraph" w:styleId="List4">
    <w:name w:val="List 4"/>
    <w:basedOn w:val="BodyText"/>
    <w:rsid w:val="002A0E2C"/>
    <w:pPr>
      <w:tabs>
        <w:tab w:val="left" w:pos="1361"/>
      </w:tabs>
      <w:spacing w:before="60" w:after="60"/>
      <w:ind w:left="1361" w:hanging="340"/>
    </w:pPr>
  </w:style>
  <w:style w:type="paragraph" w:styleId="List5">
    <w:name w:val="List 5"/>
    <w:basedOn w:val="BodyText"/>
    <w:rsid w:val="002A0E2C"/>
    <w:pPr>
      <w:tabs>
        <w:tab w:val="left" w:pos="1701"/>
      </w:tabs>
      <w:spacing w:before="60" w:after="60"/>
      <w:ind w:left="1701" w:hanging="340"/>
    </w:pPr>
  </w:style>
  <w:style w:type="paragraph" w:styleId="ListBullet3">
    <w:name w:val="List Bullet 3"/>
    <w:basedOn w:val="List3"/>
    <w:rsid w:val="002A0E2C"/>
    <w:pPr>
      <w:numPr>
        <w:numId w:val="13"/>
      </w:numPr>
      <w:tabs>
        <w:tab w:val="clear" w:pos="1021"/>
      </w:tabs>
      <w:ind w:left="1037" w:hanging="357"/>
    </w:pPr>
  </w:style>
  <w:style w:type="paragraph" w:styleId="ListBullet4">
    <w:name w:val="List Bullet 4"/>
    <w:basedOn w:val="List4"/>
    <w:rsid w:val="002A0E2C"/>
    <w:pPr>
      <w:numPr>
        <w:numId w:val="2"/>
      </w:numPr>
      <w:tabs>
        <w:tab w:val="clear" w:pos="1361"/>
      </w:tabs>
    </w:pPr>
  </w:style>
  <w:style w:type="paragraph" w:styleId="ListBullet5">
    <w:name w:val="List Bullet 5"/>
    <w:basedOn w:val="List5"/>
    <w:rsid w:val="002A0E2C"/>
    <w:pPr>
      <w:numPr>
        <w:numId w:val="3"/>
      </w:numPr>
    </w:pPr>
  </w:style>
  <w:style w:type="paragraph" w:styleId="ListContinue2">
    <w:name w:val="List Continue 2"/>
    <w:basedOn w:val="List2"/>
    <w:rsid w:val="002A0E2C"/>
    <w:pPr>
      <w:ind w:firstLine="0"/>
    </w:pPr>
  </w:style>
  <w:style w:type="paragraph" w:styleId="ListContinue3">
    <w:name w:val="List Continue 3"/>
    <w:basedOn w:val="List3"/>
    <w:rsid w:val="002A0E2C"/>
    <w:pPr>
      <w:ind w:left="1021" w:firstLine="0"/>
    </w:pPr>
  </w:style>
  <w:style w:type="paragraph" w:styleId="ListContinue4">
    <w:name w:val="List Continue 4"/>
    <w:basedOn w:val="List4"/>
    <w:rsid w:val="002A0E2C"/>
    <w:pPr>
      <w:ind w:firstLine="0"/>
    </w:pPr>
  </w:style>
  <w:style w:type="paragraph" w:styleId="ListContinue5">
    <w:name w:val="List Continue 5"/>
    <w:basedOn w:val="List5"/>
    <w:rsid w:val="002A0E2C"/>
    <w:pPr>
      <w:ind w:firstLine="0"/>
    </w:pPr>
  </w:style>
  <w:style w:type="paragraph" w:styleId="ListNumber3">
    <w:name w:val="List Number 3"/>
    <w:basedOn w:val="List3"/>
    <w:rsid w:val="002A0E2C"/>
    <w:pPr>
      <w:numPr>
        <w:numId w:val="4"/>
      </w:numPr>
    </w:pPr>
  </w:style>
  <w:style w:type="paragraph" w:styleId="ListNumber4">
    <w:name w:val="List Number 4"/>
    <w:basedOn w:val="List4"/>
    <w:rsid w:val="002A0E2C"/>
    <w:pPr>
      <w:numPr>
        <w:numId w:val="5"/>
      </w:numPr>
    </w:pPr>
  </w:style>
  <w:style w:type="paragraph" w:styleId="ListNumber5">
    <w:name w:val="List Number 5"/>
    <w:basedOn w:val="List5"/>
    <w:rsid w:val="002A0E2C"/>
    <w:pPr>
      <w:numPr>
        <w:numId w:val="6"/>
      </w:numPr>
    </w:pPr>
  </w:style>
  <w:style w:type="paragraph" w:styleId="BlockText">
    <w:name w:val="Block Text"/>
    <w:basedOn w:val="Normal"/>
    <w:rsid w:val="002A0E2C"/>
    <w:pPr>
      <w:spacing w:after="120"/>
      <w:ind w:left="1440" w:right="1440"/>
    </w:pPr>
  </w:style>
  <w:style w:type="character" w:customStyle="1" w:styleId="Subscript">
    <w:name w:val="Subscript"/>
    <w:basedOn w:val="DefaultParagraphFont"/>
    <w:rsid w:val="002A0E2C"/>
    <w:rPr>
      <w:sz w:val="16"/>
      <w:vertAlign w:val="subscript"/>
    </w:rPr>
  </w:style>
  <w:style w:type="character" w:customStyle="1" w:styleId="Superscript">
    <w:name w:val="Superscript"/>
    <w:basedOn w:val="DefaultParagraphFont"/>
    <w:rsid w:val="002A0E2C"/>
    <w:rPr>
      <w:sz w:val="16"/>
      <w:vertAlign w:val="superscript"/>
    </w:rPr>
  </w:style>
  <w:style w:type="character" w:customStyle="1" w:styleId="Symbols">
    <w:name w:val="Symbols"/>
    <w:basedOn w:val="DefaultParagraphFont"/>
    <w:rsid w:val="002A0E2C"/>
    <w:rPr>
      <w:rFonts w:ascii="Symbol" w:hAnsi="Symbol"/>
    </w:rPr>
  </w:style>
  <w:style w:type="character" w:customStyle="1" w:styleId="MenuOptions">
    <w:name w:val="Menu Options"/>
    <w:basedOn w:val="DefaultParagraphFont"/>
    <w:rsid w:val="002A0E2C"/>
    <w:rPr>
      <w:rFonts w:ascii="Arial Narrow" w:hAnsi="Arial Narrow"/>
      <w:smallCaps/>
    </w:rPr>
  </w:style>
  <w:style w:type="character" w:customStyle="1" w:styleId="Buttons">
    <w:name w:val="Buttons"/>
    <w:basedOn w:val="DefaultParagraphFont"/>
    <w:rsid w:val="002A0E2C"/>
    <w:rPr>
      <w:b/>
    </w:rPr>
  </w:style>
  <w:style w:type="character" w:customStyle="1" w:styleId="Underlined">
    <w:name w:val="Underlined"/>
    <w:basedOn w:val="DefaultParagraphFont"/>
    <w:rsid w:val="002A0E2C"/>
    <w:rPr>
      <w:u w:val="single"/>
    </w:rPr>
  </w:style>
  <w:style w:type="paragraph" w:customStyle="1" w:styleId="TableBodyTextRight">
    <w:name w:val="Table Body Text Right"/>
    <w:basedOn w:val="TableBodyText"/>
    <w:rsid w:val="002A0E2C"/>
    <w:pPr>
      <w:widowControl w:val="0"/>
      <w:autoSpaceDE w:val="0"/>
      <w:autoSpaceDN w:val="0"/>
      <w:adjustRightInd w:val="0"/>
      <w:jc w:val="right"/>
    </w:pPr>
    <w:rPr>
      <w:rFonts w:cs="Arial"/>
      <w:szCs w:val="18"/>
    </w:rPr>
  </w:style>
  <w:style w:type="paragraph" w:customStyle="1" w:styleId="CopyrightText">
    <w:name w:val="Copyright Text"/>
    <w:basedOn w:val="BodyText"/>
    <w:rsid w:val="002A0E2C"/>
    <w:rPr>
      <w:sz w:val="18"/>
    </w:rPr>
  </w:style>
  <w:style w:type="paragraph" w:customStyle="1" w:styleId="BodySmallRight">
    <w:name w:val="Body Small Right"/>
    <w:basedOn w:val="BodyTextRight"/>
    <w:rsid w:val="002A0E2C"/>
    <w:rPr>
      <w:sz w:val="18"/>
      <w:szCs w:val="18"/>
    </w:rPr>
  </w:style>
  <w:style w:type="paragraph" w:customStyle="1" w:styleId="MarginEdition">
    <w:name w:val="Margin Edition"/>
    <w:basedOn w:val="MarginNote"/>
    <w:rsid w:val="002A0E2C"/>
    <w:pPr>
      <w:spacing w:before="0" w:after="0"/>
    </w:pPr>
    <w:rPr>
      <w:rFonts w:ascii="Times New Roman" w:hAnsi="Times New Roman"/>
      <w:color w:val="999999"/>
    </w:rPr>
  </w:style>
  <w:style w:type="paragraph" w:customStyle="1" w:styleId="Spacer">
    <w:name w:val="Spacer"/>
    <w:basedOn w:val="Normal"/>
    <w:rsid w:val="002A0E2C"/>
    <w:rPr>
      <w:sz w:val="2"/>
      <w:szCs w:val="2"/>
    </w:rPr>
  </w:style>
  <w:style w:type="character" w:customStyle="1" w:styleId="Small">
    <w:name w:val="Small"/>
    <w:basedOn w:val="DefaultParagraphFont"/>
    <w:rsid w:val="002A0E2C"/>
    <w:rPr>
      <w:sz w:val="16"/>
    </w:rPr>
  </w:style>
  <w:style w:type="paragraph" w:customStyle="1" w:styleId="WideTable">
    <w:name w:val="Wide Table"/>
    <w:basedOn w:val="Normal"/>
    <w:rsid w:val="002A0E2C"/>
    <w:pPr>
      <w:ind w:left="-1418"/>
    </w:pPr>
    <w:rPr>
      <w:sz w:val="2"/>
      <w:szCs w:val="2"/>
    </w:rPr>
  </w:style>
  <w:style w:type="character" w:styleId="PageNumber">
    <w:name w:val="page number"/>
    <w:basedOn w:val="DefaultParagraphFont"/>
    <w:rsid w:val="002A0E2C"/>
  </w:style>
  <w:style w:type="paragraph" w:styleId="Quote">
    <w:name w:val="Quote"/>
    <w:basedOn w:val="Heading1"/>
    <w:link w:val="QuoteChar"/>
    <w:qFormat/>
    <w:rsid w:val="002A0E2C"/>
    <w:rPr>
      <w:b w:val="0"/>
      <w:sz w:val="72"/>
      <w:szCs w:val="72"/>
      <w:lang w:val="en-NZ"/>
    </w:rPr>
  </w:style>
  <w:style w:type="character" w:customStyle="1" w:styleId="QuoteChar">
    <w:name w:val="Quote Char"/>
    <w:basedOn w:val="DefaultParagraphFont"/>
    <w:link w:val="Quote"/>
    <w:rsid w:val="002A0E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0E2C"/>
    <w:pPr>
      <w:pageBreakBefore/>
    </w:pPr>
  </w:style>
  <w:style w:type="paragraph" w:customStyle="1" w:styleId="Border">
    <w:name w:val="Border"/>
    <w:basedOn w:val="Normal"/>
    <w:qFormat/>
    <w:rsid w:val="002A0E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0E2C"/>
    <w:rPr>
      <w:b/>
      <w:bCs/>
      <w:i/>
      <w:iCs/>
      <w:color w:val="auto"/>
    </w:rPr>
  </w:style>
  <w:style w:type="paragraph" w:styleId="IntenseQuote">
    <w:name w:val="Intense Quote"/>
    <w:basedOn w:val="Normal"/>
    <w:next w:val="Normal"/>
    <w:link w:val="IntenseQuoteChar"/>
    <w:uiPriority w:val="30"/>
    <w:qFormat/>
    <w:rsid w:val="002A0E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0E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0E2C"/>
    <w:rPr>
      <w:smallCaps/>
      <w:color w:val="auto"/>
      <w:u w:val="single"/>
    </w:rPr>
  </w:style>
  <w:style w:type="character" w:styleId="IntenseReference">
    <w:name w:val="Intense Reference"/>
    <w:basedOn w:val="DefaultParagraphFont"/>
    <w:uiPriority w:val="32"/>
    <w:qFormat/>
    <w:rsid w:val="002A0E2C"/>
    <w:rPr>
      <w:b/>
      <w:bCs/>
      <w:smallCaps/>
      <w:color w:val="auto"/>
      <w:spacing w:val="5"/>
      <w:u w:val="single"/>
    </w:rPr>
  </w:style>
  <w:style w:type="paragraph" w:customStyle="1" w:styleId="2ColumnHeading">
    <w:name w:val="2Column Heading"/>
    <w:basedOn w:val="BodyText"/>
    <w:qFormat/>
    <w:rsid w:val="002A0E2C"/>
    <w:pPr>
      <w:spacing w:after="60"/>
      <w:ind w:left="-2268"/>
    </w:pPr>
    <w:rPr>
      <w:b/>
    </w:rPr>
  </w:style>
  <w:style w:type="paragraph" w:customStyle="1" w:styleId="Heading1TOC">
    <w:name w:val="Heading1 TOC"/>
    <w:basedOn w:val="Normal"/>
    <w:qFormat/>
    <w:rsid w:val="002A0E2C"/>
    <w:pPr>
      <w:spacing w:before="240" w:after="120"/>
    </w:pPr>
    <w:rPr>
      <w:rFonts w:ascii="Times New Roman" w:hAnsi="Times New Roman"/>
      <w:b/>
      <w:sz w:val="32"/>
    </w:rPr>
  </w:style>
  <w:style w:type="paragraph" w:customStyle="1" w:styleId="Heading2TOC">
    <w:name w:val="Heading2 TOC"/>
    <w:basedOn w:val="Normal"/>
    <w:qFormat/>
    <w:rsid w:val="002A0E2C"/>
    <w:pPr>
      <w:spacing w:before="240" w:after="60"/>
    </w:pPr>
    <w:rPr>
      <w:rFonts w:ascii="Times New Roman" w:hAnsi="Times New Roman"/>
      <w:b/>
      <w:sz w:val="28"/>
    </w:rPr>
  </w:style>
  <w:style w:type="character" w:customStyle="1" w:styleId="Underline">
    <w:name w:val="Underline"/>
    <w:basedOn w:val="DefaultParagraphFont"/>
    <w:qFormat/>
    <w:rsid w:val="002A0E2C"/>
    <w:rPr>
      <w:u w:val="single"/>
    </w:rPr>
  </w:style>
  <w:style w:type="character" w:customStyle="1" w:styleId="BoldandItalics">
    <w:name w:val="Bold and Italics"/>
    <w:qFormat/>
    <w:rsid w:val="002A0E2C"/>
    <w:rPr>
      <w:b/>
      <w:i/>
      <w:u w:val="none"/>
    </w:rPr>
  </w:style>
  <w:style w:type="paragraph" w:styleId="BalloonText">
    <w:name w:val="Balloon Text"/>
    <w:basedOn w:val="Normal"/>
    <w:link w:val="BalloonTextChar"/>
    <w:rsid w:val="002A0E2C"/>
    <w:rPr>
      <w:rFonts w:ascii="Tahoma" w:hAnsi="Tahoma" w:cs="Tahoma"/>
      <w:sz w:val="16"/>
      <w:szCs w:val="16"/>
    </w:rPr>
  </w:style>
  <w:style w:type="character" w:customStyle="1" w:styleId="BalloonTextChar">
    <w:name w:val="Balloon Text Char"/>
    <w:basedOn w:val="DefaultParagraphFont"/>
    <w:link w:val="BalloonText"/>
    <w:rsid w:val="002A0E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0E2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A0E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0E2C"/>
    <w:rPr>
      <w:b/>
      <w:color w:val="660033"/>
      <w:spacing w:val="0"/>
    </w:rPr>
  </w:style>
  <w:style w:type="paragraph" w:customStyle="1" w:styleId="Nameditemlist">
    <w:name w:val="Named item list"/>
    <w:basedOn w:val="BodyText"/>
    <w:qFormat/>
    <w:rsid w:val="002A0E2C"/>
    <w:pPr>
      <w:tabs>
        <w:tab w:val="left" w:pos="2835"/>
      </w:tabs>
      <w:ind w:left="2835" w:hanging="2835"/>
    </w:pPr>
  </w:style>
  <w:style w:type="paragraph" w:customStyle="1" w:styleId="BodyTextnopadding">
    <w:name w:val="Body Text no padding"/>
    <w:basedOn w:val="BodyText"/>
    <w:qFormat/>
    <w:rsid w:val="002A0E2C"/>
    <w:pPr>
      <w:spacing w:before="0" w:after="0"/>
    </w:pPr>
  </w:style>
  <w:style w:type="paragraph" w:customStyle="1" w:styleId="BodyTextBold">
    <w:name w:val="Body Text Bold"/>
    <w:basedOn w:val="BodyText"/>
    <w:qFormat/>
    <w:rsid w:val="002A0E2C"/>
    <w:rPr>
      <w:b/>
    </w:rPr>
  </w:style>
  <w:style w:type="character" w:styleId="Hyperlink">
    <w:name w:val="Hyperlink"/>
    <w:basedOn w:val="DefaultParagraphFont"/>
    <w:uiPriority w:val="99"/>
    <w:unhideWhenUsed/>
    <w:rsid w:val="008B504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1257</Words>
  <Characters>7569</Characters>
  <Application>Microsoft Office Word</Application>
  <DocSecurity>0</DocSecurity>
  <Lines>473</Lines>
  <Paragraphs>238</Paragraphs>
  <ScaleCrop>false</ScaleCrop>
  <Company>Author-it Software Corporation Ltd.</Company>
  <LinksUpToDate>false</LinksUpToDate>
  <CharactersWithSpaces>8588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MARL015 Apply intermediate principles of marine engineering thermodynamics</dc:title>
  <dc:subject>Approved</dc:subject>
  <dc:creator>Australian Industry Standards</dc:creator>
  <cp:keywords>Release: 1</cp:keywords>
  <dc:description>Review Date: 12 April 2008</dc:description>
  <cp:lastModifiedBy>HSD_TPCMSd.prod</cp:lastModifiedBy>
  <cp:revision>3</cp:revision>
  <dcterms:created xsi:type="dcterms:W3CDTF">2020-10-27T01:04:00Z</dcterms:created>
  <dcterms:modified xsi:type="dcterms:W3CDTF">2020-10-27T01:05:00Z</dcterms:modified>
</cp:coreProperties>
</file>