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518" w:rsidP="001F1518">
      <w:pPr>
        <w:pStyle w:val="Title"/>
      </w:pPr>
      <w:r>
        <w:fldChar w:fldCharType="begin"/>
      </w:r>
      <w:r>
        <w:instrText xml:space="preserve"> TITLE   \* MERGEFORMAT </w:instrText>
      </w:r>
      <w:r>
        <w:fldChar w:fldCharType="separate"/>
      </w:r>
      <w:r>
        <w:t>MARL003 Demonstrate basic knowledge of marine auxiliary boilers</w:t>
      </w:r>
      <w:r>
        <w:fldChar w:fldCharType="end"/>
      </w:r>
    </w:p>
    <w:p w:rsidR="001F1518" w:rsidP="001F1518">
      <w:pPr>
        <w:pStyle w:val="Version"/>
        <w:sectPr w:rsidSect="00886F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FA4" w:rsidP="00886FA4">
      <w:pPr>
        <w:pStyle w:val="SuperHeading"/>
      </w:pPr>
      <w:r w:rsidRPr="00886FA4">
        <w:t>MARL003 Demon</w:t>
      </w:r>
      <w:r w:rsidRPr="00886FA4">
        <w:t>strate basic knowledge of marine auxiliary boilers</w:t>
      </w:r>
    </w:p>
    <w:p w:rsidR="00000000" w:rsidRPr="00886FA4" w:rsidP="00886FA4">
      <w:pPr>
        <w:pStyle w:val="Heading1"/>
      </w:pPr>
      <w:bookmarkStart w:id="1" w:name="O_596708"/>
      <w:bookmarkEnd w:id="1"/>
      <w:r w:rsidRPr="00886FA4">
        <w:t>Modification History</w:t>
      </w:r>
    </w:p>
    <w:p w:rsidR="00000000" w:rsidRPr="00886FA4" w:rsidP="001F1518">
      <w:pPr>
        <w:pStyle w:val="BodyText"/>
      </w:pPr>
      <w:r w:rsidRPr="00886FA4">
        <w:t>Release 1. new unit of competency.</w:t>
      </w:r>
    </w:p>
    <w:p w:rsidR="00000000" w:rsidRPr="00886FA4" w:rsidP="00886FA4">
      <w:pPr>
        <w:pStyle w:val="Heading1"/>
      </w:pPr>
      <w:bookmarkStart w:id="2" w:name="O_596709"/>
      <w:bookmarkEnd w:id="2"/>
      <w:r w:rsidRPr="00886FA4">
        <w:t>Application</w:t>
      </w:r>
    </w:p>
    <w:p w:rsidR="00000000" w:rsidRPr="00886FA4" w:rsidP="001F1518">
      <w:pPr>
        <w:pStyle w:val="BodyText"/>
      </w:pPr>
      <w:r w:rsidRPr="00886FA4">
        <w:t>This unit involves the knowledge required to operate and maintain marine auxiliary boilers on a commercial vessel.</w:t>
      </w:r>
    </w:p>
    <w:p w:rsidR="00000000" w:rsidRPr="00886FA4" w:rsidP="001F1518">
      <w:pPr>
        <w:pStyle w:val="BodyText"/>
      </w:pPr>
      <w:r w:rsidRPr="00886FA4">
        <w:t>This unit applies to people working in the maritime industry as a Marine Engineering Watchkeeper on commercial vessels greater than 750 kW o</w:t>
      </w:r>
      <w:r w:rsidRPr="00886FA4">
        <w:t>r as an Engineer Class 3 Near Coastal.</w:t>
      </w:r>
    </w:p>
    <w:p w:rsidR="00000000" w:rsidRPr="00886FA4" w:rsidP="001F1518">
      <w:pPr>
        <w:pStyle w:val="BodyText"/>
      </w:pPr>
      <w:r w:rsidRPr="00886FA4">
        <w:t>This unit has links to legislative and certification requirements.</w:t>
      </w:r>
    </w:p>
    <w:p w:rsidR="00000000" w:rsidRPr="00886FA4" w:rsidP="00886FA4">
      <w:pPr>
        <w:pStyle w:val="Heading1"/>
      </w:pPr>
      <w:bookmarkStart w:id="3" w:name="O_596710"/>
      <w:bookmarkEnd w:id="3"/>
      <w:r w:rsidRPr="00886FA4">
        <w:t>Pre-requisite Unit</w:t>
      </w:r>
    </w:p>
    <w:p w:rsidR="00000000" w:rsidRPr="00886FA4" w:rsidP="001F1518">
      <w:pPr>
        <w:pStyle w:val="BodyText"/>
      </w:pPr>
      <w:r w:rsidRPr="00886FA4">
        <w:t>Not applicable.</w:t>
      </w:r>
    </w:p>
    <w:p w:rsidR="00000000" w:rsidRPr="00886FA4" w:rsidP="00886FA4">
      <w:pPr>
        <w:pStyle w:val="Heading1"/>
      </w:pPr>
      <w:bookmarkStart w:id="4" w:name="O_596711"/>
      <w:bookmarkEnd w:id="4"/>
      <w:r w:rsidRPr="00886FA4">
        <w:t>Competency Field</w:t>
      </w:r>
    </w:p>
    <w:p w:rsidR="00000000" w:rsidRPr="00886FA4" w:rsidP="001F1518">
      <w:pPr>
        <w:pStyle w:val="BodyText"/>
      </w:pPr>
      <w:r w:rsidRPr="00886FA4">
        <w:t>L - Marine Engineering</w:t>
      </w:r>
    </w:p>
    <w:p w:rsidR="00000000" w:rsidRPr="00886FA4" w:rsidP="00886FA4">
      <w:pPr>
        <w:pStyle w:val="Heading1"/>
      </w:pPr>
      <w:bookmarkStart w:id="5" w:name="O_596712"/>
      <w:bookmarkEnd w:id="5"/>
      <w:r w:rsidRPr="00886FA4">
        <w:t>Unit Sector</w:t>
      </w:r>
    </w:p>
    <w:p w:rsidR="00000000" w:rsidRPr="00886FA4" w:rsidP="001F1518">
      <w:pPr>
        <w:pStyle w:val="BodyText"/>
      </w:pPr>
      <w:r w:rsidRPr="00886FA4">
        <w:t>Not applica</w:t>
      </w:r>
      <w:r w:rsidRPr="00886FA4">
        <w:t>ble.</w:t>
      </w:r>
    </w:p>
    <w:p w:rsidR="00000000" w:rsidRPr="00886FA4" w:rsidP="00886FA4">
      <w:pPr>
        <w:pStyle w:val="Heading1"/>
      </w:pPr>
      <w:bookmarkStart w:id="6" w:name="O_596713"/>
      <w:bookmarkEnd w:id="6"/>
      <w:r w:rsidRPr="00886FA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F151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Performance criteria describe the performance needed to demonstrate achievement of the element.</w:t>
            </w:r>
          </w:p>
        </w:tc>
      </w:tr>
      <w:tr w:rsidTr="001F151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86FA4" w:rsidP="00886FA4">
            <w:pPr>
              <w:pStyle w:val="BodyText"/>
            </w:pPr>
            <w:r w:rsidRPr="00886FA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rPr>
                <w:rStyle w:val="SpecialBold"/>
              </w:rPr>
              <w:t>Distinguish between different types of auxiliary boilers</w:t>
            </w: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1.1</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Design and use of water tube and fire tube auxiliary boilers are compared and contrasted</w:t>
            </w:r>
          </w:p>
        </w:tc>
      </w:tr>
      <w:tr w:rsidTr="001F15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1.2</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Movement of water and gas in an operating boiler is sketched</w:t>
            </w:r>
          </w:p>
        </w:tc>
      </w:tr>
      <w:tr w:rsidTr="001F15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1.3</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 xml:space="preserve">How variations to operating pressure and saturation temperature in an auxiliary boiler can be used to get wet, dry </w:t>
            </w:r>
            <w:r w:rsidRPr="00886FA4">
              <w:t>or superheated steam is explained</w:t>
            </w:r>
          </w:p>
        </w:tc>
      </w:tr>
      <w:tr w:rsidTr="001F151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86FA4" w:rsidP="00886FA4">
            <w:pPr>
              <w:pStyle w:val="BodyText"/>
            </w:pPr>
            <w:r w:rsidRPr="00886FA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rPr>
                <w:rStyle w:val="SpecialBold"/>
              </w:rPr>
              <w:t>Recognise different functions of steam and different components of steam systems</w:t>
            </w: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2.1</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Key features of ste</w:t>
            </w:r>
            <w:r w:rsidRPr="00886FA4">
              <w:t>am and other heating systems are compared and contrasted</w:t>
            </w:r>
          </w:p>
        </w:tc>
      </w:tr>
      <w:tr w:rsidTr="001F15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2.2</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Steam side requirements of an auxiliary steam turbo alternator are compared and contrasted with other steam-powered machinery</w:t>
            </w:r>
          </w:p>
        </w:tc>
      </w:tr>
      <w:tr w:rsidTr="001F15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2.3</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Typical steam and condensate system is outlined</w:t>
            </w:r>
          </w:p>
        </w:tc>
      </w:tr>
      <w:tr w:rsidTr="001F151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86FA4" w:rsidP="00886FA4">
            <w:pPr>
              <w:pStyle w:val="BodyText"/>
            </w:pPr>
            <w:r w:rsidRPr="00886FA4">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rPr>
                <w:rStyle w:val="SpecialBold"/>
              </w:rPr>
              <w:t>Explain fuel oil system of auxiliary boilers</w:t>
            </w: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3.1</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Combustion process is explained and factors that affect combustion in a boiler are outlined</w:t>
            </w:r>
          </w:p>
        </w:tc>
      </w:tr>
      <w:tr w:rsidTr="001F15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3.2</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Differentiation is made between different burner types</w:t>
            </w:r>
          </w:p>
        </w:tc>
      </w:tr>
      <w:tr w:rsidTr="001F15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3.3</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Operation of a complete fuel oil system for an auxiliary boiler including the functions of components for automatic combustion control is outlined</w:t>
            </w:r>
          </w:p>
        </w:tc>
      </w:tr>
      <w:tr w:rsidTr="001F151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86FA4" w:rsidP="00886FA4">
            <w:pPr>
              <w:pStyle w:val="BodyText"/>
            </w:pPr>
            <w:r w:rsidRPr="00886FA4">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rPr>
                <w:rStyle w:val="SpecialBold"/>
              </w:rPr>
              <w:t>Explain procedure for operating fired and unfired boilers</w:t>
            </w: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4.1</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Locations of all mountings and fittings on a</w:t>
            </w:r>
            <w:r w:rsidRPr="00886FA4">
              <w:t>uxiliary boilers are identified and their functions are outlined</w:t>
            </w:r>
          </w:p>
        </w:tc>
      </w:tr>
      <w:tr w:rsidTr="001F15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4.2</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Purpose of all alarms and shut downs incorporated in auxiliary boilers is clarified</w:t>
            </w:r>
          </w:p>
        </w:tc>
      </w:tr>
      <w:tr w:rsidTr="001F15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4.3</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Types and operation of safety valves are outlined</w:t>
            </w:r>
          </w:p>
        </w:tc>
      </w:tr>
      <w:tr w:rsidTr="001F15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4.4</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Procedure for lighting off a boiler from cold is clarified</w:t>
            </w:r>
          </w:p>
        </w:tc>
      </w:tr>
      <w:tr w:rsidTr="001F15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4.5</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Procedure for laying up for short and long periods including full blow down and shut down procedures is clarified</w:t>
            </w:r>
          </w:p>
        </w:tc>
      </w:tr>
      <w:tr w:rsidTr="001F15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4.6</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Procedure for isolating an auxiliary boiler after shut down is clarif</w:t>
            </w:r>
            <w:r w:rsidRPr="00886FA4">
              <w:t>ied</w:t>
            </w:r>
          </w:p>
        </w:tc>
      </w:tr>
      <w:tr w:rsidTr="001F151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86FA4" w:rsidP="00886FA4">
            <w:pPr>
              <w:pStyle w:val="BodyText"/>
            </w:pPr>
            <w:r w:rsidRPr="00886FA4">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rPr>
                <w:rStyle w:val="SpecialBold"/>
              </w:rPr>
              <w:t>Explain procedure for sampling and testing boiler water</w:t>
            </w: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5.1</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Effects of poor water treatment practices on safety and boiler function are identified</w:t>
            </w:r>
          </w:p>
        </w:tc>
      </w:tr>
      <w:tr w:rsidTr="001F15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5.2</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Correct procedure for taking boiler and feed water sample and possible errors that might occur are clarified</w:t>
            </w:r>
          </w:p>
        </w:tc>
      </w:tr>
      <w:tr w:rsidTr="001F15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5.3</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Common water tests carried out are outlined and typical results are stated</w:t>
            </w:r>
          </w:p>
        </w:tc>
      </w:tr>
      <w:tr w:rsidTr="001F15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5.4</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Chemicals used for treatment of boiler water are</w:t>
            </w:r>
            <w:r w:rsidRPr="00886FA4">
              <w:t xml:space="preserve"> named and acceptable range of chemical reserves found in boiler waters are confirmed</w:t>
            </w:r>
          </w:p>
        </w:tc>
      </w:tr>
      <w:tr w:rsidTr="001F151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86FA4" w:rsidP="00886FA4">
            <w:pPr>
              <w:pStyle w:val="BodyText"/>
            </w:pPr>
            <w:r w:rsidRPr="00886FA4">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rPr>
                <w:rStyle w:val="SpecialBold"/>
              </w:rPr>
              <w:t xml:space="preserve">Explain procedure </w:t>
            </w:r>
            <w:r w:rsidRPr="00886FA4">
              <w:rPr>
                <w:rStyle w:val="SpecialBold"/>
              </w:rPr>
              <w:t>for maintaining water level in the boiler</w:t>
            </w: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6.1</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Method of testing and changing a gauge glass is outlined</w:t>
            </w:r>
          </w:p>
        </w:tc>
      </w:tr>
      <w:tr w:rsidTr="001F15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6.2</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Effects of blockages in water, steam an</w:t>
            </w:r>
            <w:r w:rsidRPr="00886FA4">
              <w:t>d drain cocks on levels in gauge glass are outlined</w:t>
            </w:r>
          </w:p>
        </w:tc>
      </w:tr>
      <w:tr w:rsidTr="001F15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6.3</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Procedure for when a gauge glass apparently shows no water is clarified</w:t>
            </w:r>
          </w:p>
        </w:tc>
      </w:tr>
      <w:tr w:rsidTr="001F151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86FA4" w:rsidP="00886FA4">
            <w:pPr>
              <w:pStyle w:val="BodyText"/>
            </w:pPr>
            <w:r w:rsidRPr="00886FA4">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rPr>
                <w:rStyle w:val="SpecialBold"/>
              </w:rPr>
              <w:t>Explain common hazards and defects and relevant prevention/ control procedures</w:t>
            </w: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7.1</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Hazards and defects associated with auxiliary boilers are identified</w:t>
            </w:r>
          </w:p>
        </w:tc>
      </w:tr>
      <w:tr w:rsidTr="001F15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7.2</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How water hammer can be prevented in auxiliary boilers is outlined</w:t>
            </w:r>
          </w:p>
        </w:tc>
      </w:tr>
      <w:tr w:rsidTr="001F15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7.3</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Symptoms, causes, effects and actions to be taken in the event of oil contamination of boiler water are</w:t>
            </w:r>
            <w:r w:rsidRPr="00886FA4">
              <w:t xml:space="preserve"> determined</w:t>
            </w:r>
          </w:p>
        </w:tc>
      </w:tr>
      <w:tr w:rsidTr="001F15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7.4</w:t>
            </w:r>
          </w:p>
        </w:tc>
        <w:tc>
          <w:tcPr>
            <w:tcW w:w="604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Difference between and measures taken to avoid fire and water side explosions are clarified</w:t>
            </w:r>
          </w:p>
        </w:tc>
      </w:tr>
      <w:tr w:rsidTr="001F15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7.5</w:t>
            </w:r>
          </w:p>
        </w:tc>
        <w:tc>
          <w:tcPr>
            <w:tcW w:w="6045" w:type="dxa"/>
            <w:tcBorders>
              <w:top w:val="nil"/>
              <w:left w:val="nil"/>
              <w:bottom w:val="nil"/>
              <w:right w:val="nil"/>
            </w:tcBorders>
            <w:tcMar>
              <w:top w:w="0" w:type="dxa"/>
              <w:left w:w="62" w:type="dxa"/>
              <w:bottom w:w="0" w:type="dxa"/>
              <w:right w:w="62" w:type="dxa"/>
            </w:tcMar>
          </w:tcPr>
          <w:p w:rsidR="00000000" w:rsidRPr="00886FA4" w:rsidP="00886FA4">
            <w:pPr>
              <w:pStyle w:val="BodyText"/>
            </w:pPr>
            <w:r w:rsidRPr="00886FA4">
              <w:t>Causes, mechanism, prevention and control of economiser fires are detailed</w:t>
            </w:r>
          </w:p>
        </w:tc>
      </w:tr>
    </w:tbl>
    <w:p w:rsidR="00000000" w:rsidRPr="00886FA4" w:rsidP="00886FA4">
      <w:pPr>
        <w:pStyle w:val="BodyText"/>
      </w:pPr>
    </w:p>
    <w:p w:rsidR="00000000" w:rsidRPr="00886FA4" w:rsidP="00886FA4">
      <w:pPr>
        <w:pStyle w:val="AllowPageBreak"/>
      </w:pPr>
    </w:p>
    <w:p w:rsidR="00000000" w:rsidRPr="00886FA4" w:rsidP="00886FA4">
      <w:pPr>
        <w:pStyle w:val="Heading1"/>
      </w:pPr>
      <w:bookmarkStart w:id="7" w:name="O_596714"/>
      <w:bookmarkEnd w:id="7"/>
      <w:r w:rsidRPr="00886FA4">
        <w:t>Foundation Skills</w:t>
      </w:r>
    </w:p>
    <w:tbl>
      <w:tblPr>
        <w:tblW w:w="9498" w:type="dxa"/>
        <w:tblLayout w:type="fixed"/>
        <w:tblCellMar>
          <w:left w:w="62" w:type="dxa"/>
          <w:right w:w="62" w:type="dxa"/>
        </w:tblCellMar>
        <w:tblLook w:val="0000"/>
      </w:tblPr>
      <w:tblGrid>
        <w:gridCol w:w="9498"/>
      </w:tblGrid>
      <w:tr w:rsidTr="00886FA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This section describes tho</w:t>
            </w:r>
            <w:r w:rsidRPr="00886FA4">
              <w:t>se language, literacy, numeracy and employment skills that are essential to performance.</w:t>
            </w:r>
          </w:p>
        </w:tc>
      </w:tr>
      <w:tr w:rsidTr="00886FA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86FA4" w:rsidP="00886FA4">
            <w:pPr>
              <w:pStyle w:val="BodyText"/>
            </w:pPr>
            <w:r w:rsidRPr="00886FA4">
              <w:t xml:space="preserve">Foundation skills essential to performance are explicit in the performance criteria of this unit of competency. </w:t>
            </w:r>
          </w:p>
        </w:tc>
      </w:tr>
    </w:tbl>
    <w:p w:rsidR="00000000" w:rsidRPr="00886FA4" w:rsidP="00886FA4">
      <w:pPr>
        <w:pStyle w:val="BodyText"/>
      </w:pPr>
    </w:p>
    <w:p w:rsidR="00000000" w:rsidRPr="00886FA4" w:rsidP="00886FA4">
      <w:pPr>
        <w:pStyle w:val="AllowPageBreak"/>
      </w:pPr>
    </w:p>
    <w:p w:rsidR="00000000" w:rsidRPr="00886FA4" w:rsidP="00886FA4">
      <w:pPr>
        <w:pStyle w:val="Heading1"/>
      </w:pPr>
      <w:bookmarkStart w:id="8" w:name="O_596715"/>
      <w:bookmarkEnd w:id="8"/>
      <w:r w:rsidRPr="00886FA4">
        <w:t>Range of Conditions</w:t>
      </w:r>
    </w:p>
    <w:tbl>
      <w:tblPr>
        <w:tblW w:w="9498" w:type="dxa"/>
        <w:tblLayout w:type="fixed"/>
        <w:tblCellMar>
          <w:left w:w="62" w:type="dxa"/>
          <w:right w:w="62" w:type="dxa"/>
        </w:tblCellMar>
        <w:tblLook w:val="0000"/>
      </w:tblPr>
      <w:tblGrid>
        <w:gridCol w:w="2735"/>
        <w:gridCol w:w="6763"/>
      </w:tblGrid>
      <w:tr w:rsidTr="001F151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886FA4" w:rsidP="00886FA4">
            <w:pPr>
              <w:pStyle w:val="BodyText"/>
            </w:pPr>
            <w:r w:rsidRPr="00886FA4">
              <w:t>Specifies different work environments and conditions that may affect performance. Essential operating conditions that may be present (depending on the work situation, needs of the candidate, accessibility of the item, and local industry and regional contex</w:t>
            </w:r>
            <w:r w:rsidRPr="00886FA4">
              <w:t>ts) are included.</w:t>
            </w:r>
          </w:p>
          <w:p w:rsidR="00000000" w:rsidRPr="00886FA4" w:rsidP="00886FA4">
            <w:pPr>
              <w:pStyle w:val="BodyText"/>
            </w:pPr>
          </w:p>
          <w:p w:rsidR="00000000" w:rsidP="00886FA4">
            <w:pPr>
              <w:pStyle w:val="BodyText"/>
              <w:rPr>
                <w:lang w:val="en-NZ"/>
              </w:rPr>
            </w:pPr>
            <w:r w:rsidRPr="00886FA4">
              <w:t>Range is restricted to essential operating conditions and any other variables essential to the work environment.</w:t>
            </w:r>
          </w:p>
        </w:tc>
      </w:tr>
      <w:tr w:rsidTr="001F151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Mountings and fittings on auxiliary boilers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86FA4" w:rsidP="00886FA4">
            <w:pPr>
              <w:pStyle w:val="ListBullet"/>
            </w:pPr>
            <w:r w:rsidRPr="00886FA4">
              <w:t xml:space="preserve">air release cock </w:t>
            </w:r>
          </w:p>
          <w:p w:rsidR="00000000" w:rsidRPr="00886FA4" w:rsidP="00886FA4">
            <w:pPr>
              <w:pStyle w:val="ListBullet"/>
            </w:pPr>
            <w:r w:rsidRPr="00886FA4">
              <w:t>auxiliary steam stop valve</w:t>
            </w:r>
          </w:p>
          <w:p w:rsidR="00000000" w:rsidRPr="00886FA4" w:rsidP="00886FA4">
            <w:pPr>
              <w:pStyle w:val="ListBullet"/>
            </w:pPr>
            <w:r w:rsidRPr="00886FA4">
              <w:t xml:space="preserve">blow down valve </w:t>
            </w:r>
          </w:p>
          <w:p w:rsidR="00000000" w:rsidRPr="00886FA4" w:rsidP="00886FA4">
            <w:pPr>
              <w:pStyle w:val="ListBullet"/>
            </w:pPr>
            <w:r w:rsidRPr="00886FA4">
              <w:t xml:space="preserve">feed check or control valve </w:t>
            </w:r>
          </w:p>
          <w:p w:rsidR="00000000" w:rsidRPr="00886FA4" w:rsidP="00886FA4">
            <w:pPr>
              <w:pStyle w:val="ListBullet"/>
            </w:pPr>
            <w:r w:rsidRPr="00886FA4">
              <w:t xml:space="preserve">main steam stop valve </w:t>
            </w:r>
          </w:p>
          <w:p w:rsidR="00000000" w:rsidRPr="00886FA4" w:rsidP="00886FA4">
            <w:pPr>
              <w:pStyle w:val="ListBullet"/>
            </w:pPr>
            <w:r w:rsidRPr="00886FA4">
              <w:t>pressure gauge connection</w:t>
            </w:r>
          </w:p>
          <w:p w:rsidR="00000000" w:rsidRPr="00886FA4" w:rsidP="00886FA4">
            <w:pPr>
              <w:pStyle w:val="ListBullet"/>
            </w:pPr>
            <w:r w:rsidRPr="00886FA4">
              <w:t xml:space="preserve">safety valves </w:t>
            </w:r>
          </w:p>
          <w:p w:rsidR="00000000" w:rsidRPr="00886FA4" w:rsidP="00886FA4">
            <w:pPr>
              <w:pStyle w:val="ListBullet"/>
            </w:pPr>
            <w:r w:rsidRPr="00886FA4">
              <w:t xml:space="preserve">sampling connection </w:t>
            </w:r>
          </w:p>
          <w:p w:rsidR="00000000" w:rsidRPr="00886FA4" w:rsidP="00886FA4">
            <w:pPr>
              <w:pStyle w:val="ListBullet"/>
            </w:pPr>
            <w:r w:rsidRPr="00886FA4">
              <w:t>scum valve</w:t>
            </w:r>
          </w:p>
          <w:p w:rsidR="00000000" w:rsidRPr="00886FA4" w:rsidP="00886FA4">
            <w:pPr>
              <w:pStyle w:val="ListBullet"/>
            </w:pPr>
            <w:r w:rsidRPr="00886FA4">
              <w:t>water level gauge</w:t>
            </w:r>
          </w:p>
          <w:p w:rsidR="00000000" w:rsidP="00886FA4">
            <w:pPr>
              <w:pStyle w:val="ListBullet"/>
              <w:rPr>
                <w:lang w:val="en-NZ"/>
              </w:rPr>
            </w:pPr>
            <w:r w:rsidRPr="00886FA4">
              <w:t>whistle stop valve</w:t>
            </w:r>
          </w:p>
        </w:tc>
      </w:tr>
      <w:tr w:rsidTr="001F151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p>
        </w:tc>
      </w:tr>
      <w:tr w:rsidTr="001F151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86FA4">
            <w:pPr>
              <w:pStyle w:val="BodyText"/>
              <w:rPr>
                <w:lang w:val="en-NZ"/>
              </w:rPr>
            </w:pPr>
            <w:r w:rsidRPr="00886FA4">
              <w:t>Hazards and defects include one or more of the</w:t>
            </w:r>
            <w:r w:rsidRPr="00886FA4">
              <w:t xml:space="preserve"> following:</w:t>
            </w:r>
          </w:p>
        </w:tc>
        <w:tc>
          <w:tcPr>
            <w:tcW w:w="6763" w:type="dxa"/>
            <w:tcBorders>
              <w:top w:val="nil"/>
              <w:left w:val="nil"/>
              <w:bottom w:val="nil"/>
              <w:right w:val="nil"/>
            </w:tcBorders>
            <w:tcMar>
              <w:top w:w="0" w:type="dxa"/>
              <w:left w:w="62" w:type="dxa"/>
              <w:bottom w:w="0" w:type="dxa"/>
              <w:right w:w="62" w:type="dxa"/>
            </w:tcMar>
          </w:tcPr>
          <w:p w:rsidR="00000000" w:rsidRPr="00886FA4" w:rsidP="00886FA4">
            <w:pPr>
              <w:pStyle w:val="ListBullet"/>
            </w:pPr>
            <w:r w:rsidRPr="00886FA4">
              <w:t>chemical hazards</w:t>
            </w:r>
          </w:p>
          <w:p w:rsidR="00000000" w:rsidRPr="00886FA4" w:rsidP="00886FA4">
            <w:pPr>
              <w:pStyle w:val="ListBullet"/>
            </w:pPr>
            <w:r w:rsidRPr="00886FA4">
              <w:t xml:space="preserve">enclosed space </w:t>
            </w:r>
          </w:p>
          <w:p w:rsidR="00000000" w:rsidRPr="00886FA4" w:rsidP="00886FA4">
            <w:pPr>
              <w:pStyle w:val="ListBullet"/>
            </w:pPr>
            <w:r w:rsidRPr="00886FA4">
              <w:t xml:space="preserve">illumination of work area </w:t>
            </w:r>
          </w:p>
          <w:p w:rsidR="00000000" w:rsidRPr="00886FA4" w:rsidP="00886FA4">
            <w:pPr>
              <w:pStyle w:val="ListBullet"/>
            </w:pPr>
            <w:r w:rsidRPr="00886FA4">
              <w:t>machine guarding</w:t>
            </w:r>
          </w:p>
          <w:p w:rsidR="00000000" w:rsidRPr="00886FA4" w:rsidP="00886FA4">
            <w:pPr>
              <w:pStyle w:val="ListBullet"/>
            </w:pPr>
            <w:r w:rsidRPr="00886FA4">
              <w:t>manual handling</w:t>
            </w:r>
          </w:p>
          <w:p w:rsidR="00000000" w:rsidRPr="00886FA4" w:rsidP="00886FA4">
            <w:pPr>
              <w:pStyle w:val="ListBullet"/>
            </w:pPr>
            <w:r w:rsidRPr="00886FA4">
              <w:t>materials</w:t>
            </w:r>
          </w:p>
          <w:p w:rsidR="00000000" w:rsidRPr="00886FA4" w:rsidP="00886FA4">
            <w:pPr>
              <w:pStyle w:val="ListBullet"/>
            </w:pPr>
            <w:r w:rsidRPr="00886FA4">
              <w:t>rubbish and combustible</w:t>
            </w:r>
          </w:p>
          <w:p w:rsidR="00000000" w:rsidRPr="00886FA4" w:rsidP="00886FA4">
            <w:pPr>
              <w:pStyle w:val="ListBullet"/>
            </w:pPr>
            <w:r w:rsidRPr="00886FA4">
              <w:t xml:space="preserve">steam and fuel leaks </w:t>
            </w:r>
          </w:p>
          <w:p w:rsidR="00000000" w:rsidRPr="00886FA4" w:rsidP="00886FA4">
            <w:pPr>
              <w:pStyle w:val="ListBullet"/>
            </w:pPr>
            <w:r w:rsidRPr="00886FA4">
              <w:t>thermal hazards</w:t>
            </w:r>
          </w:p>
          <w:p w:rsidR="00000000" w:rsidRPr="00886FA4" w:rsidP="00886FA4">
            <w:pPr>
              <w:pStyle w:val="ListBullet"/>
            </w:pPr>
            <w:r w:rsidRPr="00886FA4">
              <w:t>trips</w:t>
            </w:r>
          </w:p>
        </w:tc>
      </w:tr>
    </w:tbl>
    <w:p w:rsidR="00000000" w:rsidRPr="00886FA4" w:rsidP="00886FA4">
      <w:pPr>
        <w:pStyle w:val="BodyText"/>
      </w:pPr>
    </w:p>
    <w:p w:rsidR="00000000" w:rsidRPr="00886FA4" w:rsidP="00886FA4">
      <w:pPr>
        <w:pStyle w:val="AllowPageBreak"/>
      </w:pPr>
    </w:p>
    <w:p w:rsidR="00000000" w:rsidRPr="00886FA4" w:rsidP="00886FA4">
      <w:pPr>
        <w:pStyle w:val="Heading1"/>
      </w:pPr>
      <w:bookmarkStart w:id="9" w:name="O_596716"/>
      <w:bookmarkEnd w:id="9"/>
      <w:r w:rsidRPr="00886FA4">
        <w:t>Unit Mapping Information</w:t>
      </w:r>
    </w:p>
    <w:p w:rsidR="00000000" w:rsidRPr="00886FA4" w:rsidP="001F1518">
      <w:pPr>
        <w:pStyle w:val="BodyText"/>
      </w:pPr>
      <w:r w:rsidRPr="00886FA4">
        <w:t>This is a new unit. This unit is equivalent to MARL5005A Demonstrate basic knowledge of marine auxiliary boilers.</w:t>
      </w:r>
    </w:p>
    <w:p w:rsidR="00000000" w:rsidRPr="00886FA4" w:rsidP="00886FA4">
      <w:pPr>
        <w:pStyle w:val="Heading1"/>
      </w:pPr>
      <w:bookmarkStart w:id="10" w:name="O_596723"/>
      <w:bookmarkEnd w:id="10"/>
      <w:r w:rsidRPr="00886FA4">
        <w:t>Links</w:t>
      </w:r>
    </w:p>
    <w:p w:rsidR="00000000" w:rsidRPr="00886FA4" w:rsidP="001F1518">
      <w:pPr>
        <w:pStyle w:val="BodyText"/>
      </w:pPr>
      <w:r w:rsidRPr="00886FA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33D39">
        <w:rPr>
          <w:rStyle w:val="Hyperlink"/>
        </w:rPr>
        <w:t>https://vetnet.gov.au/Pages/TrainingDocs.aspx?q=772efb7b-4cce-47fe-9bbd-ee3b1d1eb4c2</w:t>
      </w:r>
      <w:r>
        <w:fldChar w:fldCharType="end"/>
      </w:r>
    </w:p>
    <w:p w:rsidR="00000000" w:rsidRPr="00886FA4" w:rsidP="00886FA4"/>
    <w:sectPr w:rsidSect="00886F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F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FA4" w:rsidRPr="001F1518" w:rsidP="001F15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F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18" w:rsidP="00886F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1518" w:rsidP="00886FA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F1518" w:rsidP="00886F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F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6FA4" w:rsidRPr="001F1518" w:rsidP="001F15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F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18" w:rsidRPr="002D2AF8" w:rsidP="00886FA4">
    <w:pPr>
      <w:pStyle w:val="Header"/>
      <w:framePr w:wrap="around"/>
    </w:pPr>
    <w:r>
      <w:fldChar w:fldCharType="begin"/>
    </w:r>
    <w:r>
      <w:instrText xml:space="preserve"> TITLE   \* MERGEFORMAT </w:instrText>
    </w:r>
    <w:r>
      <w:fldChar w:fldCharType="separate"/>
    </w:r>
    <w:r>
      <w:t>MARL003 Demonstrate basic knowledge of marine auxiliary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1F1518" w:rsidP="00886F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6C7B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DC7E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F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6FA4"/>
    <w:pPr>
      <w:spacing w:before="360" w:after="60"/>
      <w:outlineLvl w:val="0"/>
    </w:pPr>
    <w:rPr>
      <w:sz w:val="32"/>
    </w:rPr>
  </w:style>
  <w:style w:type="paragraph" w:styleId="Heading2">
    <w:name w:val="heading 2"/>
    <w:basedOn w:val="HeadingBase"/>
    <w:next w:val="BodyText"/>
    <w:link w:val="Heading2Char"/>
    <w:qFormat/>
    <w:rsid w:val="00886FA4"/>
    <w:pPr>
      <w:keepLines/>
      <w:spacing w:before="240" w:after="120"/>
      <w:outlineLvl w:val="1"/>
    </w:pPr>
    <w:rPr>
      <w:sz w:val="28"/>
      <w:szCs w:val="40"/>
    </w:rPr>
  </w:style>
  <w:style w:type="paragraph" w:styleId="Heading3">
    <w:name w:val="heading 3"/>
    <w:basedOn w:val="HeadingBase"/>
    <w:next w:val="BodyText"/>
    <w:link w:val="Heading3Char"/>
    <w:qFormat/>
    <w:rsid w:val="00886FA4"/>
    <w:pPr>
      <w:spacing w:before="180" w:after="120"/>
      <w:outlineLvl w:val="2"/>
    </w:pPr>
    <w:rPr>
      <w:spacing w:val="-10"/>
      <w:kern w:val="32"/>
    </w:rPr>
  </w:style>
  <w:style w:type="paragraph" w:styleId="Heading4">
    <w:name w:val="heading 4"/>
    <w:basedOn w:val="HeadingBase"/>
    <w:next w:val="BodyText"/>
    <w:link w:val="Heading4Char"/>
    <w:qFormat/>
    <w:rsid w:val="00886FA4"/>
    <w:pPr>
      <w:spacing w:before="160" w:after="120"/>
      <w:outlineLvl w:val="3"/>
    </w:pPr>
    <w:rPr>
      <w:sz w:val="22"/>
    </w:rPr>
  </w:style>
  <w:style w:type="paragraph" w:styleId="Heading5">
    <w:name w:val="heading 5"/>
    <w:basedOn w:val="HeadingBase"/>
    <w:next w:val="Normal"/>
    <w:link w:val="Heading5Char"/>
    <w:qFormat/>
    <w:rsid w:val="00886FA4"/>
    <w:pPr>
      <w:spacing w:before="80"/>
      <w:outlineLvl w:val="4"/>
    </w:pPr>
    <w:rPr>
      <w:color w:val="918585"/>
      <w:sz w:val="20"/>
    </w:rPr>
  </w:style>
  <w:style w:type="paragraph" w:styleId="Heading6">
    <w:name w:val="heading 6"/>
    <w:basedOn w:val="HeadingBase"/>
    <w:next w:val="Normal"/>
    <w:link w:val="Heading6Char"/>
    <w:qFormat/>
    <w:rsid w:val="00886FA4"/>
    <w:pPr>
      <w:spacing w:before="60"/>
      <w:outlineLvl w:val="5"/>
    </w:pPr>
    <w:rPr>
      <w:color w:val="918585"/>
      <w:sz w:val="20"/>
    </w:rPr>
  </w:style>
  <w:style w:type="paragraph" w:styleId="Heading7">
    <w:name w:val="heading 7"/>
    <w:basedOn w:val="Normal"/>
    <w:next w:val="Normal"/>
    <w:link w:val="Heading7Char"/>
    <w:qFormat/>
    <w:rsid w:val="00886FA4"/>
    <w:pPr>
      <w:ind w:left="720"/>
      <w:outlineLvl w:val="6"/>
    </w:pPr>
    <w:rPr>
      <w:i/>
    </w:rPr>
  </w:style>
  <w:style w:type="paragraph" w:styleId="Heading8">
    <w:name w:val="heading 8"/>
    <w:basedOn w:val="Normal"/>
    <w:next w:val="Normal"/>
    <w:link w:val="Heading8Char"/>
    <w:qFormat/>
    <w:rsid w:val="00886FA4"/>
    <w:pPr>
      <w:ind w:left="720"/>
      <w:outlineLvl w:val="7"/>
    </w:pPr>
    <w:rPr>
      <w:i/>
    </w:rPr>
  </w:style>
  <w:style w:type="paragraph" w:styleId="Heading9">
    <w:name w:val="heading 9"/>
    <w:basedOn w:val="Normal"/>
    <w:next w:val="Normal"/>
    <w:link w:val="Heading9Char"/>
    <w:qFormat/>
    <w:rsid w:val="00886FA4"/>
    <w:pPr>
      <w:ind w:left="720"/>
      <w:outlineLvl w:val="8"/>
    </w:pPr>
    <w:rPr>
      <w:i/>
    </w:rPr>
  </w:style>
  <w:style w:type="character" w:default="1" w:styleId="DefaultParagraphFont">
    <w:name w:val="Default Paragraph Font"/>
    <w:uiPriority w:val="1"/>
    <w:unhideWhenUsed/>
    <w:rsid w:val="00886F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FA4"/>
  </w:style>
  <w:style w:type="character" w:customStyle="1" w:styleId="Heading1Char">
    <w:name w:val="Heading 1 Char"/>
    <w:basedOn w:val="DefaultParagraphFont"/>
    <w:link w:val="Heading1"/>
    <w:rsid w:val="00886FA4"/>
    <w:rPr>
      <w:rFonts w:ascii="Times New Roman" w:eastAsia="Times New Roman" w:hAnsi="Times New Roman" w:cs="Times New Roman"/>
      <w:b/>
      <w:sz w:val="32"/>
      <w:szCs w:val="20"/>
      <w:lang w:eastAsia="en-US"/>
    </w:rPr>
  </w:style>
  <w:style w:type="paragraph" w:styleId="BodyText">
    <w:name w:val="Body Text"/>
    <w:basedOn w:val="Normal"/>
    <w:link w:val="BodyTextChar"/>
    <w:rsid w:val="00886F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6FA4"/>
    <w:rPr>
      <w:rFonts w:ascii="Times New Roman" w:eastAsia="Times New Roman" w:hAnsi="Times New Roman" w:cs="Times New Roman"/>
      <w:sz w:val="24"/>
      <w:lang w:eastAsia="en-US"/>
    </w:rPr>
  </w:style>
  <w:style w:type="paragraph" w:styleId="ListBullet">
    <w:name w:val="List Bullet"/>
    <w:basedOn w:val="List"/>
    <w:rsid w:val="00886FA4"/>
    <w:pPr>
      <w:numPr>
        <w:numId w:val="11"/>
      </w:numPr>
      <w:tabs>
        <w:tab w:val="clear" w:pos="340"/>
      </w:tabs>
      <w:spacing w:before="40" w:after="40"/>
    </w:pPr>
  </w:style>
  <w:style w:type="character" w:customStyle="1" w:styleId="SpecialBold">
    <w:name w:val="Special Bold"/>
    <w:basedOn w:val="DefaultParagraphFont"/>
    <w:rsid w:val="00886FA4"/>
    <w:rPr>
      <w:b/>
      <w:spacing w:val="0"/>
    </w:rPr>
  </w:style>
  <w:style w:type="paragraph" w:customStyle="1" w:styleId="SuperHeading">
    <w:name w:val="SuperHeading"/>
    <w:basedOn w:val="Normal"/>
    <w:rsid w:val="00886FA4"/>
    <w:pPr>
      <w:spacing w:before="240" w:after="120"/>
      <w:outlineLvl w:val="0"/>
    </w:pPr>
    <w:rPr>
      <w:rFonts w:ascii="Times New Roman" w:hAnsi="Times New Roman"/>
      <w:b/>
      <w:sz w:val="32"/>
    </w:rPr>
  </w:style>
  <w:style w:type="paragraph" w:customStyle="1" w:styleId="AllowPageBreak">
    <w:name w:val="AllowPageBreak"/>
    <w:rsid w:val="00886F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6F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F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F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F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F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F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6F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6FA4"/>
    <w:rPr>
      <w:rFonts w:ascii="Courier New" w:eastAsia="Times New Roman" w:hAnsi="Courier New" w:cs="Times New Roman"/>
      <w:i/>
      <w:szCs w:val="20"/>
      <w:lang w:eastAsia="en-US"/>
    </w:rPr>
  </w:style>
  <w:style w:type="paragraph" w:customStyle="1" w:styleId="HeadingBase">
    <w:name w:val="Heading Base"/>
    <w:rsid w:val="00886F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FA4"/>
    <w:pPr>
      <w:tabs>
        <w:tab w:val="right" w:leader="dot" w:pos="9072"/>
      </w:tabs>
      <w:ind w:left="567"/>
    </w:pPr>
    <w:rPr>
      <w:szCs w:val="22"/>
    </w:rPr>
  </w:style>
  <w:style w:type="paragraph" w:customStyle="1" w:styleId="TOCBase">
    <w:name w:val="TOC Base"/>
    <w:rsid w:val="00886F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FA4"/>
    <w:pPr>
      <w:tabs>
        <w:tab w:val="right" w:leader="dot" w:pos="9072"/>
      </w:tabs>
      <w:spacing w:before="40" w:after="40"/>
      <w:ind w:left="284"/>
    </w:pPr>
    <w:rPr>
      <w:rFonts w:ascii="Times New Roman" w:hAnsi="Times New Roman"/>
    </w:rPr>
  </w:style>
  <w:style w:type="paragraph" w:styleId="TOC1">
    <w:name w:val="toc 1"/>
    <w:basedOn w:val="TOCBase"/>
    <w:next w:val="Normal"/>
    <w:rsid w:val="00886F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6F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FA4"/>
    <w:rPr>
      <w:rFonts w:ascii="Times New Roman" w:eastAsia="Times New Roman" w:hAnsi="Times New Roman" w:cs="Times New Roman"/>
      <w:sz w:val="16"/>
      <w:lang w:eastAsia="en-US"/>
    </w:rPr>
  </w:style>
  <w:style w:type="paragraph" w:styleId="Title">
    <w:name w:val="Title"/>
    <w:basedOn w:val="HeadingBase"/>
    <w:link w:val="TitleChar"/>
    <w:qFormat/>
    <w:rsid w:val="00886FA4"/>
    <w:pPr>
      <w:spacing w:before="5040"/>
      <w:jc w:val="center"/>
    </w:pPr>
    <w:rPr>
      <w:sz w:val="48"/>
      <w:szCs w:val="72"/>
      <w:lang w:val="en-US"/>
    </w:rPr>
  </w:style>
  <w:style w:type="character" w:customStyle="1" w:styleId="TitleChar">
    <w:name w:val="Title Char"/>
    <w:basedOn w:val="DefaultParagraphFont"/>
    <w:link w:val="Title"/>
    <w:rsid w:val="00886F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FA4"/>
    <w:pPr>
      <w:tabs>
        <w:tab w:val="left" w:pos="3600"/>
        <w:tab w:val="left" w:pos="3958"/>
      </w:tabs>
    </w:pPr>
  </w:style>
  <w:style w:type="paragraph" w:styleId="List">
    <w:name w:val="List"/>
    <w:basedOn w:val="BodyText"/>
    <w:next w:val="BodyText"/>
    <w:rsid w:val="00886FA4"/>
    <w:pPr>
      <w:tabs>
        <w:tab w:val="left" w:pos="340"/>
      </w:tabs>
      <w:spacing w:before="60" w:after="60"/>
      <w:ind w:left="340" w:hanging="340"/>
    </w:pPr>
  </w:style>
  <w:style w:type="paragraph" w:customStyle="1" w:styleId="Note">
    <w:name w:val="Note"/>
    <w:basedOn w:val="BodyText"/>
    <w:rsid w:val="00886F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FA4"/>
    <w:pPr>
      <w:framePr w:wrap="auto" w:hAnchor="text" w:y="6049"/>
    </w:pPr>
    <w:rPr>
      <w:color w:val="000000"/>
      <w:sz w:val="40"/>
    </w:rPr>
  </w:style>
  <w:style w:type="paragraph" w:customStyle="1" w:styleId="TOCTitle">
    <w:name w:val="TOCTitle"/>
    <w:basedOn w:val="Heading1"/>
    <w:rsid w:val="00886FA4"/>
    <w:pPr>
      <w:spacing w:after="240"/>
      <w:jc w:val="center"/>
      <w:outlineLvl w:val="9"/>
    </w:pPr>
    <w:rPr>
      <w:caps/>
    </w:rPr>
  </w:style>
  <w:style w:type="paragraph" w:customStyle="1" w:styleId="Version">
    <w:name w:val="Version"/>
    <w:rsid w:val="00886F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6FA4"/>
    <w:pPr>
      <w:numPr>
        <w:numId w:val="12"/>
      </w:numPr>
      <w:tabs>
        <w:tab w:val="clear" w:pos="680"/>
      </w:tabs>
    </w:pPr>
  </w:style>
  <w:style w:type="paragraph" w:styleId="Index1">
    <w:name w:val="index 1"/>
    <w:basedOn w:val="Normal"/>
    <w:next w:val="Normal"/>
    <w:semiHidden/>
    <w:rsid w:val="00886FA4"/>
    <w:pPr>
      <w:keepNext w:val="0"/>
      <w:tabs>
        <w:tab w:val="right" w:pos="4176"/>
      </w:tabs>
      <w:ind w:left="198" w:hanging="198"/>
    </w:pPr>
    <w:rPr>
      <w:rFonts w:ascii="Garamond" w:hAnsi="Garamond"/>
    </w:rPr>
  </w:style>
  <w:style w:type="paragraph" w:styleId="IndexHeading">
    <w:name w:val="index heading"/>
    <w:basedOn w:val="Normal"/>
    <w:next w:val="Index1"/>
    <w:semiHidden/>
    <w:rsid w:val="00886FA4"/>
    <w:pPr>
      <w:spacing w:before="120" w:after="120"/>
    </w:pPr>
    <w:rPr>
      <w:rFonts w:ascii="Arial" w:hAnsi="Arial"/>
      <w:b/>
      <w:color w:val="918585"/>
      <w:sz w:val="24"/>
    </w:rPr>
  </w:style>
  <w:style w:type="paragraph" w:styleId="Header">
    <w:name w:val="header"/>
    <w:basedOn w:val="Normal"/>
    <w:link w:val="HeaderChar"/>
    <w:rsid w:val="00886F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FA4"/>
    <w:rPr>
      <w:rFonts w:ascii="Times New Roman" w:eastAsia="Times New Roman" w:hAnsi="Times New Roman" w:cs="Times New Roman"/>
      <w:sz w:val="16"/>
      <w:szCs w:val="20"/>
      <w:lang w:val="en-GB" w:eastAsia="en-US"/>
    </w:rPr>
  </w:style>
  <w:style w:type="paragraph" w:customStyle="1" w:styleId="Chapter">
    <w:name w:val="Chapter"/>
    <w:basedOn w:val="Normal"/>
    <w:rsid w:val="00886FA4"/>
    <w:pPr>
      <w:spacing w:before="240"/>
    </w:pPr>
    <w:rPr>
      <w:rFonts w:ascii="Times New Roman" w:hAnsi="Times New Roman"/>
      <w:smallCaps/>
      <w:spacing w:val="80"/>
      <w:sz w:val="28"/>
    </w:rPr>
  </w:style>
  <w:style w:type="paragraph" w:customStyle="1" w:styleId="InChapter">
    <w:name w:val="InChapter"/>
    <w:basedOn w:val="Heading3"/>
    <w:rsid w:val="00886FA4"/>
    <w:pPr>
      <w:spacing w:after="240"/>
      <w:outlineLvl w:val="9"/>
    </w:pPr>
    <w:rPr>
      <w:noProof/>
    </w:rPr>
  </w:style>
  <w:style w:type="paragraph" w:styleId="Index2">
    <w:name w:val="index 2"/>
    <w:basedOn w:val="Normal"/>
    <w:next w:val="Normal"/>
    <w:semiHidden/>
    <w:rsid w:val="00886FA4"/>
    <w:pPr>
      <w:tabs>
        <w:tab w:val="right" w:pos="4176"/>
      </w:tabs>
      <w:ind w:left="568" w:hanging="284"/>
    </w:pPr>
    <w:rPr>
      <w:rFonts w:ascii="Garamond" w:hAnsi="Garamond"/>
    </w:rPr>
  </w:style>
  <w:style w:type="paragraph" w:customStyle="1" w:styleId="Byline">
    <w:name w:val="Byline"/>
    <w:rsid w:val="00886F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FA4"/>
    <w:pPr>
      <w:tabs>
        <w:tab w:val="clear" w:pos="3600"/>
        <w:tab w:val="clear" w:pos="3958"/>
      </w:tabs>
      <w:jc w:val="right"/>
    </w:pPr>
  </w:style>
  <w:style w:type="character" w:styleId="Emphasis">
    <w:name w:val="Emphasis"/>
    <w:basedOn w:val="DefaultParagraphFont"/>
    <w:qFormat/>
    <w:rsid w:val="00886FA4"/>
    <w:rPr>
      <w:i/>
    </w:rPr>
  </w:style>
  <w:style w:type="paragraph" w:styleId="Caption">
    <w:name w:val="caption"/>
    <w:basedOn w:val="BodyText"/>
    <w:next w:val="Normal"/>
    <w:qFormat/>
    <w:rsid w:val="00886FA4"/>
    <w:pPr>
      <w:framePr w:w="2268" w:hSpace="181" w:vSpace="181" w:wrap="around" w:vAnchor="text" w:hAnchor="page" w:x="1135" w:y="285" w:anchorLock="1"/>
    </w:pPr>
    <w:rPr>
      <w:i/>
    </w:rPr>
  </w:style>
  <w:style w:type="paragraph" w:customStyle="1" w:styleId="MiniTOCTitle">
    <w:name w:val="MiniTOCTitle"/>
    <w:basedOn w:val="Heading4"/>
    <w:rsid w:val="00886FA4"/>
    <w:pPr>
      <w:spacing w:before="240"/>
      <w:outlineLvl w:val="9"/>
    </w:pPr>
    <w:rPr>
      <w:noProof/>
      <w:sz w:val="24"/>
    </w:rPr>
  </w:style>
  <w:style w:type="paragraph" w:customStyle="1" w:styleId="MiniTOCItem">
    <w:name w:val="MiniTOCItem"/>
    <w:basedOn w:val="ListBullet"/>
    <w:rsid w:val="00886FA4"/>
    <w:pPr>
      <w:numPr>
        <w:numId w:val="0"/>
      </w:numPr>
      <w:tabs>
        <w:tab w:val="right" w:leader="dot" w:pos="6521"/>
      </w:tabs>
      <w:spacing w:before="0" w:after="0"/>
    </w:pPr>
  </w:style>
  <w:style w:type="paragraph" w:customStyle="1" w:styleId="TOFTitle">
    <w:name w:val="TOFTitle"/>
    <w:basedOn w:val="TOCTitle"/>
    <w:rsid w:val="00886FA4"/>
  </w:style>
  <w:style w:type="paragraph" w:styleId="TableofFigures">
    <w:name w:val="table of figures"/>
    <w:basedOn w:val="Normal"/>
    <w:next w:val="Normal"/>
    <w:semiHidden/>
    <w:rsid w:val="00886FA4"/>
    <w:pPr>
      <w:tabs>
        <w:tab w:val="right" w:leader="dot" w:pos="9072"/>
      </w:tabs>
      <w:ind w:left="970" w:hanging="403"/>
    </w:pPr>
    <w:rPr>
      <w:rFonts w:ascii="Times New Roman" w:hAnsi="Times New Roman"/>
      <w:b/>
    </w:rPr>
  </w:style>
  <w:style w:type="paragraph" w:styleId="ListNumber">
    <w:name w:val="List Number"/>
    <w:basedOn w:val="List"/>
    <w:rsid w:val="00886FA4"/>
    <w:pPr>
      <w:numPr>
        <w:numId w:val="14"/>
      </w:numPr>
      <w:tabs>
        <w:tab w:val="clear" w:pos="340"/>
      </w:tabs>
    </w:pPr>
  </w:style>
  <w:style w:type="character" w:customStyle="1" w:styleId="WingdingSymbols">
    <w:name w:val="Wingding Symbols"/>
    <w:rsid w:val="00886FA4"/>
    <w:rPr>
      <w:rFonts w:ascii="Wingdings" w:hAnsi="Wingdings"/>
    </w:rPr>
  </w:style>
  <w:style w:type="paragraph" w:customStyle="1" w:styleId="TableHeading">
    <w:name w:val="Table Heading"/>
    <w:basedOn w:val="HeadingBase"/>
    <w:rsid w:val="00886FA4"/>
    <w:pPr>
      <w:keepLines/>
      <w:pBdr>
        <w:bottom w:val="single" w:sz="6" w:space="1" w:color="918585"/>
      </w:pBdr>
      <w:spacing w:before="240"/>
    </w:pPr>
  </w:style>
  <w:style w:type="character" w:customStyle="1" w:styleId="HotSpot">
    <w:name w:val="HotSpot"/>
    <w:rsid w:val="00886FA4"/>
    <w:rPr>
      <w:color w:val="0033CC"/>
      <w:u w:val="none"/>
    </w:rPr>
  </w:style>
  <w:style w:type="paragraph" w:customStyle="1" w:styleId="BodyTextRight">
    <w:name w:val="Body Text Right"/>
    <w:basedOn w:val="BodyText"/>
    <w:rsid w:val="00886FA4"/>
    <w:pPr>
      <w:spacing w:before="0" w:after="0"/>
      <w:jc w:val="right"/>
    </w:pPr>
  </w:style>
  <w:style w:type="paragraph" w:styleId="Index3">
    <w:name w:val="index 3"/>
    <w:basedOn w:val="ListNumber2"/>
    <w:next w:val="Normal"/>
    <w:semiHidden/>
    <w:rsid w:val="00886FA4"/>
    <w:pPr>
      <w:numPr>
        <w:numId w:val="0"/>
      </w:numPr>
      <w:tabs>
        <w:tab w:val="right" w:leader="dot" w:pos="4176"/>
      </w:tabs>
    </w:pPr>
  </w:style>
  <w:style w:type="paragraph" w:styleId="ListNumber2">
    <w:name w:val="List Number 2"/>
    <w:basedOn w:val="List2"/>
    <w:rsid w:val="00886FA4"/>
    <w:pPr>
      <w:numPr>
        <w:numId w:val="9"/>
      </w:numPr>
      <w:tabs>
        <w:tab w:val="clear" w:pos="1060"/>
      </w:tabs>
    </w:pPr>
  </w:style>
  <w:style w:type="paragraph" w:customStyle="1" w:styleId="MarginNote">
    <w:name w:val="Margin Note"/>
    <w:basedOn w:val="BodyText"/>
    <w:rsid w:val="00886F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F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F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6FA4"/>
    <w:rPr>
      <w:sz w:val="32"/>
    </w:rPr>
  </w:style>
  <w:style w:type="paragraph" w:customStyle="1" w:styleId="HeadingProcedure">
    <w:name w:val="Heading Procedure"/>
    <w:basedOn w:val="HeadingBase"/>
    <w:next w:val="Normal"/>
    <w:rsid w:val="00886FA4"/>
    <w:pPr>
      <w:tabs>
        <w:tab w:val="left" w:pos="0"/>
      </w:tabs>
      <w:spacing w:before="120" w:after="60"/>
    </w:pPr>
    <w:rPr>
      <w:i/>
      <w:color w:val="918585"/>
      <w:sz w:val="22"/>
    </w:rPr>
  </w:style>
  <w:style w:type="paragraph" w:customStyle="1" w:styleId="TableBodyText">
    <w:name w:val="Table Body Text"/>
    <w:basedOn w:val="BodyText"/>
    <w:rsid w:val="00886FA4"/>
    <w:pPr>
      <w:spacing w:before="60" w:after="60"/>
    </w:pPr>
  </w:style>
  <w:style w:type="paragraph" w:styleId="ListContinue">
    <w:name w:val="List Continue"/>
    <w:basedOn w:val="List"/>
    <w:rsid w:val="00886FA4"/>
    <w:pPr>
      <w:ind w:firstLine="0"/>
    </w:pPr>
  </w:style>
  <w:style w:type="paragraph" w:customStyle="1" w:styleId="ListNote">
    <w:name w:val="List Note"/>
    <w:basedOn w:val="List"/>
    <w:rsid w:val="00886FA4"/>
    <w:pPr>
      <w:pBdr>
        <w:top w:val="single" w:sz="6" w:space="2" w:color="918585"/>
        <w:bottom w:val="single" w:sz="6" w:space="2" w:color="918585"/>
      </w:pBdr>
      <w:tabs>
        <w:tab w:val="left" w:pos="1021"/>
      </w:tabs>
      <w:ind w:firstLine="0"/>
    </w:pPr>
  </w:style>
  <w:style w:type="paragraph" w:customStyle="1" w:styleId="Warning">
    <w:name w:val="Warning"/>
    <w:basedOn w:val="BodyText"/>
    <w:rsid w:val="00886FA4"/>
    <w:pPr>
      <w:shd w:val="clear" w:color="auto" w:fill="D9D9D9"/>
      <w:tabs>
        <w:tab w:val="left" w:pos="992"/>
      </w:tabs>
      <w:ind w:left="119" w:right="119"/>
    </w:pPr>
    <w:rPr>
      <w:sz w:val="20"/>
    </w:rPr>
  </w:style>
  <w:style w:type="paragraph" w:customStyle="1" w:styleId="MarginIcons">
    <w:name w:val="Margin Icons"/>
    <w:basedOn w:val="BodyText"/>
    <w:rsid w:val="00886F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FA4"/>
    <w:rPr>
      <w:rFonts w:ascii="Courier New" w:hAnsi="Courier New"/>
    </w:rPr>
  </w:style>
  <w:style w:type="paragraph" w:customStyle="1" w:styleId="NoteBullet">
    <w:name w:val="Note Bullet"/>
    <w:basedOn w:val="Note"/>
    <w:rsid w:val="00886FA4"/>
    <w:pPr>
      <w:tabs>
        <w:tab w:val="clear" w:pos="680"/>
      </w:tabs>
      <w:spacing w:before="60" w:after="60"/>
    </w:pPr>
  </w:style>
  <w:style w:type="paragraph" w:customStyle="1" w:styleId="SubHeading2">
    <w:name w:val="SubHeading2"/>
    <w:basedOn w:val="HeadingBase"/>
    <w:rsid w:val="00886FA4"/>
    <w:pPr>
      <w:spacing w:before="240" w:after="60"/>
    </w:pPr>
    <w:rPr>
      <w:sz w:val="20"/>
    </w:rPr>
  </w:style>
  <w:style w:type="paragraph" w:customStyle="1" w:styleId="SubHeading1">
    <w:name w:val="SubHeading1"/>
    <w:basedOn w:val="HeadingBase"/>
    <w:rsid w:val="00886FA4"/>
    <w:pPr>
      <w:spacing w:before="240" w:after="60"/>
    </w:pPr>
    <w:rPr>
      <w:color w:val="918585"/>
      <w:sz w:val="22"/>
    </w:rPr>
  </w:style>
  <w:style w:type="paragraph" w:customStyle="1" w:styleId="SideHeading">
    <w:name w:val="Side Heading"/>
    <w:basedOn w:val="HeadingBase"/>
    <w:rsid w:val="00886F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FA4"/>
    <w:pPr>
      <w:numPr>
        <w:numId w:val="10"/>
      </w:numPr>
    </w:pPr>
  </w:style>
  <w:style w:type="paragraph" w:styleId="PlainText">
    <w:name w:val="Plain Text"/>
    <w:basedOn w:val="Normal"/>
    <w:link w:val="PlainTextChar"/>
    <w:rsid w:val="00886FA4"/>
    <w:rPr>
      <w:sz w:val="20"/>
    </w:rPr>
  </w:style>
  <w:style w:type="character" w:customStyle="1" w:styleId="PlainTextChar">
    <w:name w:val="Plain Text Char"/>
    <w:basedOn w:val="DefaultParagraphFont"/>
    <w:link w:val="PlainText"/>
    <w:rsid w:val="00886FA4"/>
    <w:rPr>
      <w:rFonts w:ascii="Courier New" w:eastAsia="Times New Roman" w:hAnsi="Courier New" w:cs="Times New Roman"/>
      <w:sz w:val="20"/>
      <w:szCs w:val="20"/>
      <w:lang w:eastAsia="en-US"/>
    </w:rPr>
  </w:style>
  <w:style w:type="character" w:customStyle="1" w:styleId="MenuOption">
    <w:name w:val="Menu Option"/>
    <w:basedOn w:val="DefaultParagraphFont"/>
    <w:rsid w:val="00886FA4"/>
    <w:rPr>
      <w:b/>
      <w:smallCaps/>
    </w:rPr>
  </w:style>
  <w:style w:type="paragraph" w:customStyle="1" w:styleId="TableListNumber">
    <w:name w:val="Table List Number"/>
    <w:basedOn w:val="ListNumber"/>
    <w:rsid w:val="00886FA4"/>
    <w:pPr>
      <w:numPr>
        <w:numId w:val="0"/>
      </w:numPr>
    </w:pPr>
  </w:style>
  <w:style w:type="paragraph" w:styleId="TOC4">
    <w:name w:val="toc 4"/>
    <w:basedOn w:val="TOCBase"/>
    <w:next w:val="Normal"/>
    <w:semiHidden/>
    <w:rsid w:val="00886FA4"/>
    <w:pPr>
      <w:tabs>
        <w:tab w:val="right" w:leader="dot" w:pos="9071"/>
      </w:tabs>
      <w:ind w:left="1701"/>
    </w:pPr>
  </w:style>
  <w:style w:type="paragraph" w:customStyle="1" w:styleId="ListAlpha">
    <w:name w:val="List Alpha"/>
    <w:basedOn w:val="List"/>
    <w:rsid w:val="00886FA4"/>
    <w:pPr>
      <w:numPr>
        <w:numId w:val="8"/>
      </w:numPr>
    </w:pPr>
  </w:style>
  <w:style w:type="paragraph" w:customStyle="1" w:styleId="ListAlpha2">
    <w:name w:val="List Alpha 2"/>
    <w:basedOn w:val="List2"/>
    <w:rsid w:val="00886FA4"/>
    <w:pPr>
      <w:numPr>
        <w:numId w:val="7"/>
      </w:numPr>
    </w:pPr>
  </w:style>
  <w:style w:type="paragraph" w:styleId="List2">
    <w:name w:val="List 2"/>
    <w:basedOn w:val="BodyText"/>
    <w:rsid w:val="00886FA4"/>
    <w:pPr>
      <w:tabs>
        <w:tab w:val="left" w:pos="680"/>
      </w:tabs>
      <w:spacing w:before="60" w:after="60"/>
      <w:ind w:left="680" w:hanging="340"/>
    </w:pPr>
  </w:style>
  <w:style w:type="paragraph" w:styleId="List3">
    <w:name w:val="List 3"/>
    <w:basedOn w:val="BodyText"/>
    <w:rsid w:val="00886FA4"/>
    <w:pPr>
      <w:tabs>
        <w:tab w:val="left" w:pos="1021"/>
      </w:tabs>
      <w:spacing w:before="60" w:after="60"/>
      <w:ind w:left="1020" w:hanging="340"/>
    </w:pPr>
  </w:style>
  <w:style w:type="paragraph" w:styleId="List4">
    <w:name w:val="List 4"/>
    <w:basedOn w:val="BodyText"/>
    <w:rsid w:val="00886FA4"/>
    <w:pPr>
      <w:tabs>
        <w:tab w:val="left" w:pos="1361"/>
      </w:tabs>
      <w:spacing w:before="60" w:after="60"/>
      <w:ind w:left="1361" w:hanging="340"/>
    </w:pPr>
  </w:style>
  <w:style w:type="paragraph" w:styleId="List5">
    <w:name w:val="List 5"/>
    <w:basedOn w:val="BodyText"/>
    <w:rsid w:val="00886FA4"/>
    <w:pPr>
      <w:tabs>
        <w:tab w:val="left" w:pos="1701"/>
      </w:tabs>
      <w:spacing w:before="60" w:after="60"/>
      <w:ind w:left="1701" w:hanging="340"/>
    </w:pPr>
  </w:style>
  <w:style w:type="paragraph" w:styleId="ListBullet3">
    <w:name w:val="List Bullet 3"/>
    <w:basedOn w:val="List3"/>
    <w:rsid w:val="00886FA4"/>
    <w:pPr>
      <w:numPr>
        <w:numId w:val="13"/>
      </w:numPr>
      <w:tabs>
        <w:tab w:val="clear" w:pos="1021"/>
      </w:tabs>
      <w:ind w:left="1037" w:hanging="357"/>
    </w:pPr>
  </w:style>
  <w:style w:type="paragraph" w:styleId="ListBullet4">
    <w:name w:val="List Bullet 4"/>
    <w:basedOn w:val="List4"/>
    <w:rsid w:val="00886FA4"/>
    <w:pPr>
      <w:numPr>
        <w:numId w:val="2"/>
      </w:numPr>
      <w:tabs>
        <w:tab w:val="clear" w:pos="1361"/>
      </w:tabs>
    </w:pPr>
  </w:style>
  <w:style w:type="paragraph" w:styleId="ListBullet5">
    <w:name w:val="List Bullet 5"/>
    <w:basedOn w:val="List5"/>
    <w:rsid w:val="00886FA4"/>
    <w:pPr>
      <w:numPr>
        <w:numId w:val="3"/>
      </w:numPr>
    </w:pPr>
  </w:style>
  <w:style w:type="paragraph" w:styleId="ListContinue2">
    <w:name w:val="List Continue 2"/>
    <w:basedOn w:val="List2"/>
    <w:rsid w:val="00886FA4"/>
    <w:pPr>
      <w:ind w:firstLine="0"/>
    </w:pPr>
  </w:style>
  <w:style w:type="paragraph" w:styleId="ListContinue3">
    <w:name w:val="List Continue 3"/>
    <w:basedOn w:val="List3"/>
    <w:rsid w:val="00886FA4"/>
    <w:pPr>
      <w:ind w:left="1021" w:firstLine="0"/>
    </w:pPr>
  </w:style>
  <w:style w:type="paragraph" w:styleId="ListContinue4">
    <w:name w:val="List Continue 4"/>
    <w:basedOn w:val="List4"/>
    <w:rsid w:val="00886FA4"/>
    <w:pPr>
      <w:ind w:firstLine="0"/>
    </w:pPr>
  </w:style>
  <w:style w:type="paragraph" w:styleId="ListContinue5">
    <w:name w:val="List Continue 5"/>
    <w:basedOn w:val="List5"/>
    <w:rsid w:val="00886FA4"/>
    <w:pPr>
      <w:ind w:firstLine="0"/>
    </w:pPr>
  </w:style>
  <w:style w:type="paragraph" w:styleId="ListNumber3">
    <w:name w:val="List Number 3"/>
    <w:basedOn w:val="List3"/>
    <w:rsid w:val="00886FA4"/>
    <w:pPr>
      <w:numPr>
        <w:numId w:val="4"/>
      </w:numPr>
    </w:pPr>
  </w:style>
  <w:style w:type="paragraph" w:styleId="ListNumber4">
    <w:name w:val="List Number 4"/>
    <w:basedOn w:val="List4"/>
    <w:rsid w:val="00886FA4"/>
    <w:pPr>
      <w:numPr>
        <w:numId w:val="5"/>
      </w:numPr>
    </w:pPr>
  </w:style>
  <w:style w:type="paragraph" w:styleId="ListNumber5">
    <w:name w:val="List Number 5"/>
    <w:basedOn w:val="List5"/>
    <w:rsid w:val="00886FA4"/>
    <w:pPr>
      <w:numPr>
        <w:numId w:val="6"/>
      </w:numPr>
    </w:pPr>
  </w:style>
  <w:style w:type="paragraph" w:styleId="BlockText">
    <w:name w:val="Block Text"/>
    <w:basedOn w:val="Normal"/>
    <w:rsid w:val="00886FA4"/>
    <w:pPr>
      <w:spacing w:after="120"/>
      <w:ind w:left="1440" w:right="1440"/>
    </w:pPr>
  </w:style>
  <w:style w:type="character" w:customStyle="1" w:styleId="Subscript">
    <w:name w:val="Subscript"/>
    <w:basedOn w:val="DefaultParagraphFont"/>
    <w:rsid w:val="00886FA4"/>
    <w:rPr>
      <w:sz w:val="16"/>
      <w:vertAlign w:val="subscript"/>
    </w:rPr>
  </w:style>
  <w:style w:type="character" w:customStyle="1" w:styleId="Superscript">
    <w:name w:val="Superscript"/>
    <w:basedOn w:val="DefaultParagraphFont"/>
    <w:rsid w:val="00886FA4"/>
    <w:rPr>
      <w:sz w:val="16"/>
      <w:vertAlign w:val="superscript"/>
    </w:rPr>
  </w:style>
  <w:style w:type="character" w:customStyle="1" w:styleId="Symbols">
    <w:name w:val="Symbols"/>
    <w:basedOn w:val="DefaultParagraphFont"/>
    <w:rsid w:val="00886FA4"/>
    <w:rPr>
      <w:rFonts w:ascii="Symbol" w:hAnsi="Symbol"/>
    </w:rPr>
  </w:style>
  <w:style w:type="character" w:customStyle="1" w:styleId="MenuOptions">
    <w:name w:val="Menu Options"/>
    <w:basedOn w:val="DefaultParagraphFont"/>
    <w:rsid w:val="00886FA4"/>
    <w:rPr>
      <w:rFonts w:ascii="Arial Narrow" w:hAnsi="Arial Narrow"/>
      <w:smallCaps/>
    </w:rPr>
  </w:style>
  <w:style w:type="character" w:customStyle="1" w:styleId="Buttons">
    <w:name w:val="Buttons"/>
    <w:basedOn w:val="DefaultParagraphFont"/>
    <w:rsid w:val="00886FA4"/>
    <w:rPr>
      <w:b/>
    </w:rPr>
  </w:style>
  <w:style w:type="character" w:customStyle="1" w:styleId="Underlined">
    <w:name w:val="Underlined"/>
    <w:basedOn w:val="DefaultParagraphFont"/>
    <w:rsid w:val="00886FA4"/>
    <w:rPr>
      <w:u w:val="single"/>
    </w:rPr>
  </w:style>
  <w:style w:type="paragraph" w:customStyle="1" w:styleId="TableBodyTextRight">
    <w:name w:val="Table Body Text Right"/>
    <w:basedOn w:val="TableBodyText"/>
    <w:rsid w:val="00886FA4"/>
    <w:pPr>
      <w:widowControl w:val="0"/>
      <w:autoSpaceDE w:val="0"/>
      <w:autoSpaceDN w:val="0"/>
      <w:adjustRightInd w:val="0"/>
      <w:jc w:val="right"/>
    </w:pPr>
    <w:rPr>
      <w:rFonts w:cs="Arial"/>
      <w:szCs w:val="18"/>
    </w:rPr>
  </w:style>
  <w:style w:type="paragraph" w:customStyle="1" w:styleId="CopyrightText">
    <w:name w:val="Copyright Text"/>
    <w:basedOn w:val="BodyText"/>
    <w:rsid w:val="00886FA4"/>
    <w:rPr>
      <w:sz w:val="18"/>
    </w:rPr>
  </w:style>
  <w:style w:type="paragraph" w:customStyle="1" w:styleId="BodySmallRight">
    <w:name w:val="Body Small Right"/>
    <w:basedOn w:val="BodyTextRight"/>
    <w:rsid w:val="00886FA4"/>
    <w:rPr>
      <w:sz w:val="18"/>
      <w:szCs w:val="18"/>
    </w:rPr>
  </w:style>
  <w:style w:type="paragraph" w:customStyle="1" w:styleId="MarginEdition">
    <w:name w:val="Margin Edition"/>
    <w:basedOn w:val="MarginNote"/>
    <w:rsid w:val="00886FA4"/>
    <w:pPr>
      <w:spacing w:before="0" w:after="0"/>
    </w:pPr>
    <w:rPr>
      <w:rFonts w:ascii="Times New Roman" w:hAnsi="Times New Roman"/>
      <w:color w:val="999999"/>
    </w:rPr>
  </w:style>
  <w:style w:type="paragraph" w:customStyle="1" w:styleId="Spacer">
    <w:name w:val="Spacer"/>
    <w:basedOn w:val="Normal"/>
    <w:rsid w:val="00886FA4"/>
    <w:rPr>
      <w:sz w:val="2"/>
      <w:szCs w:val="2"/>
    </w:rPr>
  </w:style>
  <w:style w:type="character" w:customStyle="1" w:styleId="Small">
    <w:name w:val="Small"/>
    <w:basedOn w:val="DefaultParagraphFont"/>
    <w:rsid w:val="00886FA4"/>
    <w:rPr>
      <w:sz w:val="16"/>
    </w:rPr>
  </w:style>
  <w:style w:type="paragraph" w:customStyle="1" w:styleId="WideTable">
    <w:name w:val="Wide Table"/>
    <w:basedOn w:val="Normal"/>
    <w:rsid w:val="00886FA4"/>
    <w:pPr>
      <w:ind w:left="-1418"/>
    </w:pPr>
    <w:rPr>
      <w:sz w:val="2"/>
      <w:szCs w:val="2"/>
    </w:rPr>
  </w:style>
  <w:style w:type="character" w:styleId="PageNumber">
    <w:name w:val="page number"/>
    <w:basedOn w:val="DefaultParagraphFont"/>
    <w:rsid w:val="00886FA4"/>
  </w:style>
  <w:style w:type="paragraph" w:styleId="Quote">
    <w:name w:val="Quote"/>
    <w:basedOn w:val="Heading1"/>
    <w:link w:val="QuoteChar"/>
    <w:qFormat/>
    <w:rsid w:val="00886FA4"/>
    <w:rPr>
      <w:b w:val="0"/>
      <w:sz w:val="72"/>
      <w:szCs w:val="72"/>
      <w:lang w:val="en-NZ"/>
    </w:rPr>
  </w:style>
  <w:style w:type="character" w:customStyle="1" w:styleId="QuoteChar">
    <w:name w:val="Quote Char"/>
    <w:basedOn w:val="DefaultParagraphFont"/>
    <w:link w:val="Quote"/>
    <w:rsid w:val="00886F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FA4"/>
    <w:pPr>
      <w:pageBreakBefore/>
    </w:pPr>
  </w:style>
  <w:style w:type="paragraph" w:customStyle="1" w:styleId="Border">
    <w:name w:val="Border"/>
    <w:basedOn w:val="Normal"/>
    <w:qFormat/>
    <w:rsid w:val="00886F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FA4"/>
    <w:rPr>
      <w:b/>
      <w:bCs/>
      <w:i/>
      <w:iCs/>
      <w:color w:val="auto"/>
    </w:rPr>
  </w:style>
  <w:style w:type="paragraph" w:styleId="IntenseQuote">
    <w:name w:val="Intense Quote"/>
    <w:basedOn w:val="Normal"/>
    <w:next w:val="Normal"/>
    <w:link w:val="IntenseQuoteChar"/>
    <w:uiPriority w:val="30"/>
    <w:qFormat/>
    <w:rsid w:val="00886F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F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6FA4"/>
    <w:rPr>
      <w:smallCaps/>
      <w:color w:val="auto"/>
      <w:u w:val="single"/>
    </w:rPr>
  </w:style>
  <w:style w:type="character" w:styleId="IntenseReference">
    <w:name w:val="Intense Reference"/>
    <w:basedOn w:val="DefaultParagraphFont"/>
    <w:uiPriority w:val="32"/>
    <w:qFormat/>
    <w:rsid w:val="00886FA4"/>
    <w:rPr>
      <w:b/>
      <w:bCs/>
      <w:smallCaps/>
      <w:color w:val="auto"/>
      <w:spacing w:val="5"/>
      <w:u w:val="single"/>
    </w:rPr>
  </w:style>
  <w:style w:type="paragraph" w:customStyle="1" w:styleId="2ColumnHeading">
    <w:name w:val="2Column Heading"/>
    <w:basedOn w:val="BodyText"/>
    <w:qFormat/>
    <w:rsid w:val="00886FA4"/>
    <w:pPr>
      <w:spacing w:after="60"/>
      <w:ind w:left="-2268"/>
    </w:pPr>
    <w:rPr>
      <w:b/>
    </w:rPr>
  </w:style>
  <w:style w:type="paragraph" w:customStyle="1" w:styleId="Heading1TOC">
    <w:name w:val="Heading1 TOC"/>
    <w:basedOn w:val="Normal"/>
    <w:qFormat/>
    <w:rsid w:val="00886FA4"/>
    <w:pPr>
      <w:spacing w:before="240" w:after="120"/>
    </w:pPr>
    <w:rPr>
      <w:rFonts w:ascii="Times New Roman" w:hAnsi="Times New Roman"/>
      <w:b/>
      <w:sz w:val="32"/>
    </w:rPr>
  </w:style>
  <w:style w:type="paragraph" w:customStyle="1" w:styleId="Heading2TOC">
    <w:name w:val="Heading2 TOC"/>
    <w:basedOn w:val="Normal"/>
    <w:qFormat/>
    <w:rsid w:val="00886FA4"/>
    <w:pPr>
      <w:spacing w:before="240" w:after="60"/>
    </w:pPr>
    <w:rPr>
      <w:rFonts w:ascii="Times New Roman" w:hAnsi="Times New Roman"/>
      <w:b/>
      <w:sz w:val="28"/>
    </w:rPr>
  </w:style>
  <w:style w:type="character" w:customStyle="1" w:styleId="Underline">
    <w:name w:val="Underline"/>
    <w:basedOn w:val="DefaultParagraphFont"/>
    <w:qFormat/>
    <w:rsid w:val="00886FA4"/>
    <w:rPr>
      <w:u w:val="single"/>
    </w:rPr>
  </w:style>
  <w:style w:type="character" w:customStyle="1" w:styleId="BoldandItalics">
    <w:name w:val="Bold and Italics"/>
    <w:qFormat/>
    <w:rsid w:val="00886FA4"/>
    <w:rPr>
      <w:b/>
      <w:i/>
      <w:u w:val="none"/>
    </w:rPr>
  </w:style>
  <w:style w:type="paragraph" w:styleId="BalloonText">
    <w:name w:val="Balloon Text"/>
    <w:basedOn w:val="Normal"/>
    <w:link w:val="BalloonTextChar"/>
    <w:rsid w:val="00886FA4"/>
    <w:rPr>
      <w:rFonts w:ascii="Tahoma" w:hAnsi="Tahoma" w:cs="Tahoma"/>
      <w:sz w:val="16"/>
      <w:szCs w:val="16"/>
    </w:rPr>
  </w:style>
  <w:style w:type="character" w:customStyle="1" w:styleId="BalloonTextChar">
    <w:name w:val="Balloon Text Char"/>
    <w:basedOn w:val="DefaultParagraphFont"/>
    <w:link w:val="BalloonText"/>
    <w:rsid w:val="00886F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6F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6F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6FA4"/>
    <w:rPr>
      <w:b/>
      <w:color w:val="660033"/>
      <w:spacing w:val="0"/>
    </w:rPr>
  </w:style>
  <w:style w:type="paragraph" w:customStyle="1" w:styleId="Nameditemlist">
    <w:name w:val="Named item list"/>
    <w:basedOn w:val="BodyText"/>
    <w:qFormat/>
    <w:rsid w:val="00886FA4"/>
    <w:pPr>
      <w:tabs>
        <w:tab w:val="left" w:pos="2835"/>
      </w:tabs>
      <w:ind w:left="2835" w:hanging="2835"/>
    </w:pPr>
  </w:style>
  <w:style w:type="paragraph" w:customStyle="1" w:styleId="BodyTextnopadding">
    <w:name w:val="Body Text no padding"/>
    <w:basedOn w:val="BodyText"/>
    <w:qFormat/>
    <w:rsid w:val="00886FA4"/>
    <w:pPr>
      <w:spacing w:before="0" w:after="0"/>
    </w:pPr>
  </w:style>
  <w:style w:type="paragraph" w:customStyle="1" w:styleId="BodyTextBold">
    <w:name w:val="Body Text Bold"/>
    <w:basedOn w:val="BodyText"/>
    <w:qFormat/>
    <w:rsid w:val="00886FA4"/>
    <w:rPr>
      <w:b/>
    </w:rPr>
  </w:style>
  <w:style w:type="character" w:styleId="Hyperlink">
    <w:name w:val="Hyperlink"/>
    <w:basedOn w:val="DefaultParagraphFont"/>
    <w:uiPriority w:val="99"/>
    <w:unhideWhenUsed/>
    <w:rsid w:val="001F15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4688</Characters>
  <Application>Microsoft Office Word</Application>
  <DocSecurity>0</DocSecurity>
  <Lines>260</Lines>
  <Paragraphs>144</Paragraphs>
  <ScaleCrop>false</ScaleCrop>
  <Company>Author-it Software Corporation Ltd.</Company>
  <LinksUpToDate>false</LinksUpToDate>
  <CharactersWithSpaces>5365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MARL003 Demonstrate basic knowledge of marine auxiliary boilers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2020-10-27T01:53:00Z</dcterms:created>
  <dcterms:modified xsi:type="dcterms:W3CDTF">2020-10-27T01:53:00Z</dcterms:modified>
</cp:coreProperties>
</file>