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64E1" w:rsidP="005A64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MARL002 Apply basic principles of naval architecture</w:t>
      </w:r>
      <w:r>
        <w:fldChar w:fldCharType="end"/>
      </w:r>
    </w:p>
    <w:p w:rsidR="005A64E1" w:rsidP="005A64E1">
      <w:pPr>
        <w:pStyle w:val="Version"/>
        <w:sectPr w:rsidSect="004C0C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0CE9" w:rsidP="004C0CE9">
      <w:pPr>
        <w:pStyle w:val="SuperHeading"/>
      </w:pPr>
      <w:r w:rsidRPr="004C0CE9">
        <w:t>MARL002 Apply basic principles of naval architecture</w:t>
      </w:r>
    </w:p>
    <w:p w:rsidR="00000000" w:rsidRPr="004C0CE9" w:rsidP="004C0CE9">
      <w:pPr>
        <w:pStyle w:val="Heading1"/>
      </w:pPr>
      <w:bookmarkStart w:id="1" w:name="O_596689"/>
      <w:bookmarkEnd w:id="1"/>
      <w:r w:rsidRPr="004C0CE9">
        <w:t>Modification History</w:t>
      </w:r>
    </w:p>
    <w:p w:rsidR="00000000" w:rsidRPr="004C0CE9" w:rsidP="005A64E1">
      <w:pPr>
        <w:pStyle w:val="BodyText"/>
      </w:pPr>
      <w:r w:rsidRPr="004C0CE9">
        <w:t>Release 1. New unit of competency.</w:t>
      </w:r>
    </w:p>
    <w:p w:rsidR="00000000" w:rsidRPr="004C0CE9" w:rsidP="004C0CE9">
      <w:pPr>
        <w:pStyle w:val="Heading1"/>
      </w:pPr>
      <w:bookmarkStart w:id="2" w:name="O_596690"/>
      <w:bookmarkEnd w:id="2"/>
      <w:r w:rsidRPr="004C0CE9">
        <w:t>Application</w:t>
      </w:r>
    </w:p>
    <w:p w:rsidR="00000000" w:rsidRPr="004C0CE9" w:rsidP="005A64E1">
      <w:pPr>
        <w:pStyle w:val="BodyText"/>
      </w:pPr>
      <w:r w:rsidRPr="004C0CE9">
        <w:t>This unit involves the skills and knowledge required to perform basic calculations related to the seaworthiness of commercial vessels, including those dealing with</w:t>
      </w:r>
      <w:r w:rsidRPr="004C0CE9">
        <w:t xml:space="preserve"> watertight integrity and vessel stability.</w:t>
      </w:r>
    </w:p>
    <w:p w:rsidR="00000000" w:rsidRPr="004C0CE9" w:rsidP="005A64E1">
      <w:pPr>
        <w:pStyle w:val="BodyText"/>
      </w:pPr>
      <w:r w:rsidRPr="004C0CE9">
        <w:t>This unit applies to people working in the maritime industry as a Marine Engineering Watchkeeper on commercial vessels greater than 750 kW or as an Engineer Class 3 Near Coastal.</w:t>
      </w:r>
    </w:p>
    <w:p w:rsidR="00000000" w:rsidRPr="004C0CE9" w:rsidP="005A64E1">
      <w:pPr>
        <w:pStyle w:val="BodyText"/>
      </w:pPr>
      <w:r w:rsidRPr="004C0CE9">
        <w:t>This unit has links to legislat</w:t>
      </w:r>
      <w:r w:rsidRPr="004C0CE9">
        <w:t>ive and certification requirements.</w:t>
      </w:r>
    </w:p>
    <w:p w:rsidR="00000000" w:rsidRPr="004C0CE9" w:rsidP="004C0CE9">
      <w:pPr>
        <w:pStyle w:val="Heading1"/>
      </w:pPr>
      <w:bookmarkStart w:id="3" w:name="O_596691"/>
      <w:bookmarkEnd w:id="3"/>
      <w:r w:rsidRPr="004C0CE9">
        <w:t>Pre-requisite Unit</w:t>
      </w:r>
    </w:p>
    <w:p w:rsidR="00000000" w:rsidRPr="004C0CE9" w:rsidP="005A64E1">
      <w:pPr>
        <w:pStyle w:val="BodyText"/>
      </w:pPr>
      <w:r w:rsidRPr="004C0CE9">
        <w:t>Not applicable.</w:t>
      </w:r>
    </w:p>
    <w:p w:rsidR="00000000" w:rsidRPr="004C0CE9" w:rsidP="004C0CE9">
      <w:pPr>
        <w:pStyle w:val="Heading1"/>
      </w:pPr>
      <w:bookmarkStart w:id="4" w:name="O_596692"/>
      <w:bookmarkEnd w:id="4"/>
      <w:r w:rsidRPr="004C0CE9">
        <w:t>Competency Field</w:t>
      </w:r>
    </w:p>
    <w:p w:rsidR="00000000" w:rsidRPr="004C0CE9" w:rsidP="005A64E1">
      <w:pPr>
        <w:pStyle w:val="BodyText"/>
      </w:pPr>
      <w:r w:rsidRPr="004C0CE9">
        <w:t>L - Marine Engineering</w:t>
      </w:r>
    </w:p>
    <w:p w:rsidR="00000000" w:rsidRPr="004C0CE9" w:rsidP="004C0CE9">
      <w:pPr>
        <w:pStyle w:val="Heading1"/>
      </w:pPr>
      <w:bookmarkStart w:id="5" w:name="O_596693"/>
      <w:bookmarkEnd w:id="5"/>
      <w:r w:rsidRPr="004C0CE9">
        <w:t>Unit Sector</w:t>
      </w:r>
    </w:p>
    <w:p w:rsidR="00000000" w:rsidRPr="004C0CE9" w:rsidP="005A64E1">
      <w:pPr>
        <w:pStyle w:val="BodyText"/>
      </w:pPr>
      <w:r w:rsidRPr="004C0CE9">
        <w:t>Not applicable.</w:t>
      </w:r>
    </w:p>
    <w:p w:rsidR="00000000" w:rsidRPr="004C0CE9" w:rsidP="004C0CE9">
      <w:pPr>
        <w:pStyle w:val="Heading1"/>
      </w:pPr>
      <w:bookmarkStart w:id="6" w:name="O_596694"/>
      <w:bookmarkEnd w:id="6"/>
      <w:r w:rsidRPr="004C0CE9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5A64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Elements descri</w:t>
            </w:r>
            <w:r w:rsidRPr="004C0CE9">
              <w:t>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Performance criteria describe the performance needed to demonstrate achievement of the element.</w:t>
            </w:r>
          </w:p>
        </w:tc>
      </w:tr>
      <w:tr w:rsidTr="005A64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CE9" w:rsidP="004C0CE9">
            <w:pPr>
              <w:pStyle w:val="BodyText"/>
            </w:pPr>
            <w:r w:rsidRPr="004C0CE9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rPr>
                <w:rStyle w:val="SpecialBold"/>
              </w:rPr>
              <w:t>Calculate shipboard areas and volumes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Basic principal structural members of ship and proper names of various parts are detailed</w:t>
            </w:r>
          </w:p>
        </w:tc>
      </w:tr>
      <w:tr w:rsidTr="005A64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Simpson’s Rules are applied to calculate shipboard areas</w:t>
            </w:r>
          </w:p>
        </w:tc>
      </w:tr>
      <w:tr w:rsidTr="005A64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Simpson’s Rules are applied to calculate shipboard volumes</w:t>
            </w:r>
          </w:p>
        </w:tc>
      </w:tr>
      <w:tr w:rsidTr="005A64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CE9" w:rsidP="004C0CE9">
            <w:pPr>
              <w:pStyle w:val="BodyText"/>
            </w:pPr>
            <w:r w:rsidRPr="004C0CE9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rPr>
                <w:rStyle w:val="SpecialBold"/>
              </w:rPr>
              <w:t>Calculate vessel displacement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Tonnes per centimetre (TPC) values and Simpson’s Rules are applied to calculate vessel displacement</w:t>
            </w:r>
          </w:p>
        </w:tc>
      </w:tr>
      <w:tr w:rsidTr="005A64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Calculations are performed using TPC values and Simpson’s Rules to solve problems related to vessel displacement</w:t>
            </w:r>
          </w:p>
        </w:tc>
      </w:tr>
      <w:tr w:rsidTr="005A64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CE9" w:rsidP="004C0CE9">
            <w:pPr>
              <w:pStyle w:val="BodyText"/>
            </w:pPr>
            <w:r w:rsidRPr="004C0CE9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rPr>
                <w:rStyle w:val="SpecialBold"/>
              </w:rPr>
              <w:t>Calculate ship dimensions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Ship form dimensions are calculated using coefficients for areas</w:t>
            </w:r>
          </w:p>
        </w:tc>
      </w:tr>
      <w:tr w:rsidTr="005A64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Ship form coefficients for underwater volumes are calculated</w:t>
            </w:r>
          </w:p>
        </w:tc>
      </w:tr>
      <w:tr w:rsidTr="005A64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Influence of common hull modifications on hull form coefficients is explained</w:t>
            </w:r>
          </w:p>
        </w:tc>
      </w:tr>
      <w:tr w:rsidTr="005A64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Calculations are performed to solve problems of ship form coefficients following change to vessel length resulting from mid body insertion or removal</w:t>
            </w:r>
          </w:p>
        </w:tc>
      </w:tr>
      <w:tr w:rsidTr="005A64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CE9" w:rsidP="004C0CE9">
            <w:pPr>
              <w:pStyle w:val="BodyText"/>
            </w:pPr>
            <w:r w:rsidRPr="004C0CE9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rPr>
                <w:rStyle w:val="SpecialBold"/>
              </w:rPr>
              <w:t>Explain position of centre of gravity of vessel in relation to its keel and midships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Centre of grav</w:t>
            </w:r>
            <w:r w:rsidRPr="004C0CE9">
              <w:t>ity calculations for a vessel are performed</w:t>
            </w:r>
          </w:p>
        </w:tc>
      </w:tr>
      <w:tr w:rsidTr="005A64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How centre of gravity changes with redistribution, addition and/or removal of mass is explained</w:t>
            </w:r>
          </w:p>
        </w:tc>
      </w:tr>
      <w:tr w:rsidTr="005A64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How addition, removal or transfer of mass may cause overturning moments is identified</w:t>
            </w:r>
          </w:p>
        </w:tc>
      </w:tr>
      <w:tr w:rsidTr="005A64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Problems are solved involving addition, removal and vertical movement of mass by performing centre of gravity calculations for typical vessel loaded conditions</w:t>
            </w:r>
          </w:p>
        </w:tc>
      </w:tr>
      <w:tr w:rsidTr="005A64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Calculations are performed using results from inclining experiments to obtain initial sta</w:t>
            </w:r>
            <w:r w:rsidRPr="004C0CE9">
              <w:t>bility characteristics</w:t>
            </w:r>
          </w:p>
        </w:tc>
      </w:tr>
      <w:tr w:rsidTr="005A64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CE9" w:rsidP="004C0CE9">
            <w:pPr>
              <w:pStyle w:val="BodyText"/>
            </w:pPr>
            <w:r w:rsidRPr="004C0CE9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rPr>
                <w:rStyle w:val="SpecialBold"/>
              </w:rPr>
              <w:t>Explain effects of water density and flooding of mid-length compartment on vessel draft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Relationship between changes in underwater volume and changes in water density is outlined</w:t>
            </w:r>
          </w:p>
        </w:tc>
      </w:tr>
      <w:tr w:rsidTr="005A64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Fresh water allowance of a vessel is determined</w:t>
            </w:r>
          </w:p>
        </w:tc>
      </w:tr>
      <w:tr w:rsidTr="005A64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Change in mean draft for vessel movement between waters of different densities is calculated</w:t>
            </w:r>
          </w:p>
        </w:tc>
      </w:tr>
      <w:tr w:rsidTr="005A64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Volume lost-volume gained relationship for flooded compartments is explained</w:t>
            </w:r>
          </w:p>
        </w:tc>
      </w:tr>
      <w:tr w:rsidTr="005A64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Calculations are performed to solve problems of mid-length compartment flooding in simple box-shaped hull forms</w:t>
            </w:r>
          </w:p>
        </w:tc>
      </w:tr>
      <w:tr w:rsidTr="005A64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Fundamental actions to be taken in the event of partial loss of intact buoyancy are identified</w:t>
            </w:r>
          </w:p>
        </w:tc>
      </w:tr>
      <w:tr w:rsidTr="005A64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CE9" w:rsidP="004C0CE9">
            <w:pPr>
              <w:pStyle w:val="BodyText"/>
            </w:pPr>
            <w:r w:rsidRPr="004C0CE9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rPr>
                <w:rStyle w:val="SpecialBold"/>
              </w:rPr>
              <w:t>Perform calculations related to propell</w:t>
            </w:r>
            <w:r w:rsidRPr="004C0CE9">
              <w:rPr>
                <w:rStyle w:val="SpecialBold"/>
              </w:rPr>
              <w:t>ers and vessel speed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Relationship between propellers and vessel speed is explained</w:t>
            </w:r>
          </w:p>
        </w:tc>
      </w:tr>
      <w:tr w:rsidTr="005A64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 xml:space="preserve">Problems related to vessel speed and propellers are solved by calculating theoretical, apparent and true speeds, apparent </w:t>
            </w:r>
            <w:r w:rsidRPr="004C0CE9">
              <w:t xml:space="preserve">and true slips, wake speed and Taylor </w:t>
            </w:r>
            <w:r w:rsidRPr="004C0CE9">
              <w:t>wake fraction</w:t>
            </w:r>
          </w:p>
        </w:tc>
      </w:tr>
      <w:tr w:rsidTr="005A64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Impact of fouling on vessel hull and propeller is outlined</w:t>
            </w:r>
          </w:p>
        </w:tc>
      </w:tr>
      <w:tr w:rsidTr="005A64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CE9" w:rsidP="004C0CE9">
            <w:pPr>
              <w:pStyle w:val="BodyText"/>
            </w:pPr>
            <w:r w:rsidRPr="004C0CE9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rPr>
                <w:rStyle w:val="SpecialBold"/>
              </w:rPr>
              <w:t>Calculate voyage and daily fuel consumptions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Fuel consumption is determined by applying admiralty coefficient for fuel consumption taking account of ship speed, shaft po</w:t>
            </w:r>
            <w:r w:rsidRPr="004C0CE9">
              <w:t>wer and displacement</w:t>
            </w:r>
          </w:p>
        </w:tc>
      </w:tr>
      <w:tr w:rsidTr="005A64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Calculations are performed to solve problems of vessel fuel consumption taking account of ship speed, shaft power and displacement</w:t>
            </w:r>
          </w:p>
        </w:tc>
      </w:tr>
      <w:tr w:rsidTr="005A64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Impact of fouling on vessel fuel consumption is explained</w:t>
            </w:r>
          </w:p>
        </w:tc>
      </w:tr>
      <w:tr w:rsidTr="005A64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CE9" w:rsidP="004C0CE9">
            <w:pPr>
              <w:pStyle w:val="BodyText"/>
            </w:pPr>
            <w:r w:rsidRPr="004C0CE9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rPr>
                <w:rStyle w:val="SpecialBold"/>
              </w:rPr>
              <w:t>Calculate pressures and loads on surfaces due to hydrostatics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Standard formula for hydrostatic pressure is defined</w:t>
            </w:r>
          </w:p>
        </w:tc>
      </w:tr>
      <w:tr w:rsidTr="005A64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Hydrostatic load on vertical and horizontal surfaces is calculated</w:t>
            </w:r>
          </w:p>
        </w:tc>
      </w:tr>
      <w:tr w:rsidTr="005A64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CE9" w:rsidP="004C0CE9">
            <w:pPr>
              <w:pStyle w:val="BodyText"/>
            </w:pPr>
            <w:r w:rsidRPr="004C0CE9">
              <w:t>Method of calculating loads on typical tank structures for different filling rates is explained</w:t>
            </w:r>
          </w:p>
        </w:tc>
      </w:tr>
    </w:tbl>
    <w:p w:rsidR="00000000" w:rsidRPr="004C0CE9" w:rsidP="004C0CE9">
      <w:pPr>
        <w:pStyle w:val="BodyText"/>
      </w:pPr>
    </w:p>
    <w:p w:rsidR="00000000" w:rsidRPr="004C0CE9" w:rsidP="004C0CE9">
      <w:pPr>
        <w:pStyle w:val="AllowPageBreak"/>
      </w:pPr>
    </w:p>
    <w:p w:rsidR="00000000" w:rsidRPr="004C0CE9" w:rsidP="004C0CE9">
      <w:pPr>
        <w:pStyle w:val="Heading1"/>
      </w:pPr>
      <w:bookmarkStart w:id="7" w:name="O_596695"/>
      <w:bookmarkEnd w:id="7"/>
      <w:r w:rsidRPr="004C0CE9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C0C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This section describes those language, literacy, numeracy and employment skills that are essential to performance.</w:t>
            </w:r>
          </w:p>
        </w:tc>
      </w:tr>
      <w:tr w:rsidTr="004C0C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CE9" w:rsidP="004C0CE9">
            <w:pPr>
              <w:pStyle w:val="BodyText"/>
            </w:pPr>
            <w:r w:rsidRPr="004C0CE9">
              <w:t>Foundation skills essential to performance are explicit in the performance criteria of this unit of competency.</w:t>
            </w:r>
          </w:p>
        </w:tc>
      </w:tr>
    </w:tbl>
    <w:p w:rsidR="00000000" w:rsidRPr="004C0CE9" w:rsidP="004C0CE9">
      <w:pPr>
        <w:pStyle w:val="BodyText"/>
      </w:pPr>
    </w:p>
    <w:p w:rsidR="00000000" w:rsidRPr="004C0CE9" w:rsidP="004C0CE9">
      <w:pPr>
        <w:pStyle w:val="AllowPageBreak"/>
      </w:pPr>
    </w:p>
    <w:p w:rsidR="00000000" w:rsidRPr="004C0CE9" w:rsidP="004C0CE9">
      <w:pPr>
        <w:pStyle w:val="Heading1"/>
      </w:pPr>
      <w:bookmarkStart w:id="8" w:name="O_596696"/>
      <w:bookmarkEnd w:id="8"/>
      <w:r w:rsidRPr="004C0CE9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5A6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CE9" w:rsidP="004C0CE9">
            <w:pPr>
              <w:pStyle w:val="BodyText"/>
            </w:pPr>
            <w:r w:rsidRPr="004C0CE9">
              <w:t>Specifies different work environments and conditions that may affect performance. Essential operating con</w:t>
            </w:r>
            <w:r w:rsidRPr="004C0CE9">
              <w:t>ditions that may be present (depending on the work situation, needs of the candidate, accessibility of the item, and local industry and regional contexts) are included.</w:t>
            </w:r>
          </w:p>
          <w:p w:rsidR="00000000" w:rsidRPr="004C0CE9" w:rsidP="004C0CE9">
            <w:pPr>
              <w:pStyle w:val="BodyText"/>
            </w:pPr>
          </w:p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Range is restricted to essential operating conditions and any other variables essentia</w:t>
            </w:r>
            <w:r w:rsidRPr="004C0CE9">
              <w:t>l to the work environment.</w:t>
            </w:r>
          </w:p>
        </w:tc>
      </w:tr>
      <w:tr w:rsidTr="005A6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Shipboard areas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CE9" w:rsidP="004C0CE9">
            <w:pPr>
              <w:pStyle w:val="ListBullet"/>
            </w:pPr>
            <w:r w:rsidRPr="004C0CE9">
              <w:t>bulkheads</w:t>
            </w:r>
          </w:p>
          <w:p w:rsidR="00000000" w:rsidRPr="004C0CE9" w:rsidP="004C0CE9">
            <w:pPr>
              <w:pStyle w:val="ListBullet"/>
            </w:pPr>
            <w:r w:rsidRPr="004C0CE9">
              <w:t xml:space="preserve">elemental areas </w:t>
            </w:r>
          </w:p>
          <w:p w:rsidR="00000000" w:rsidP="004C0CE9">
            <w:pPr>
              <w:pStyle w:val="ListBullet"/>
              <w:rPr>
                <w:lang w:val="en-NZ"/>
              </w:rPr>
            </w:pPr>
            <w:r w:rsidRPr="004C0CE9">
              <w:t>water planes</w:t>
            </w:r>
          </w:p>
        </w:tc>
      </w:tr>
      <w:tr w:rsidTr="005A6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</w:p>
        </w:tc>
      </w:tr>
      <w:tr w:rsidTr="005A6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Shipboard volumes include one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CE9" w:rsidP="004C0CE9">
            <w:pPr>
              <w:pStyle w:val="ListBullet"/>
            </w:pPr>
            <w:r w:rsidRPr="004C0CE9">
              <w:t xml:space="preserve">transverse sectional areas </w:t>
            </w:r>
          </w:p>
          <w:p w:rsidR="00000000" w:rsidP="004C0CE9">
            <w:pPr>
              <w:pStyle w:val="ListBullet"/>
              <w:rPr>
                <w:lang w:val="en-NZ"/>
              </w:rPr>
            </w:pPr>
            <w:r w:rsidRPr="004C0CE9">
              <w:t>water plane areas</w:t>
            </w:r>
          </w:p>
        </w:tc>
      </w:tr>
      <w:tr w:rsidTr="005A6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</w:p>
        </w:tc>
      </w:tr>
      <w:tr w:rsidTr="005A6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Problems related to vessel displacement include one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CE9" w:rsidP="004C0CE9">
            <w:pPr>
              <w:pStyle w:val="ListBullet"/>
            </w:pPr>
            <w:r w:rsidRPr="004C0CE9">
              <w:t>addition of mass</w:t>
            </w:r>
          </w:p>
          <w:p w:rsidR="00000000" w:rsidP="004C0CE9">
            <w:pPr>
              <w:pStyle w:val="ListBullet"/>
              <w:rPr>
                <w:lang w:val="en-NZ"/>
              </w:rPr>
            </w:pPr>
            <w:r w:rsidRPr="004C0CE9">
              <w:t>removal of mass</w:t>
            </w:r>
          </w:p>
        </w:tc>
      </w:tr>
      <w:tr w:rsidTr="005A6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</w:p>
        </w:tc>
      </w:tr>
      <w:tr w:rsidTr="005A6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Coefficients for areas include one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CE9" w:rsidP="004C0CE9">
            <w:pPr>
              <w:pStyle w:val="ListBullet"/>
            </w:pPr>
            <w:r w:rsidRPr="004C0CE9">
              <w:t>midships (CM)</w:t>
            </w:r>
          </w:p>
          <w:p w:rsidR="00000000" w:rsidP="004C0CE9">
            <w:pPr>
              <w:pStyle w:val="ListBullet"/>
              <w:rPr>
                <w:lang w:val="en-NZ"/>
              </w:rPr>
            </w:pPr>
            <w:r w:rsidRPr="004C0CE9">
              <w:t>waterplane (CW)</w:t>
            </w:r>
          </w:p>
        </w:tc>
      </w:tr>
      <w:tr w:rsidTr="005A6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</w:p>
        </w:tc>
      </w:tr>
      <w:tr w:rsidTr="005A6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Coefficients for underwater volumes include one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CE9" w:rsidP="004C0CE9">
            <w:pPr>
              <w:pStyle w:val="ListBullet"/>
            </w:pPr>
            <w:r w:rsidRPr="004C0CE9">
              <w:t>block (Cb)</w:t>
            </w:r>
          </w:p>
          <w:p w:rsidR="00000000" w:rsidP="004C0CE9">
            <w:pPr>
              <w:pStyle w:val="ListBullet"/>
              <w:rPr>
                <w:lang w:val="en-NZ"/>
              </w:rPr>
            </w:pPr>
            <w:r w:rsidRPr="004C0CE9">
              <w:t>prismatic (Cp)</w:t>
            </w:r>
          </w:p>
        </w:tc>
      </w:tr>
      <w:tr w:rsidTr="005A6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</w:p>
        </w:tc>
      </w:tr>
      <w:tr w:rsidTr="005A6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Centre of gravity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CE9" w:rsidP="004C0CE9">
            <w:pPr>
              <w:pStyle w:val="ListBullet"/>
            </w:pPr>
            <w:r w:rsidRPr="004C0CE9">
              <w:t>centre of gravity (CG)</w:t>
            </w:r>
          </w:p>
          <w:p w:rsidR="00000000" w:rsidRPr="004C0CE9" w:rsidP="004C0CE9">
            <w:pPr>
              <w:pStyle w:val="ListBullet"/>
            </w:pPr>
            <w:r w:rsidRPr="004C0CE9">
              <w:t>longitudinal centre of gravity (LCG)</w:t>
            </w:r>
          </w:p>
          <w:p w:rsidR="00000000" w:rsidP="004C0CE9">
            <w:pPr>
              <w:pStyle w:val="ListBullet"/>
              <w:rPr>
                <w:lang w:val="en-NZ"/>
              </w:rPr>
            </w:pPr>
            <w:r w:rsidRPr="004C0CE9">
              <w:t>vertical centre of gravity (VCG)</w:t>
            </w:r>
          </w:p>
        </w:tc>
      </w:tr>
      <w:tr w:rsidTr="005A6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</w:p>
        </w:tc>
      </w:tr>
      <w:tr w:rsidTr="005A6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Mass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CE9" w:rsidP="004C0CE9">
            <w:pPr>
              <w:pStyle w:val="ListBullet"/>
            </w:pPr>
            <w:r w:rsidRPr="004C0CE9">
              <w:t xml:space="preserve">ballast </w:t>
            </w:r>
          </w:p>
          <w:p w:rsidR="00000000" w:rsidRPr="004C0CE9" w:rsidP="004C0CE9">
            <w:pPr>
              <w:pStyle w:val="ListBullet"/>
            </w:pPr>
            <w:r w:rsidRPr="004C0CE9">
              <w:t>cargo</w:t>
            </w:r>
          </w:p>
          <w:p w:rsidR="00000000" w:rsidRPr="004C0CE9" w:rsidP="004C0CE9">
            <w:pPr>
              <w:pStyle w:val="ListBullet"/>
            </w:pPr>
            <w:r w:rsidRPr="004C0CE9">
              <w:t>fuel</w:t>
            </w:r>
          </w:p>
          <w:p w:rsidR="00000000" w:rsidP="004C0CE9">
            <w:pPr>
              <w:pStyle w:val="ListBullet"/>
              <w:rPr>
                <w:lang w:val="en-NZ"/>
              </w:rPr>
            </w:pPr>
            <w:r w:rsidRPr="004C0CE9">
              <w:t>passengers</w:t>
            </w:r>
          </w:p>
        </w:tc>
      </w:tr>
      <w:tr w:rsidTr="005A6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</w:p>
        </w:tc>
      </w:tr>
      <w:tr w:rsidTr="005A64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E9">
            <w:pPr>
              <w:pStyle w:val="BodyText"/>
              <w:rPr>
                <w:lang w:val="en-NZ"/>
              </w:rPr>
            </w:pPr>
            <w:r w:rsidRPr="004C0CE9">
              <w:t>Filling rates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CE9" w:rsidP="004C0CE9">
            <w:pPr>
              <w:pStyle w:val="ListBullet"/>
            </w:pPr>
            <w:r w:rsidRPr="004C0CE9">
              <w:t xml:space="preserve">accidental flooding </w:t>
            </w:r>
          </w:p>
          <w:p w:rsidR="00000000" w:rsidRPr="004C0CE9" w:rsidP="004C0CE9">
            <w:pPr>
              <w:pStyle w:val="ListBullet"/>
            </w:pPr>
            <w:r w:rsidRPr="004C0CE9">
              <w:t>tank testing</w:t>
            </w:r>
          </w:p>
        </w:tc>
      </w:tr>
    </w:tbl>
    <w:p w:rsidR="00000000" w:rsidRPr="004C0CE9" w:rsidP="004C0CE9">
      <w:pPr>
        <w:pStyle w:val="BodyText"/>
      </w:pPr>
    </w:p>
    <w:p w:rsidR="00000000" w:rsidRPr="004C0CE9" w:rsidP="004C0CE9">
      <w:pPr>
        <w:pStyle w:val="AllowPageBreak"/>
      </w:pPr>
    </w:p>
    <w:p w:rsidR="00000000" w:rsidRPr="004C0CE9" w:rsidP="004C0CE9">
      <w:pPr>
        <w:pStyle w:val="Heading1"/>
      </w:pPr>
      <w:bookmarkStart w:id="9" w:name="O_596697"/>
      <w:bookmarkEnd w:id="9"/>
      <w:r w:rsidRPr="004C0CE9">
        <w:t>Unit Mapping Information</w:t>
      </w:r>
    </w:p>
    <w:p w:rsidR="00000000" w:rsidRPr="004C0CE9" w:rsidP="005A64E1">
      <w:pPr>
        <w:pStyle w:val="BodyText"/>
      </w:pPr>
      <w:r w:rsidRPr="004C0CE9">
        <w:t>This is a new unit. This unit is equivalent to MARL5004A Apply basic principles of naval architecture.</w:t>
      </w:r>
    </w:p>
    <w:p w:rsidR="00000000" w:rsidRPr="004C0CE9" w:rsidP="004C0CE9">
      <w:pPr>
        <w:pStyle w:val="Heading1"/>
      </w:pPr>
      <w:bookmarkStart w:id="10" w:name="O_596704"/>
      <w:bookmarkEnd w:id="10"/>
      <w:r w:rsidRPr="004C0CE9">
        <w:t>Links</w:t>
      </w:r>
    </w:p>
    <w:p w:rsidR="00000000" w:rsidRPr="004C0CE9" w:rsidP="005A64E1">
      <w:pPr>
        <w:pStyle w:val="BodyText"/>
      </w:pPr>
      <w:r w:rsidRPr="004C0C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B87968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4C0CE9" w:rsidP="005A64E1">
      <w:pPr>
        <w:pStyle w:val="BodyText"/>
        <w:sectPr w:rsidSect="004C0C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0CE9" w:rsidP="004C0CE9">
      <w:pPr>
        <w:pStyle w:val="SuperHeading"/>
      </w:pPr>
      <w:r w:rsidRPr="004C0CE9">
        <w:t>Assessment Requirements for MARL002 Apply basic principles of n</w:t>
      </w:r>
      <w:r w:rsidRPr="004C0CE9">
        <w:t>aval architecture</w:t>
      </w:r>
    </w:p>
    <w:p w:rsidR="00000000" w:rsidRPr="004C0CE9" w:rsidP="004C0CE9">
      <w:pPr>
        <w:pStyle w:val="Heading1"/>
      </w:pPr>
      <w:bookmarkStart w:id="11" w:name="O_596699"/>
      <w:bookmarkEnd w:id="11"/>
      <w:r w:rsidRPr="004C0CE9">
        <w:t>Modification History</w:t>
      </w:r>
    </w:p>
    <w:p w:rsidR="00000000" w:rsidRPr="004C0CE9" w:rsidP="005A64E1">
      <w:pPr>
        <w:pStyle w:val="BodyText"/>
      </w:pPr>
      <w:r w:rsidRPr="004C0CE9">
        <w:t>Release 1. New unit of competency.</w:t>
      </w:r>
    </w:p>
    <w:p w:rsidR="00000000" w:rsidRPr="004C0CE9" w:rsidP="004C0CE9">
      <w:pPr>
        <w:pStyle w:val="Heading1"/>
      </w:pPr>
      <w:bookmarkStart w:id="12" w:name="O_596700"/>
      <w:bookmarkEnd w:id="12"/>
      <w:r w:rsidRPr="004C0CE9">
        <w:t>Performance Evidence</w:t>
      </w:r>
    </w:p>
    <w:p w:rsidR="00000000" w:rsidRPr="004C0CE9" w:rsidP="005A64E1">
      <w:pPr>
        <w:pStyle w:val="BodyText"/>
      </w:pPr>
      <w:r w:rsidRPr="004C0CE9">
        <w:t>Evidence required to demonstrate competence in this unit must be relevant to and satisfy all of the requirements of the elements</w:t>
      </w:r>
      <w:r w:rsidRPr="004C0CE9">
        <w:t xml:space="preserve"> and performance criteria on at least one occasion and include:</w:t>
      </w:r>
    </w:p>
    <w:p w:rsidR="00000000" w:rsidRPr="004C0CE9" w:rsidP="004C0CE9">
      <w:pPr>
        <w:pStyle w:val="ListBullet"/>
      </w:pPr>
      <w:r w:rsidRPr="004C0CE9">
        <w:t>assessing own work outcomes and maintaining knowledge of current codes, standards, regulations and industry practices</w:t>
      </w:r>
    </w:p>
    <w:p w:rsidR="00000000" w:rsidRPr="004C0CE9" w:rsidP="004C0CE9">
      <w:pPr>
        <w:pStyle w:val="ListBullet"/>
      </w:pPr>
      <w:r w:rsidRPr="004C0CE9">
        <w:t xml:space="preserve">explaining basic principles of naval architecture </w:t>
      </w:r>
    </w:p>
    <w:p w:rsidR="00000000" w:rsidRPr="004C0CE9" w:rsidP="004C0CE9">
      <w:pPr>
        <w:pStyle w:val="ListBullet"/>
      </w:pPr>
      <w:r w:rsidRPr="004C0CE9">
        <w:t>identifying and applying relevant mathematical formulas and techniques to solve basic problems related to speed, fuel consumption and stability of commercial vessels</w:t>
      </w:r>
    </w:p>
    <w:p w:rsidR="00000000" w:rsidRPr="004C0CE9" w:rsidP="004C0CE9">
      <w:pPr>
        <w:pStyle w:val="ListBullet"/>
      </w:pPr>
      <w:r w:rsidRPr="004C0CE9">
        <w:t>identifying and interpreting numerical and graphical information, and performing mathemati</w:t>
      </w:r>
      <w:r w:rsidRPr="004C0CE9">
        <w:t>cal calculations related to shipboard areas and volumes, vessel displacement, ship dimensions, centre of gravity, vessel speed, fuel consumption and hydrostatic pressure</w:t>
      </w:r>
    </w:p>
    <w:p w:rsidR="00000000" w:rsidRPr="004C0CE9" w:rsidP="004C0CE9">
      <w:pPr>
        <w:pStyle w:val="ListBullet"/>
      </w:pPr>
      <w:r w:rsidRPr="004C0CE9">
        <w:t>identifying, collating and processing information required to perform calculations rel</w:t>
      </w:r>
      <w:r w:rsidRPr="004C0CE9">
        <w:t>ated to speed, fuel consumption and stability of commercial vessels</w:t>
      </w:r>
    </w:p>
    <w:p w:rsidR="00000000" w:rsidRPr="004C0CE9" w:rsidP="004C0CE9">
      <w:pPr>
        <w:pStyle w:val="ListBullet"/>
      </w:pPr>
      <w:r w:rsidRPr="004C0CE9">
        <w:t>imparting knowledge and ideas through verbal, written and visual means</w:t>
      </w:r>
    </w:p>
    <w:p w:rsidR="00000000" w:rsidRPr="004C0CE9" w:rsidP="004C0CE9">
      <w:pPr>
        <w:pStyle w:val="ListBullet"/>
      </w:pPr>
      <w:r w:rsidRPr="004C0CE9">
        <w:t>performing accurate and reliable calculations</w:t>
      </w:r>
    </w:p>
    <w:p w:rsidR="00000000" w:rsidRPr="004C0CE9" w:rsidP="004C0CE9">
      <w:pPr>
        <w:pStyle w:val="ListBullet"/>
      </w:pPr>
      <w:r w:rsidRPr="004C0CE9">
        <w:t>reading and interpreting written information needed to perform calculat</w:t>
      </w:r>
      <w:r w:rsidRPr="004C0CE9">
        <w:t>ions related to the seaworthiness of commercial vessels</w:t>
      </w:r>
    </w:p>
    <w:p w:rsidR="00000000" w:rsidRPr="004C0CE9" w:rsidP="004C0CE9">
      <w:pPr>
        <w:pStyle w:val="ListBullet"/>
      </w:pPr>
      <w:r w:rsidRPr="004C0CE9">
        <w:t>solving problems using appropriate laws and principles</w:t>
      </w:r>
    </w:p>
    <w:p w:rsidR="00000000" w:rsidRPr="004C0CE9" w:rsidP="004C0CE9">
      <w:pPr>
        <w:pStyle w:val="ListBullet"/>
      </w:pPr>
      <w:r w:rsidRPr="004C0CE9">
        <w:t>using calculators to perform mathematical calculations.</w:t>
      </w:r>
    </w:p>
    <w:p w:rsidR="00000000" w:rsidRPr="004C0CE9" w:rsidP="004C0CE9">
      <w:pPr>
        <w:pStyle w:val="AllowPageBreak"/>
      </w:pPr>
    </w:p>
    <w:p w:rsidR="00000000" w:rsidRPr="004C0CE9" w:rsidP="004C0CE9">
      <w:pPr>
        <w:pStyle w:val="Heading1"/>
      </w:pPr>
      <w:bookmarkStart w:id="13" w:name="O_596701"/>
      <w:bookmarkEnd w:id="13"/>
      <w:r w:rsidRPr="004C0CE9">
        <w:t>Knowledge Evidence</w:t>
      </w:r>
    </w:p>
    <w:p w:rsidR="00000000" w:rsidRPr="004C0CE9" w:rsidP="005A64E1">
      <w:pPr>
        <w:pStyle w:val="BodyText"/>
      </w:pPr>
      <w:r w:rsidRPr="004C0CE9">
        <w:t>Evidence required to demonstrate competence in this u</w:t>
      </w:r>
      <w:r w:rsidRPr="004C0CE9">
        <w:t>nit must be relevant to and satisfy all of the requirements of the elements and performance criteria and include knowledge of:</w:t>
      </w:r>
    </w:p>
    <w:p w:rsidR="00000000" w:rsidRPr="004C0CE9" w:rsidP="004C0CE9">
      <w:pPr>
        <w:pStyle w:val="ListBullet"/>
      </w:pPr>
      <w:r w:rsidRPr="004C0CE9">
        <w:t>basic structural members of a ship and the proper names of the various parts</w:t>
      </w:r>
    </w:p>
    <w:p w:rsidR="00000000" w:rsidRPr="004C0CE9" w:rsidP="004C0CE9">
      <w:pPr>
        <w:pStyle w:val="ListBullet"/>
      </w:pPr>
      <w:r w:rsidRPr="004C0CE9">
        <w:t>buoyancy</w:t>
      </w:r>
    </w:p>
    <w:p w:rsidR="00000000" w:rsidRPr="004C0CE9" w:rsidP="004C0CE9">
      <w:pPr>
        <w:pStyle w:val="ListBullet2"/>
      </w:pPr>
      <w:r w:rsidRPr="004C0CE9">
        <w:t>centre of gravity:</w:t>
      </w:r>
    </w:p>
    <w:p w:rsidR="00000000" w:rsidRPr="004C0CE9" w:rsidP="004C0CE9">
      <w:pPr>
        <w:pStyle w:val="ListBullet2"/>
      </w:pPr>
      <w:r w:rsidRPr="004C0CE9">
        <w:t>centre of gravity (CG), longitudinal centre of gravity (LCG), vertical centre of gravity (VCG)</w:t>
      </w:r>
    </w:p>
    <w:p w:rsidR="00000000" w:rsidRPr="004C0CE9" w:rsidP="004C0CE9">
      <w:pPr>
        <w:pStyle w:val="ListBullet2"/>
      </w:pPr>
      <w:r w:rsidRPr="004C0CE9">
        <w:t>calculations</w:t>
      </w:r>
    </w:p>
    <w:p w:rsidR="00000000" w:rsidRPr="004C0CE9" w:rsidP="004C0CE9">
      <w:pPr>
        <w:pStyle w:val="ListBullet"/>
      </w:pPr>
      <w:r w:rsidRPr="004C0CE9">
        <w:t>density correction formula</w:t>
      </w:r>
    </w:p>
    <w:p w:rsidR="00000000" w:rsidRPr="004C0CE9" w:rsidP="004C0CE9">
      <w:pPr>
        <w:pStyle w:val="ListBullet"/>
      </w:pPr>
      <w:r w:rsidRPr="004C0CE9">
        <w:t>fuel consumption calculations</w:t>
      </w:r>
    </w:p>
    <w:p w:rsidR="00000000" w:rsidRPr="004C0CE9" w:rsidP="004C0CE9">
      <w:pPr>
        <w:pStyle w:val="ListBullet"/>
      </w:pPr>
      <w:r w:rsidRPr="004C0CE9">
        <w:t>hydrostatic pressure</w:t>
      </w:r>
    </w:p>
    <w:p w:rsidR="00000000" w:rsidRPr="004C0CE9" w:rsidP="004C0CE9">
      <w:pPr>
        <w:pStyle w:val="ListBullet"/>
      </w:pPr>
      <w:r w:rsidRPr="004C0CE9">
        <w:t>principle of displacement</w:t>
      </w:r>
    </w:p>
    <w:p w:rsidR="00000000" w:rsidRPr="004C0CE9" w:rsidP="004C0CE9">
      <w:pPr>
        <w:pStyle w:val="ListBullet"/>
      </w:pPr>
      <w:r w:rsidRPr="004C0CE9">
        <w:t>ship:</w:t>
      </w:r>
    </w:p>
    <w:p w:rsidR="00000000" w:rsidRPr="004C0CE9" w:rsidP="004C0CE9">
      <w:pPr>
        <w:pStyle w:val="ListBullet2"/>
      </w:pPr>
      <w:r w:rsidRPr="004C0CE9">
        <w:t>stability</w:t>
      </w:r>
    </w:p>
    <w:p w:rsidR="00000000" w:rsidRPr="004C0CE9" w:rsidP="004C0CE9">
      <w:pPr>
        <w:pStyle w:val="ListBullet2"/>
      </w:pPr>
      <w:r w:rsidRPr="004C0CE9">
        <w:t>stability calculations</w:t>
      </w:r>
    </w:p>
    <w:p w:rsidR="00000000" w:rsidRPr="004C0CE9" w:rsidP="004C0CE9">
      <w:pPr>
        <w:pStyle w:val="ListBullet2"/>
      </w:pPr>
      <w:r w:rsidRPr="004C0CE9">
        <w:t>mea</w:t>
      </w:r>
      <w:r w:rsidRPr="004C0CE9">
        <w:t>surements</w:t>
      </w:r>
    </w:p>
    <w:p w:rsidR="00000000" w:rsidRPr="004C0CE9" w:rsidP="004C0CE9">
      <w:pPr>
        <w:pStyle w:val="ListBullet2"/>
      </w:pPr>
      <w:r w:rsidRPr="004C0CE9">
        <w:t>displacement</w:t>
      </w:r>
    </w:p>
    <w:p w:rsidR="00000000" w:rsidRPr="004C0CE9" w:rsidP="004C0CE9">
      <w:pPr>
        <w:pStyle w:val="ListBullet"/>
      </w:pPr>
      <w:r w:rsidRPr="004C0CE9">
        <w:t>shipboard:</w:t>
      </w:r>
    </w:p>
    <w:p w:rsidR="00000000" w:rsidRPr="004C0CE9" w:rsidP="004C0CE9">
      <w:pPr>
        <w:pStyle w:val="ListBullet2"/>
      </w:pPr>
      <w:r w:rsidRPr="004C0CE9">
        <w:t>areas</w:t>
      </w:r>
    </w:p>
    <w:p w:rsidR="00000000" w:rsidRPr="004C0CE9" w:rsidP="004C0CE9">
      <w:pPr>
        <w:pStyle w:val="ListBullet2"/>
      </w:pPr>
      <w:r w:rsidRPr="004C0CE9">
        <w:t>volumes</w:t>
      </w:r>
    </w:p>
    <w:p w:rsidR="00000000" w:rsidRPr="004C0CE9" w:rsidP="004C0CE9">
      <w:pPr>
        <w:pStyle w:val="ListBullet"/>
      </w:pPr>
      <w:r w:rsidRPr="004C0CE9">
        <w:t>Simpson’s Rules</w:t>
      </w:r>
    </w:p>
    <w:p w:rsidR="00000000" w:rsidRPr="004C0CE9" w:rsidP="004C0CE9">
      <w:pPr>
        <w:pStyle w:val="ListBullet"/>
      </w:pPr>
      <w:r w:rsidRPr="004C0CE9">
        <w:t>Tonnes per centimetre (TPC) immersion</w:t>
      </w:r>
    </w:p>
    <w:p w:rsidR="00000000" w:rsidRPr="004C0CE9" w:rsidP="004C0CE9">
      <w:pPr>
        <w:pStyle w:val="ListBullet"/>
      </w:pPr>
      <w:r w:rsidRPr="004C0CE9">
        <w:t>trim and stress tables, diagrams and stress calculating equipment</w:t>
      </w:r>
    </w:p>
    <w:p w:rsidR="00000000" w:rsidRPr="004C0CE9" w:rsidP="004C0CE9">
      <w:pPr>
        <w:pStyle w:val="ListBullet"/>
      </w:pPr>
      <w:r w:rsidRPr="004C0CE9">
        <w:t>vessel speed calculations</w:t>
      </w:r>
    </w:p>
    <w:p w:rsidR="00000000" w:rsidRPr="004C0CE9" w:rsidP="004C0CE9">
      <w:pPr>
        <w:pStyle w:val="ListBullet"/>
      </w:pPr>
      <w:r w:rsidRPr="004C0CE9">
        <w:t>watertight integrity.</w:t>
      </w:r>
    </w:p>
    <w:p w:rsidR="00000000" w:rsidRPr="004C0CE9" w:rsidP="004C0CE9">
      <w:pPr>
        <w:pStyle w:val="AllowPageBreak"/>
      </w:pPr>
    </w:p>
    <w:p w:rsidR="00000000" w:rsidRPr="004C0CE9" w:rsidP="004C0CE9">
      <w:pPr>
        <w:pStyle w:val="Heading1"/>
      </w:pPr>
      <w:bookmarkStart w:id="14" w:name="O_596702"/>
      <w:bookmarkEnd w:id="14"/>
      <w:r w:rsidRPr="004C0CE9">
        <w:t>Assessment Conditions</w:t>
      </w:r>
    </w:p>
    <w:p w:rsidR="00000000" w:rsidRPr="004C0CE9" w:rsidP="005A64E1">
      <w:pPr>
        <w:pStyle w:val="BodyText"/>
      </w:pPr>
      <w:r w:rsidRPr="004C0CE9">
        <w:t>Assessors must satisfy National Vocational Education and Training Regulator (NVR)/Australian Quality Training Framework (AQTF) assessor requirements.</w:t>
      </w:r>
    </w:p>
    <w:p w:rsidR="00000000" w:rsidRPr="004C0CE9" w:rsidP="005A64E1">
      <w:pPr>
        <w:pStyle w:val="BodyText"/>
      </w:pPr>
      <w:r w:rsidRPr="004C0CE9">
        <w:t>Assessment must occur in workplace operational situations where it is appropriate t</w:t>
      </w:r>
      <w:r w:rsidRPr="004C0CE9">
        <w:t>o do so; where this is not appropriate, assessment must occur in simulated workplace operational situations that reflect workplace conditions.</w:t>
      </w:r>
    </w:p>
    <w:p w:rsidR="00000000" w:rsidRPr="004C0CE9" w:rsidP="005A64E1">
      <w:pPr>
        <w:pStyle w:val="BodyText"/>
      </w:pPr>
      <w:r w:rsidRPr="004C0CE9">
        <w:t>Assessment processes and techniques must be appropriate to the language, literacy and numeracy requirements of the work being performed and the needs of the candidate.</w:t>
      </w:r>
    </w:p>
    <w:p w:rsidR="00000000" w:rsidRPr="004C0CE9" w:rsidP="005A64E1">
      <w:pPr>
        <w:pStyle w:val="BodyText"/>
      </w:pPr>
      <w:r w:rsidRPr="004C0CE9">
        <w:t>Resources for assessment must include access to:</w:t>
      </w:r>
    </w:p>
    <w:p w:rsidR="00000000" w:rsidRPr="004C0CE9" w:rsidP="004C0CE9">
      <w:pPr>
        <w:pStyle w:val="ListBullet2"/>
      </w:pPr>
      <w:r w:rsidRPr="004C0CE9">
        <w:t>tools, equipment, machinery, material</w:t>
      </w:r>
      <w:r w:rsidRPr="004C0CE9">
        <w:t>s and personal protective equipment currently used in industry</w:t>
      </w:r>
    </w:p>
    <w:p w:rsidR="00000000" w:rsidRPr="004C0CE9" w:rsidP="004C0CE9">
      <w:pPr>
        <w:pStyle w:val="ListBullet2"/>
      </w:pPr>
      <w:r w:rsidRPr="004C0CE9">
        <w:t xml:space="preserve">applicable documentation such as legislation, regulations, codes of practice, workplace procedures and operational manuals </w:t>
      </w:r>
    </w:p>
    <w:p w:rsidR="00000000" w:rsidRPr="004C0CE9" w:rsidP="004C0CE9">
      <w:pPr>
        <w:pStyle w:val="ListBullet2"/>
      </w:pPr>
      <w:r w:rsidRPr="004C0CE9">
        <w:t>range of relevant exercises, case studies and/or simulations.</w:t>
      </w:r>
    </w:p>
    <w:p w:rsidR="00000000" w:rsidRPr="004C0CE9" w:rsidP="004C0CE9">
      <w:pPr>
        <w:pStyle w:val="AllowPageBreak"/>
      </w:pPr>
    </w:p>
    <w:p w:rsidR="00000000" w:rsidRPr="004C0CE9" w:rsidP="004C0CE9">
      <w:pPr>
        <w:pStyle w:val="Heading1"/>
      </w:pPr>
      <w:bookmarkStart w:id="15" w:name="O_596705"/>
      <w:bookmarkEnd w:id="15"/>
      <w:r w:rsidRPr="004C0CE9">
        <w:t>Links</w:t>
      </w:r>
    </w:p>
    <w:p w:rsidR="00000000" w:rsidRPr="004C0CE9" w:rsidP="005A64E1">
      <w:pPr>
        <w:pStyle w:val="BodyText"/>
      </w:pPr>
      <w:r w:rsidRPr="004C0C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B87968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4C0CE9" w:rsidP="004C0CE9"/>
    <w:sectPr w:rsidSect="004C0C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C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CE9" w:rsidRPr="005A64E1" w:rsidP="005A64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C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4E1" w:rsidP="004C0C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A64E1" w:rsidP="004C0C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A64E1" w:rsidP="004C0C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CE9" w:rsidP="004C0C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A64E1">
      <w:t>Approved</w:t>
    </w:r>
    <w:r w:rsidR="005A64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A64E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A64E1">
      <w:rPr>
        <w:noProof/>
      </w:rPr>
      <w:t>5</w:t>
    </w:r>
    <w:r>
      <w:rPr>
        <w:noProof/>
      </w:rPr>
      <w:fldChar w:fldCharType="end"/>
    </w:r>
  </w:p>
  <w:p w:rsidR="004C0CE9" w:rsidP="004C0C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A64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A64E1">
      <w:t>Industry Skills Australia</w:t>
    </w:r>
    <w:r w:rsidR="005A64E1">
      <w:fldChar w:fldCharType="end"/>
    </w:r>
  </w:p>
  <w:p w:rsidR="004C0CE9" w:rsidP="004C0C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C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4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0CE9" w:rsidRPr="005A64E1" w:rsidP="005A64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C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4E1" w:rsidRPr="002D2AF8" w:rsidP="004C0C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MARL002 Apply basic principles of naval architecture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A64E1" w:rsidP="004C0C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CE9" w:rsidRPr="002D2AF8" w:rsidP="004C0C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A64E1">
      <w:t>MARL002 Apply basic principles of naval architecture</w:t>
    </w:r>
    <w:r w:rsidR="005A64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A64E1">
      <w:rPr>
        <w:noProof/>
      </w:rPr>
      <w:t>1 March 2025</w:t>
    </w:r>
    <w:r>
      <w:fldChar w:fldCharType="end"/>
    </w:r>
  </w:p>
  <w:p w:rsidR="004C0CE9" w:rsidP="004C0C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A85A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BEA0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B670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C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0C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0C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0C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0C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0C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0C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0C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0C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0C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0C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0CE9"/>
  </w:style>
  <w:style w:type="character" w:customStyle="1" w:styleId="Heading1Char">
    <w:name w:val="Heading 1 Char"/>
    <w:basedOn w:val="DefaultParagraphFont"/>
    <w:link w:val="Heading1"/>
    <w:rsid w:val="004C0C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0C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0C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0C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0CE9"/>
    <w:rPr>
      <w:b/>
      <w:spacing w:val="0"/>
    </w:rPr>
  </w:style>
  <w:style w:type="paragraph" w:styleId="ListBullet2">
    <w:name w:val="List Bullet 2"/>
    <w:basedOn w:val="List2"/>
    <w:rsid w:val="004C0C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0C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0C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0C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0C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0C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0C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0C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0C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0C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0C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0C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0C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0C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0C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0C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0C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0C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0C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0C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0C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0C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0C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0C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0C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0C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0C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0C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0C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0C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0C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0C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0C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0C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0C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0CE9"/>
    <w:rPr>
      <w:i/>
    </w:rPr>
  </w:style>
  <w:style w:type="paragraph" w:styleId="Caption">
    <w:name w:val="caption"/>
    <w:basedOn w:val="BodyText"/>
    <w:next w:val="Normal"/>
    <w:qFormat/>
    <w:rsid w:val="004C0C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0C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0C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0CE9"/>
  </w:style>
  <w:style w:type="paragraph" w:styleId="TableofFigures">
    <w:name w:val="table of figures"/>
    <w:basedOn w:val="Normal"/>
    <w:next w:val="Normal"/>
    <w:semiHidden/>
    <w:rsid w:val="004C0C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0C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0CE9"/>
    <w:rPr>
      <w:rFonts w:ascii="Wingdings" w:hAnsi="Wingdings"/>
    </w:rPr>
  </w:style>
  <w:style w:type="paragraph" w:customStyle="1" w:styleId="TableHeading">
    <w:name w:val="Table Heading"/>
    <w:basedOn w:val="HeadingBase"/>
    <w:rsid w:val="004C0C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0CE9"/>
    <w:rPr>
      <w:color w:val="0033CC"/>
      <w:u w:val="none"/>
    </w:rPr>
  </w:style>
  <w:style w:type="paragraph" w:customStyle="1" w:styleId="BodyTextRight">
    <w:name w:val="Body Text Right"/>
    <w:basedOn w:val="BodyText"/>
    <w:rsid w:val="004C0C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0C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0C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0C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0C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0C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0CE9"/>
    <w:rPr>
      <w:sz w:val="32"/>
    </w:rPr>
  </w:style>
  <w:style w:type="paragraph" w:customStyle="1" w:styleId="HeadingProcedure">
    <w:name w:val="Heading Procedure"/>
    <w:basedOn w:val="HeadingBase"/>
    <w:next w:val="Normal"/>
    <w:rsid w:val="004C0C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0CE9"/>
    <w:pPr>
      <w:spacing w:before="60" w:after="60"/>
    </w:pPr>
  </w:style>
  <w:style w:type="paragraph" w:styleId="ListContinue">
    <w:name w:val="List Continue"/>
    <w:basedOn w:val="List"/>
    <w:rsid w:val="004C0CE9"/>
    <w:pPr>
      <w:ind w:firstLine="0"/>
    </w:pPr>
  </w:style>
  <w:style w:type="paragraph" w:customStyle="1" w:styleId="ListNote">
    <w:name w:val="List Note"/>
    <w:basedOn w:val="List"/>
    <w:rsid w:val="004C0C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0C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0C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0CE9"/>
    <w:rPr>
      <w:rFonts w:ascii="Courier New" w:hAnsi="Courier New"/>
    </w:rPr>
  </w:style>
  <w:style w:type="paragraph" w:customStyle="1" w:styleId="NoteBullet">
    <w:name w:val="Note Bullet"/>
    <w:basedOn w:val="Note"/>
    <w:rsid w:val="004C0C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0C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0C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0C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0C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0C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0C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0CE9"/>
    <w:rPr>
      <w:b/>
      <w:smallCaps/>
    </w:rPr>
  </w:style>
  <w:style w:type="paragraph" w:customStyle="1" w:styleId="TableListNumber">
    <w:name w:val="Table List Number"/>
    <w:basedOn w:val="ListNumber"/>
    <w:rsid w:val="004C0C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0C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0CE9"/>
    <w:pPr>
      <w:numPr>
        <w:numId w:val="9"/>
      </w:numPr>
    </w:pPr>
  </w:style>
  <w:style w:type="paragraph" w:customStyle="1" w:styleId="ListAlpha2">
    <w:name w:val="List Alpha 2"/>
    <w:basedOn w:val="List2"/>
    <w:rsid w:val="004C0CE9"/>
    <w:pPr>
      <w:numPr>
        <w:numId w:val="8"/>
      </w:numPr>
    </w:pPr>
  </w:style>
  <w:style w:type="paragraph" w:styleId="List2">
    <w:name w:val="List 2"/>
    <w:basedOn w:val="BodyText"/>
    <w:rsid w:val="004C0C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0C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0C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0C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0C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0C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0CE9"/>
    <w:pPr>
      <w:numPr>
        <w:numId w:val="4"/>
      </w:numPr>
    </w:pPr>
  </w:style>
  <w:style w:type="paragraph" w:styleId="ListContinue2">
    <w:name w:val="List Continue 2"/>
    <w:basedOn w:val="List2"/>
    <w:rsid w:val="004C0CE9"/>
    <w:pPr>
      <w:ind w:firstLine="0"/>
    </w:pPr>
  </w:style>
  <w:style w:type="paragraph" w:styleId="ListContinue3">
    <w:name w:val="List Continue 3"/>
    <w:basedOn w:val="List3"/>
    <w:rsid w:val="004C0CE9"/>
    <w:pPr>
      <w:ind w:left="1021" w:firstLine="0"/>
    </w:pPr>
  </w:style>
  <w:style w:type="paragraph" w:styleId="ListContinue4">
    <w:name w:val="List Continue 4"/>
    <w:basedOn w:val="List4"/>
    <w:rsid w:val="004C0CE9"/>
    <w:pPr>
      <w:ind w:firstLine="0"/>
    </w:pPr>
  </w:style>
  <w:style w:type="paragraph" w:styleId="ListContinue5">
    <w:name w:val="List Continue 5"/>
    <w:basedOn w:val="List5"/>
    <w:rsid w:val="004C0CE9"/>
    <w:pPr>
      <w:ind w:firstLine="0"/>
    </w:pPr>
  </w:style>
  <w:style w:type="paragraph" w:styleId="ListNumber3">
    <w:name w:val="List Number 3"/>
    <w:basedOn w:val="List3"/>
    <w:rsid w:val="004C0CE9"/>
    <w:pPr>
      <w:numPr>
        <w:numId w:val="5"/>
      </w:numPr>
    </w:pPr>
  </w:style>
  <w:style w:type="paragraph" w:styleId="ListNumber4">
    <w:name w:val="List Number 4"/>
    <w:basedOn w:val="List4"/>
    <w:rsid w:val="004C0CE9"/>
    <w:pPr>
      <w:numPr>
        <w:numId w:val="6"/>
      </w:numPr>
    </w:pPr>
  </w:style>
  <w:style w:type="paragraph" w:styleId="ListNumber5">
    <w:name w:val="List Number 5"/>
    <w:basedOn w:val="List5"/>
    <w:rsid w:val="004C0CE9"/>
    <w:pPr>
      <w:numPr>
        <w:numId w:val="7"/>
      </w:numPr>
    </w:pPr>
  </w:style>
  <w:style w:type="paragraph" w:styleId="BlockText">
    <w:name w:val="Block Text"/>
    <w:basedOn w:val="Normal"/>
    <w:rsid w:val="004C0C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0C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0CE9"/>
    <w:rPr>
      <w:sz w:val="16"/>
      <w:vertAlign w:val="superscript"/>
    </w:rPr>
  </w:style>
  <w:style w:type="character" w:customStyle="1" w:styleId="Symbols">
    <w:name w:val="Symbols"/>
    <w:basedOn w:val="DefaultParagraphFont"/>
    <w:rsid w:val="004C0CE9"/>
    <w:rPr>
      <w:rFonts w:ascii="Symbol" w:hAnsi="Symbol"/>
    </w:rPr>
  </w:style>
  <w:style w:type="character" w:customStyle="1" w:styleId="MenuOptions">
    <w:name w:val="Menu Options"/>
    <w:basedOn w:val="DefaultParagraphFont"/>
    <w:rsid w:val="004C0C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0CE9"/>
    <w:rPr>
      <w:b/>
    </w:rPr>
  </w:style>
  <w:style w:type="character" w:customStyle="1" w:styleId="Underlined">
    <w:name w:val="Underlined"/>
    <w:basedOn w:val="DefaultParagraphFont"/>
    <w:rsid w:val="004C0CE9"/>
    <w:rPr>
      <w:u w:val="single"/>
    </w:rPr>
  </w:style>
  <w:style w:type="paragraph" w:customStyle="1" w:styleId="TableBodyTextRight">
    <w:name w:val="Table Body Text Right"/>
    <w:basedOn w:val="TableBodyText"/>
    <w:rsid w:val="004C0C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0CE9"/>
    <w:rPr>
      <w:sz w:val="18"/>
    </w:rPr>
  </w:style>
  <w:style w:type="paragraph" w:customStyle="1" w:styleId="BodySmallRight">
    <w:name w:val="Body Small Right"/>
    <w:basedOn w:val="BodyTextRight"/>
    <w:rsid w:val="004C0CE9"/>
    <w:rPr>
      <w:sz w:val="18"/>
      <w:szCs w:val="18"/>
    </w:rPr>
  </w:style>
  <w:style w:type="paragraph" w:customStyle="1" w:styleId="MarginEdition">
    <w:name w:val="Margin Edition"/>
    <w:basedOn w:val="MarginNote"/>
    <w:rsid w:val="004C0C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0CE9"/>
    <w:rPr>
      <w:sz w:val="2"/>
      <w:szCs w:val="2"/>
    </w:rPr>
  </w:style>
  <w:style w:type="character" w:customStyle="1" w:styleId="Small">
    <w:name w:val="Small"/>
    <w:basedOn w:val="DefaultParagraphFont"/>
    <w:rsid w:val="004C0CE9"/>
    <w:rPr>
      <w:sz w:val="16"/>
    </w:rPr>
  </w:style>
  <w:style w:type="paragraph" w:customStyle="1" w:styleId="WideTable">
    <w:name w:val="Wide Table"/>
    <w:basedOn w:val="Normal"/>
    <w:rsid w:val="004C0C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0CE9"/>
  </w:style>
  <w:style w:type="paragraph" w:styleId="Quote">
    <w:name w:val="Quote"/>
    <w:basedOn w:val="Heading1"/>
    <w:link w:val="QuoteChar"/>
    <w:qFormat/>
    <w:rsid w:val="004C0C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0C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0CE9"/>
    <w:pPr>
      <w:pageBreakBefore/>
    </w:pPr>
  </w:style>
  <w:style w:type="paragraph" w:customStyle="1" w:styleId="Border">
    <w:name w:val="Border"/>
    <w:basedOn w:val="Normal"/>
    <w:qFormat/>
    <w:rsid w:val="004C0C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0C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C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C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0C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0C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0C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0C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0C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0CE9"/>
    <w:rPr>
      <w:u w:val="single"/>
    </w:rPr>
  </w:style>
  <w:style w:type="character" w:customStyle="1" w:styleId="BoldandItalics">
    <w:name w:val="Bold and Italics"/>
    <w:qFormat/>
    <w:rsid w:val="004C0CE9"/>
    <w:rPr>
      <w:b/>
      <w:i/>
      <w:u w:val="none"/>
    </w:rPr>
  </w:style>
  <w:style w:type="paragraph" w:styleId="BalloonText">
    <w:name w:val="Balloon Text"/>
    <w:basedOn w:val="Normal"/>
    <w:link w:val="BalloonTextChar"/>
    <w:rsid w:val="004C0C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0C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0C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0C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0C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0C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0CE9"/>
    <w:pPr>
      <w:spacing w:before="0" w:after="0"/>
    </w:pPr>
  </w:style>
  <w:style w:type="paragraph" w:customStyle="1" w:styleId="BodyTextBold">
    <w:name w:val="Body Text Bold"/>
    <w:basedOn w:val="BodyText"/>
    <w:qFormat/>
    <w:rsid w:val="004C0CE9"/>
    <w:rPr>
      <w:b/>
    </w:rPr>
  </w:style>
  <w:style w:type="character" w:styleId="Hyperlink">
    <w:name w:val="Hyperlink"/>
    <w:basedOn w:val="DefaultParagraphFont"/>
    <w:uiPriority w:val="99"/>
    <w:unhideWhenUsed/>
    <w:rsid w:val="005A64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1307</Words>
  <Characters>8195</Characters>
  <Application>Microsoft Office Word</Application>
  <DocSecurity>0</DocSecurity>
  <Lines>372</Lines>
  <Paragraphs>211</Paragraphs>
  <ScaleCrop>false</ScaleCrop>
  <Company>Author-it Software Corporation Ltd.</Company>
  <LinksUpToDate>false</LinksUpToDate>
  <CharactersWithSpaces>9291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MARL002 Apply basic principles of naval architecture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2025-03-01T08:52:00Z</dcterms:created>
  <dcterms:modified xsi:type="dcterms:W3CDTF">2025-03-01T08:52:00Z</dcterms:modified>
</cp:coreProperties>
</file>