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CC2" w:rsidP="00BF7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MARK009 Manoeuvre a vessel up to 80 metres</w:t>
      </w:r>
      <w:r>
        <w:fldChar w:fldCharType="end"/>
      </w:r>
    </w:p>
    <w:p w:rsidR="00BF7CC2" w:rsidP="00BF7CC2">
      <w:pPr>
        <w:pStyle w:val="Version"/>
        <w:sectPr w:rsidSect="00BC5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6EB" w:rsidP="00BC56EB">
      <w:pPr>
        <w:pStyle w:val="SuperHeading"/>
      </w:pPr>
      <w:r w:rsidRPr="00BC56EB">
        <w:t>MARK009 Manoeuvre a vessel up to 80 metres</w:t>
      </w:r>
    </w:p>
    <w:p w:rsidR="00000000" w:rsidRPr="00BC56EB" w:rsidP="00BC56EB">
      <w:pPr>
        <w:pStyle w:val="Heading1"/>
      </w:pPr>
      <w:bookmarkStart w:id="1" w:name="O_1087560"/>
      <w:bookmarkEnd w:id="1"/>
      <w:r w:rsidRPr="00BC56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t>Release 1. This is the first release of this unit of competency in the MAR Maritime Training Package.</w:t>
            </w:r>
          </w:p>
        </w:tc>
      </w:tr>
    </w:tbl>
    <w:p w:rsidR="00BF7CC2" w:rsidP="00BC56EB">
      <w:pPr>
        <w:pStyle w:val="NoPaddingFontSize1"/>
      </w:pPr>
    </w:p>
    <w:p w:rsidR="00BF7CC2" w:rsidP="00BC56EB">
      <w:pPr>
        <w:pStyle w:val="NoPaddingFontSize1"/>
      </w:pPr>
    </w:p>
    <w:p w:rsidR="00000000" w:rsidRPr="00BC56EB" w:rsidP="00BC56EB">
      <w:pPr>
        <w:pStyle w:val="Heading1"/>
      </w:pPr>
      <w:bookmarkStart w:id="2" w:name="O_1087561"/>
      <w:bookmarkEnd w:id="2"/>
      <w:r w:rsidRPr="00BC56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t>This unit involves the skills and knowledge required to manoeuvre a vessel less than 80 metres.</w:t>
            </w:r>
          </w:p>
          <w:p w:rsidR="00000000" w:rsidRPr="00BC56EB" w:rsidP="00BC56EB">
            <w:pPr>
              <w:pStyle w:val="BodyText"/>
            </w:pPr>
            <w:r w:rsidRPr="00BC56EB">
              <w:t>Thi</w:t>
            </w:r>
            <w:r w:rsidRPr="00BC56EB">
              <w:t>s includes manoeuvring vessel in normal conditions, manoeuvring vessel in adverse weather conditions, manoeuvring vessel in emergencies, and towing and being towed.</w:t>
            </w:r>
          </w:p>
          <w:p w:rsidR="00000000" w:rsidRPr="00BC56EB" w:rsidP="00BC56EB">
            <w:pPr>
              <w:pStyle w:val="BodyText"/>
            </w:pPr>
            <w:r w:rsidRPr="00BC56EB">
              <w:t>This unit applies to people working in the maritime industry in the capacity of Master on a</w:t>
            </w:r>
            <w:r w:rsidRPr="00BC56EB">
              <w:t xml:space="preserve"> range of vessels less than 80 metres.</w:t>
            </w:r>
          </w:p>
          <w:p w:rsidR="00000000" w:rsidRPr="00BC56EB" w:rsidP="00BC56EB">
            <w:pPr>
              <w:pStyle w:val="BodyText"/>
            </w:pPr>
            <w:r w:rsidRPr="00BC56EB">
              <w:t>This unit applies to people working in the maritime industry in the capacity of:</w:t>
            </w:r>
          </w:p>
          <w:p w:rsidR="00000000" w:rsidRPr="00BC56EB" w:rsidP="00BC56EB">
            <w:pPr>
              <w:pStyle w:val="ListBullet"/>
            </w:pPr>
            <w:r w:rsidRPr="00BC56EB">
              <w:t>Master of a commercial vessel less than 35 metres in length within the exclusive economic zone (EEZ)</w:t>
            </w:r>
          </w:p>
          <w:p w:rsidR="00000000" w:rsidRPr="00BC56EB" w:rsidP="00BC56EB">
            <w:pPr>
              <w:pStyle w:val="ListBullet"/>
            </w:pPr>
            <w:r w:rsidRPr="00BC56EB">
              <w:t>Master of a vessel less than 80 me</w:t>
            </w:r>
            <w:r w:rsidRPr="00BC56EB">
              <w:t>tres in length in inshore waters</w:t>
            </w:r>
          </w:p>
          <w:p w:rsidR="00000000" w:rsidRPr="00BC56EB" w:rsidP="00BC56EB">
            <w:pPr>
              <w:pStyle w:val="ListBullet"/>
            </w:pPr>
            <w:r w:rsidRPr="00BC56EB">
              <w:t>Chief Mate or deck watchkeeper on a vessel less than 80 metres in length within the EEZ.</w:t>
            </w:r>
          </w:p>
          <w:p w:rsidR="00000000" w:rsidRPr="00BC56EB" w:rsidP="00BC56EB">
            <w:pPr>
              <w:pStyle w:val="BodyText"/>
            </w:pPr>
            <w:r w:rsidRPr="00BC56EB">
              <w:rPr>
                <w:rStyle w:val="SpecialBold"/>
              </w:rPr>
              <w:t>Licensing/Regulatory Information</w:t>
            </w:r>
          </w:p>
          <w:p w:rsidR="00000000" w:rsidRPr="00BC56EB" w:rsidP="00BC56EB">
            <w:pPr>
              <w:pStyle w:val="BodyText"/>
            </w:pPr>
            <w:r w:rsidRPr="00BC56EB">
              <w:t xml:space="preserve">Legislative and regulatory requirements are applicable to this unit. </w:t>
            </w:r>
          </w:p>
          <w:p w:rsidR="00000000" w:rsidRPr="00BC56EB" w:rsidP="00BC56EB">
            <w:pPr>
              <w:pStyle w:val="BodyText"/>
            </w:pPr>
            <w:r w:rsidRPr="00BC56EB">
              <w:t>This unit is one of the requirements to obtain Australian Maritime Safety Authority (AMSA) certification as a Master of a commercial vessel less than 80 metres in length as defined in the National Standard for Commercial Vessels (NSCV) Part D.</w:t>
            </w:r>
          </w:p>
        </w:tc>
      </w:tr>
    </w:tbl>
    <w:p w:rsidR="00BF7CC2" w:rsidP="00BC56EB">
      <w:pPr>
        <w:pStyle w:val="NoPaddingFontSize1"/>
      </w:pPr>
    </w:p>
    <w:p w:rsidR="00BF7CC2" w:rsidP="00BC56EB">
      <w:pPr>
        <w:pStyle w:val="NoPaddingFontSize1"/>
      </w:pPr>
    </w:p>
    <w:p w:rsidR="00000000" w:rsidRPr="00BC56EB" w:rsidP="00BC56EB">
      <w:pPr>
        <w:pStyle w:val="Heading1"/>
      </w:pPr>
      <w:bookmarkStart w:id="3" w:name="O_1087562"/>
      <w:bookmarkEnd w:id="3"/>
      <w:r w:rsidRPr="00BC56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t>Not applicable.</w:t>
            </w:r>
          </w:p>
        </w:tc>
      </w:tr>
    </w:tbl>
    <w:p w:rsidR="00BF7CC2" w:rsidP="00BC56EB">
      <w:pPr>
        <w:pStyle w:val="NoPaddingFontSize1"/>
      </w:pPr>
    </w:p>
    <w:p w:rsidR="00BF7CC2" w:rsidP="00BC56EB">
      <w:pPr>
        <w:pStyle w:val="NoPaddingFontSize1"/>
      </w:pPr>
    </w:p>
    <w:p w:rsidR="00000000" w:rsidRPr="00BC56EB" w:rsidP="00BC56EB">
      <w:pPr>
        <w:pStyle w:val="Heading1"/>
      </w:pPr>
      <w:bookmarkStart w:id="4" w:name="O_1087563"/>
      <w:bookmarkEnd w:id="4"/>
      <w:r w:rsidRPr="00BC56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t>K – Manoeuvring Vessels</w:t>
            </w:r>
          </w:p>
        </w:tc>
      </w:tr>
    </w:tbl>
    <w:p w:rsidR="00BF7CC2" w:rsidP="00BC56EB">
      <w:pPr>
        <w:pStyle w:val="NoPaddingFontSize1"/>
      </w:pPr>
    </w:p>
    <w:p w:rsidR="00BF7CC2" w:rsidP="00BC56EB">
      <w:pPr>
        <w:pStyle w:val="NoPaddingFontSize1"/>
      </w:pPr>
    </w:p>
    <w:p w:rsidR="00000000" w:rsidRPr="00BC56EB" w:rsidP="00BC56EB">
      <w:pPr>
        <w:pStyle w:val="Heading1"/>
      </w:pPr>
      <w:bookmarkStart w:id="5" w:name="O_1087564"/>
      <w:bookmarkEnd w:id="5"/>
      <w:r w:rsidRPr="00BC56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t>Not applicable.</w:t>
            </w:r>
          </w:p>
        </w:tc>
      </w:tr>
    </w:tbl>
    <w:p w:rsidR="00BF7CC2" w:rsidP="00BC56EB">
      <w:pPr>
        <w:pStyle w:val="NoPaddingFontSize1"/>
      </w:pPr>
    </w:p>
    <w:p w:rsidR="00BF7CC2" w:rsidP="00BC56EB">
      <w:pPr>
        <w:pStyle w:val="NoPaddingFontSize1"/>
      </w:pPr>
    </w:p>
    <w:p w:rsidR="00000000" w:rsidRPr="00BC56EB" w:rsidP="00BC56EB">
      <w:pPr>
        <w:pStyle w:val="Heading1"/>
      </w:pPr>
      <w:bookmarkStart w:id="6" w:name="O_1087565"/>
      <w:bookmarkEnd w:id="6"/>
      <w:r w:rsidRPr="00BC56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PERFORMANCE CRITERIA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Performance criteria describe the performance needed to demonstrate achievement of the element.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rPr>
                <w:rStyle w:val="SpecialBold"/>
              </w:rPr>
              <w:t>Manoeuvre vessel in normal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Features of vessel that relate to its handling characteristics are rec</w:t>
            </w:r>
            <w:r w:rsidRPr="00BC56EB">
              <w:t>ognised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Adequate resources are organised prior to and during operations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Details of manoeuvres are communicated to relevant personnel clearly and concisely using standard maritime vocabulary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Situational awareness is maintained to ensure safe manoeuvres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Manoeuvres are completed in relevant conditions of tide and wind to meet passage requirements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Propulsion equipment is used and monitored to assist in completing manoeuvres safely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Appropriate alterations to vessel heading and power are made in response to operational environment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Safe operating limits of propulsion and steering systems are not exceeded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rPr>
                <w:rStyle w:val="SpecialBold"/>
              </w:rPr>
              <w:t>Manoeuvre vessel in adverse weather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Nature of adverse weather conditions is identified and implications for vessel operations are evaluated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Preparations are made and required precautions are taken to minimise risk and damage to vessel, personnel and time loss on passage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Manoeuv</w:t>
            </w:r>
            <w:r w:rsidRPr="00BC56EB">
              <w:t>res are adjusted to allow for weather and sea conditions, and to keep vessel in safe water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Propulsion equipment is used and monitored to assist in completing actions safely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Heading is maintained within acceptable limits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 xml:space="preserve">Appropriate allowance is made for effects of deadweight, draft, trim, speed and underwater keel </w:t>
            </w:r>
            <w:r w:rsidRPr="00BC56EB">
              <w:t>clearances during turning circles and stopping distance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Safe operating limits of propulsion and steering equipment are not exceeded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Situational awareness is maintained at all times to review actions and ensure safety of vessel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rPr>
                <w:rStyle w:val="SpecialBold"/>
              </w:rPr>
              <w:t>Manoeuvre vessel in 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Nature of emergency is established and required action is determined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 xml:space="preserve">Risks to vessel and safety of persons onboard </w:t>
            </w:r>
            <w:r w:rsidRPr="00BC56EB">
              <w:t>are assessed and safety of required action is confirmed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Details of action are communicated to relevant personnel clearly and concisely using standard maritime vocabulary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Appropriate manoeuvres are made during emergency to maintain safety of vessel and those onboard, and any other vessels or persons involved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Propulsion equipment is used and monitored to assist in completing actions safely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Safe operating limits</w:t>
            </w:r>
            <w:r w:rsidRPr="00BC56EB">
              <w:t xml:space="preserve"> of propulsion and steering equipment are not exceeded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Special handling techniques are correctly applied during launching of boats or life rafts and rescues of persons overboard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rPr>
                <w:rStyle w:val="SpecialBold"/>
              </w:rPr>
              <w:t>Tow and be towed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t>Preparations for towing are safely made accordi</w:t>
            </w:r>
            <w:r w:rsidRPr="00BC56EB">
              <w:t>ng to established nautical practice</w:t>
            </w:r>
          </w:p>
        </w:tc>
      </w:tr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EB">
            <w:pPr>
              <w:pStyle w:val="BodyText"/>
              <w:rPr>
                <w:lang w:val="en-NZ"/>
              </w:rPr>
            </w:pPr>
            <w:r w:rsidRPr="00BC56E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t>Correct towing procedures and precautions are applied when towing and being towed</w:t>
            </w:r>
          </w:p>
        </w:tc>
      </w:tr>
    </w:tbl>
    <w:p w:rsidR="00BF7CC2" w:rsidP="00BC56EB">
      <w:pPr>
        <w:pStyle w:val="NoPaddingFontSize1"/>
      </w:pPr>
    </w:p>
    <w:p w:rsidR="00BF7CC2" w:rsidP="00BC56EB">
      <w:pPr>
        <w:pStyle w:val="NoPaddingFontSize1"/>
      </w:pPr>
    </w:p>
    <w:p w:rsidR="00000000" w:rsidRPr="00BC56EB" w:rsidP="00BC56EB">
      <w:pPr>
        <w:pStyle w:val="Heading1"/>
      </w:pPr>
      <w:bookmarkStart w:id="7" w:name="O_1087566"/>
      <w:bookmarkEnd w:id="7"/>
      <w:r w:rsidRPr="00BC56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t>Foundation skills essential to performance are explicit in the performance criteria of this unit of competency.</w:t>
            </w:r>
          </w:p>
        </w:tc>
      </w:tr>
    </w:tbl>
    <w:p w:rsidR="00BF7CC2" w:rsidP="00BC56EB">
      <w:pPr>
        <w:pStyle w:val="NoPaddingFontSize1"/>
      </w:pPr>
    </w:p>
    <w:p w:rsidR="00BF7CC2" w:rsidP="00BC56EB">
      <w:pPr>
        <w:pStyle w:val="NoPaddingFontSize1"/>
      </w:pPr>
    </w:p>
    <w:p w:rsidR="00000000" w:rsidRPr="00BC56EB" w:rsidP="00BC56EB">
      <w:pPr>
        <w:pStyle w:val="Heading1"/>
      </w:pPr>
      <w:bookmarkStart w:id="8" w:name="O_1087567"/>
      <w:bookmarkEnd w:id="8"/>
      <w:r w:rsidRPr="00BC56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t>Range is restricted to essential operating conditions and any other variables essential to the work en</w:t>
            </w:r>
            <w:r w:rsidRPr="00BC56EB">
              <w:t>vironment.</w:t>
            </w:r>
          </w:p>
        </w:tc>
      </w:tr>
    </w:tbl>
    <w:p w:rsidR="00BF7CC2" w:rsidP="00BC56EB">
      <w:pPr>
        <w:pStyle w:val="NoPaddingFontSize1"/>
      </w:pPr>
    </w:p>
    <w:p w:rsidR="00BF7CC2" w:rsidP="00BC56EB">
      <w:pPr>
        <w:pStyle w:val="NoPaddingFontSize1"/>
      </w:pPr>
    </w:p>
    <w:p w:rsidR="00000000" w:rsidRPr="00BC56EB" w:rsidP="00BC56EB">
      <w:pPr>
        <w:pStyle w:val="Heading1"/>
      </w:pPr>
      <w:bookmarkStart w:id="9" w:name="O_1087568"/>
      <w:bookmarkEnd w:id="9"/>
      <w:r w:rsidRPr="00BC56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EB" w:rsidP="00BC56EB">
            <w:pPr>
              <w:pStyle w:val="BodyText"/>
            </w:pPr>
            <w:r w:rsidRPr="00BC56EB">
              <w:t>This unit replaces and is equivalent to MARK003 Manoeuvre a vessel up to 80 metres.</w:t>
            </w:r>
          </w:p>
        </w:tc>
      </w:tr>
    </w:tbl>
    <w:p w:rsidR="00BF7CC2" w:rsidP="00BC56EB">
      <w:pPr>
        <w:pStyle w:val="NoPaddingFontSize1"/>
      </w:pPr>
    </w:p>
    <w:p w:rsidR="00BF7CC2" w:rsidP="00BC56EB">
      <w:pPr>
        <w:pStyle w:val="NoPaddingFontSize1"/>
      </w:pPr>
    </w:p>
    <w:p w:rsidR="00000000" w:rsidRPr="00BC56EB" w:rsidP="00BC56EB">
      <w:pPr>
        <w:pStyle w:val="Heading1"/>
      </w:pPr>
      <w:bookmarkStart w:id="10" w:name="O_1087575"/>
      <w:bookmarkEnd w:id="10"/>
      <w:r w:rsidRPr="00BC56EB">
        <w:t>Links</w:t>
      </w:r>
    </w:p>
    <w:p w:rsidR="00000000" w:rsidRPr="00BC56EB" w:rsidP="00BF7CC2">
      <w:pPr>
        <w:pStyle w:val="BodyText"/>
      </w:pPr>
      <w:r w:rsidRPr="00BC56EB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47A3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C56EB" w:rsidP="00BC56EB"/>
    <w:sectPr w:rsidSect="00BC56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EB" w:rsidRPr="00BF7CC2" w:rsidP="00BF7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CC2" w:rsidP="00BC5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7CC2" w:rsidP="00BC5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7CC2" w:rsidP="00BC5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6EB" w:rsidRPr="00BF7CC2" w:rsidP="00BF7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CC2" w:rsidRPr="002D2AF8" w:rsidP="00BC5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MARK009 Manoeuvre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F7CC2" w:rsidP="00BC5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128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9EC0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6EB"/>
  </w:style>
  <w:style w:type="character" w:customStyle="1" w:styleId="Heading1Char">
    <w:name w:val="Heading 1 Char"/>
    <w:basedOn w:val="DefaultParagraphFont"/>
    <w:link w:val="Heading1"/>
    <w:rsid w:val="00BC5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6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6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6EB"/>
    <w:rPr>
      <w:b/>
      <w:spacing w:val="0"/>
    </w:rPr>
  </w:style>
  <w:style w:type="paragraph" w:customStyle="1" w:styleId="SuperHeading">
    <w:name w:val="SuperHeading"/>
    <w:basedOn w:val="Normal"/>
    <w:rsid w:val="00BC5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5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6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6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6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6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6EB"/>
    <w:rPr>
      <w:i/>
    </w:rPr>
  </w:style>
  <w:style w:type="paragraph" w:styleId="Caption">
    <w:name w:val="caption"/>
    <w:basedOn w:val="BodyText"/>
    <w:next w:val="Normal"/>
    <w:qFormat/>
    <w:rsid w:val="00BC5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6EB"/>
  </w:style>
  <w:style w:type="paragraph" w:styleId="TableofFigures">
    <w:name w:val="table of figures"/>
    <w:basedOn w:val="Normal"/>
    <w:next w:val="Normal"/>
    <w:semiHidden/>
    <w:rsid w:val="00BC5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6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56EB"/>
    <w:rPr>
      <w:rFonts w:ascii="Wingdings" w:hAnsi="Wingdings"/>
    </w:rPr>
  </w:style>
  <w:style w:type="paragraph" w:customStyle="1" w:styleId="TableHeading">
    <w:name w:val="Table Heading"/>
    <w:basedOn w:val="HeadingBase"/>
    <w:rsid w:val="00BC5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6EB"/>
    <w:rPr>
      <w:color w:val="0033CC"/>
      <w:u w:val="none"/>
    </w:rPr>
  </w:style>
  <w:style w:type="paragraph" w:customStyle="1" w:styleId="BodyTextRight">
    <w:name w:val="Body Text Right"/>
    <w:basedOn w:val="BodyText"/>
    <w:rsid w:val="00BC5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6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6EB"/>
    <w:rPr>
      <w:sz w:val="32"/>
    </w:rPr>
  </w:style>
  <w:style w:type="paragraph" w:customStyle="1" w:styleId="HeadingProcedure">
    <w:name w:val="Heading Procedure"/>
    <w:basedOn w:val="HeadingBase"/>
    <w:next w:val="Normal"/>
    <w:rsid w:val="00BC5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6EB"/>
    <w:pPr>
      <w:spacing w:before="60" w:after="60"/>
    </w:pPr>
  </w:style>
  <w:style w:type="paragraph" w:styleId="ListContinue">
    <w:name w:val="List Continue"/>
    <w:basedOn w:val="List"/>
    <w:rsid w:val="00BC56EB"/>
    <w:pPr>
      <w:ind w:firstLine="0"/>
    </w:pPr>
  </w:style>
  <w:style w:type="paragraph" w:customStyle="1" w:styleId="ListNote">
    <w:name w:val="List Note"/>
    <w:basedOn w:val="List"/>
    <w:rsid w:val="00BC5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6EB"/>
    <w:rPr>
      <w:rFonts w:ascii="Courier New" w:hAnsi="Courier New"/>
    </w:rPr>
  </w:style>
  <w:style w:type="paragraph" w:customStyle="1" w:styleId="NoteBullet">
    <w:name w:val="Note Bullet"/>
    <w:basedOn w:val="Note"/>
    <w:rsid w:val="00BC5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6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5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6EB"/>
    <w:rPr>
      <w:b/>
      <w:smallCaps/>
    </w:rPr>
  </w:style>
  <w:style w:type="paragraph" w:customStyle="1" w:styleId="TableListNumber">
    <w:name w:val="Table List Number"/>
    <w:basedOn w:val="ListNumber"/>
    <w:rsid w:val="00BC5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6EB"/>
    <w:pPr>
      <w:numPr>
        <w:numId w:val="8"/>
      </w:numPr>
    </w:pPr>
  </w:style>
  <w:style w:type="paragraph" w:customStyle="1" w:styleId="ListAlpha2">
    <w:name w:val="List Alpha 2"/>
    <w:basedOn w:val="List2"/>
    <w:rsid w:val="00BC56EB"/>
    <w:pPr>
      <w:numPr>
        <w:numId w:val="7"/>
      </w:numPr>
    </w:pPr>
  </w:style>
  <w:style w:type="paragraph" w:styleId="List2">
    <w:name w:val="List 2"/>
    <w:basedOn w:val="BodyText"/>
    <w:rsid w:val="00BC5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6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6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56EB"/>
    <w:pPr>
      <w:numPr>
        <w:numId w:val="3"/>
      </w:numPr>
    </w:pPr>
  </w:style>
  <w:style w:type="paragraph" w:styleId="ListContinue2">
    <w:name w:val="List Continue 2"/>
    <w:basedOn w:val="List2"/>
    <w:rsid w:val="00BC56EB"/>
    <w:pPr>
      <w:ind w:firstLine="0"/>
    </w:pPr>
  </w:style>
  <w:style w:type="paragraph" w:styleId="ListContinue3">
    <w:name w:val="List Continue 3"/>
    <w:basedOn w:val="List3"/>
    <w:rsid w:val="00BC56EB"/>
    <w:pPr>
      <w:ind w:left="1021" w:firstLine="0"/>
    </w:pPr>
  </w:style>
  <w:style w:type="paragraph" w:styleId="ListContinue4">
    <w:name w:val="List Continue 4"/>
    <w:basedOn w:val="List4"/>
    <w:rsid w:val="00BC56EB"/>
    <w:pPr>
      <w:ind w:firstLine="0"/>
    </w:pPr>
  </w:style>
  <w:style w:type="paragraph" w:styleId="ListContinue5">
    <w:name w:val="List Continue 5"/>
    <w:basedOn w:val="List5"/>
    <w:rsid w:val="00BC56EB"/>
    <w:pPr>
      <w:ind w:firstLine="0"/>
    </w:pPr>
  </w:style>
  <w:style w:type="paragraph" w:styleId="ListNumber3">
    <w:name w:val="List Number 3"/>
    <w:basedOn w:val="List3"/>
    <w:rsid w:val="00BC56EB"/>
    <w:pPr>
      <w:numPr>
        <w:numId w:val="4"/>
      </w:numPr>
    </w:pPr>
  </w:style>
  <w:style w:type="paragraph" w:styleId="ListNumber4">
    <w:name w:val="List Number 4"/>
    <w:basedOn w:val="List4"/>
    <w:rsid w:val="00BC56EB"/>
    <w:pPr>
      <w:numPr>
        <w:numId w:val="5"/>
      </w:numPr>
    </w:pPr>
  </w:style>
  <w:style w:type="paragraph" w:styleId="ListNumber5">
    <w:name w:val="List Number 5"/>
    <w:basedOn w:val="List5"/>
    <w:rsid w:val="00BC56EB"/>
    <w:pPr>
      <w:numPr>
        <w:numId w:val="6"/>
      </w:numPr>
    </w:pPr>
  </w:style>
  <w:style w:type="paragraph" w:styleId="BlockText">
    <w:name w:val="Block Text"/>
    <w:basedOn w:val="Normal"/>
    <w:rsid w:val="00BC5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6EB"/>
    <w:rPr>
      <w:sz w:val="16"/>
      <w:vertAlign w:val="superscript"/>
    </w:rPr>
  </w:style>
  <w:style w:type="character" w:customStyle="1" w:styleId="Symbols">
    <w:name w:val="Symbols"/>
    <w:basedOn w:val="DefaultParagraphFont"/>
    <w:rsid w:val="00BC56EB"/>
    <w:rPr>
      <w:rFonts w:ascii="Symbol" w:hAnsi="Symbol"/>
    </w:rPr>
  </w:style>
  <w:style w:type="character" w:customStyle="1" w:styleId="MenuOptions">
    <w:name w:val="Menu Options"/>
    <w:basedOn w:val="DefaultParagraphFont"/>
    <w:rsid w:val="00BC5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6EB"/>
    <w:rPr>
      <w:b/>
    </w:rPr>
  </w:style>
  <w:style w:type="character" w:customStyle="1" w:styleId="Underlined">
    <w:name w:val="Underlined"/>
    <w:basedOn w:val="DefaultParagraphFont"/>
    <w:rsid w:val="00BC56EB"/>
    <w:rPr>
      <w:u w:val="single"/>
    </w:rPr>
  </w:style>
  <w:style w:type="paragraph" w:customStyle="1" w:styleId="TableBodyTextRight">
    <w:name w:val="Table Body Text Right"/>
    <w:basedOn w:val="TableBodyText"/>
    <w:rsid w:val="00BC5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6EB"/>
    <w:rPr>
      <w:sz w:val="18"/>
    </w:rPr>
  </w:style>
  <w:style w:type="paragraph" w:customStyle="1" w:styleId="BodySmallRight">
    <w:name w:val="Body Small Right"/>
    <w:basedOn w:val="BodyTextRight"/>
    <w:rsid w:val="00BC56EB"/>
    <w:rPr>
      <w:sz w:val="18"/>
      <w:szCs w:val="18"/>
    </w:rPr>
  </w:style>
  <w:style w:type="paragraph" w:customStyle="1" w:styleId="MarginEdition">
    <w:name w:val="Margin Edition"/>
    <w:basedOn w:val="MarginNote"/>
    <w:rsid w:val="00BC5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6EB"/>
    <w:rPr>
      <w:sz w:val="2"/>
      <w:szCs w:val="2"/>
    </w:rPr>
  </w:style>
  <w:style w:type="character" w:customStyle="1" w:styleId="Small">
    <w:name w:val="Small"/>
    <w:basedOn w:val="DefaultParagraphFont"/>
    <w:rsid w:val="00BC56EB"/>
    <w:rPr>
      <w:sz w:val="16"/>
    </w:rPr>
  </w:style>
  <w:style w:type="paragraph" w:customStyle="1" w:styleId="WideTable">
    <w:name w:val="Wide Table"/>
    <w:basedOn w:val="Normal"/>
    <w:rsid w:val="00BC5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6EB"/>
  </w:style>
  <w:style w:type="paragraph" w:styleId="Quote">
    <w:name w:val="Quote"/>
    <w:basedOn w:val="Heading1"/>
    <w:link w:val="QuoteChar"/>
    <w:qFormat/>
    <w:rsid w:val="00BC5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6EB"/>
    <w:pPr>
      <w:pageBreakBefore/>
    </w:pPr>
  </w:style>
  <w:style w:type="paragraph" w:customStyle="1" w:styleId="Border">
    <w:name w:val="Border"/>
    <w:basedOn w:val="Normal"/>
    <w:qFormat/>
    <w:rsid w:val="00BC5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6EB"/>
    <w:rPr>
      <w:u w:val="single"/>
    </w:rPr>
  </w:style>
  <w:style w:type="character" w:customStyle="1" w:styleId="BoldandItalics">
    <w:name w:val="Bold and Italics"/>
    <w:qFormat/>
    <w:rsid w:val="00BC56EB"/>
    <w:rPr>
      <w:b/>
      <w:i/>
      <w:u w:val="none"/>
    </w:rPr>
  </w:style>
  <w:style w:type="paragraph" w:styleId="BalloonText">
    <w:name w:val="Balloon Text"/>
    <w:basedOn w:val="Normal"/>
    <w:link w:val="BalloonTextChar"/>
    <w:rsid w:val="00BC5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6EB"/>
    <w:pPr>
      <w:spacing w:before="0" w:after="0"/>
    </w:pPr>
  </w:style>
  <w:style w:type="paragraph" w:customStyle="1" w:styleId="BodyTextBold">
    <w:name w:val="Body Text Bold"/>
    <w:basedOn w:val="BodyText"/>
    <w:qFormat/>
    <w:rsid w:val="00BC56EB"/>
    <w:rPr>
      <w:b/>
    </w:rPr>
  </w:style>
  <w:style w:type="character" w:styleId="Hyperlink">
    <w:name w:val="Hyperlink"/>
    <w:basedOn w:val="DefaultParagraphFont"/>
    <w:uiPriority w:val="99"/>
    <w:unhideWhenUsed/>
    <w:rsid w:val="00BF7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4239</Characters>
  <Application>Microsoft Office Word</Application>
  <DocSecurity>0</DocSecurity>
  <Lines>211</Lines>
  <Paragraphs>113</Paragraphs>
  <ScaleCrop>false</ScaleCrop>
  <Company>Author-it Software Corporation Ltd.</Company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MARK009 Manoeuvre a vessel up to 80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2022-12-20T02:35:00Z</dcterms:created>
  <dcterms:modified xsi:type="dcterms:W3CDTF">2022-12-20T02:35:00Z</dcterms:modified>
</cp:coreProperties>
</file>