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73BB" w:rsidP="007873BB">
      <w:pPr>
        <w:pStyle w:val="Title"/>
      </w:pPr>
      <w:r>
        <w:fldChar w:fldCharType="begin"/>
      </w:r>
      <w:r>
        <w:instrText xml:space="preserve"> TITLE   \* MERGEFORMAT </w:instrText>
      </w:r>
      <w:r>
        <w:fldChar w:fldCharType="separate"/>
      </w:r>
      <w:r>
        <w:t>MARJ008 Ensure compliance with pollution prevention requirements</w:t>
      </w:r>
      <w:r>
        <w:fldChar w:fldCharType="end"/>
      </w:r>
    </w:p>
    <w:p w:rsidR="007873BB" w:rsidP="007873BB">
      <w:pPr>
        <w:pStyle w:val="Version"/>
        <w:sectPr w:rsidSect="00DA16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A164A" w:rsidP="00DA164A">
      <w:pPr>
        <w:pStyle w:val="SuperHeading"/>
      </w:pPr>
      <w:r w:rsidRPr="00DA164A">
        <w:t>MARJ008 Ensure compliance with pollution prevention requirements</w:t>
      </w:r>
    </w:p>
    <w:p w:rsidR="00000000" w:rsidRPr="00DA164A" w:rsidP="00DA164A">
      <w:pPr>
        <w:pStyle w:val="Heading1"/>
      </w:pPr>
      <w:bookmarkStart w:id="1" w:name="O_1285688"/>
      <w:bookmarkEnd w:id="1"/>
      <w:r w:rsidRPr="00DA164A">
        <w:t>Modification History</w:t>
      </w:r>
    </w:p>
    <w:tbl>
      <w:tblPr>
        <w:tblW w:w="9497" w:type="dxa"/>
        <w:tblLayout w:type="fixed"/>
        <w:tblCellMar>
          <w:left w:w="62" w:type="dxa"/>
          <w:right w:w="62" w:type="dxa"/>
        </w:tblCellMar>
        <w:tblLook w:val="0000"/>
      </w:tblPr>
      <w:tblGrid>
        <w:gridCol w:w="9497"/>
      </w:tblGrid>
      <w:tr w:rsidTr="00DA16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64A" w:rsidP="00DA164A">
            <w:pPr>
              <w:pStyle w:val="BodyText"/>
            </w:pPr>
            <w:r w:rsidRPr="00DA164A">
              <w:rPr>
                <w:rStyle w:val="SpecialBold"/>
              </w:rPr>
              <w:t>Release 2</w:t>
            </w:r>
            <w:r w:rsidRPr="00DA164A">
              <w:t>. This is the second release of this unit of competency in the MAR Maritime Training Package.</w:t>
            </w:r>
          </w:p>
          <w:p w:rsidR="00000000" w:rsidRPr="00DA164A" w:rsidP="00DA164A">
            <w:pPr>
              <w:pStyle w:val="ListBullet"/>
            </w:pPr>
            <w:r w:rsidRPr="00DA164A">
              <w:t>Minor statement changes in unit Application</w:t>
            </w:r>
          </w:p>
          <w:p w:rsidR="00000000" w:rsidP="00DA164A">
            <w:pPr>
              <w:pStyle w:val="ListBullet"/>
              <w:rPr>
                <w:lang w:val="en-NZ"/>
              </w:rPr>
            </w:pPr>
            <w:r w:rsidRPr="00DA164A">
              <w:t>Minor statement changes in Knowledge Evidence.</w:t>
            </w:r>
          </w:p>
        </w:tc>
      </w:tr>
      <w:tr w:rsidTr="00DA16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64A" w:rsidP="00DA164A">
            <w:pPr>
              <w:pStyle w:val="BodyText"/>
            </w:pPr>
            <w:r w:rsidRPr="00DA164A">
              <w:rPr>
                <w:rStyle w:val="SpecialBold"/>
              </w:rPr>
              <w:t>Release 1</w:t>
            </w:r>
            <w:r w:rsidRPr="00DA164A">
              <w:t>. This is the first release of this unit of competency in the MAR Maritime Training Package.</w:t>
            </w:r>
          </w:p>
        </w:tc>
      </w:tr>
    </w:tbl>
    <w:p w:rsidR="00000000" w:rsidRPr="00DA164A" w:rsidP="00DA164A">
      <w:pPr>
        <w:pStyle w:val="NoPaddingFontSize1"/>
      </w:pPr>
    </w:p>
    <w:p w:rsidR="00000000" w:rsidRPr="00DA164A" w:rsidP="00DA164A">
      <w:pPr>
        <w:pStyle w:val="AllowPageBreak"/>
      </w:pPr>
    </w:p>
    <w:p w:rsidR="00000000" w:rsidRPr="00DA164A" w:rsidP="00DA164A">
      <w:pPr>
        <w:pStyle w:val="Heading1"/>
      </w:pPr>
      <w:bookmarkStart w:id="2" w:name="O_1285687"/>
      <w:bookmarkEnd w:id="2"/>
      <w:r w:rsidRPr="00DA164A">
        <w:t>Application</w:t>
      </w:r>
    </w:p>
    <w:tbl>
      <w:tblPr>
        <w:tblW w:w="9497" w:type="dxa"/>
        <w:tblLayout w:type="fixed"/>
        <w:tblCellMar>
          <w:left w:w="62" w:type="dxa"/>
          <w:right w:w="62" w:type="dxa"/>
        </w:tblCellMar>
        <w:tblLook w:val="0000"/>
      </w:tblPr>
      <w:tblGrid>
        <w:gridCol w:w="9497"/>
      </w:tblGrid>
      <w:tr w:rsidTr="00DA16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64A" w:rsidP="00DA164A">
            <w:pPr>
              <w:pStyle w:val="BodyText"/>
            </w:pPr>
            <w:r w:rsidRPr="00DA164A">
              <w:t>This unit involves the skills and knowledge required to monitor and ensur</w:t>
            </w:r>
            <w:r w:rsidRPr="00DA164A">
              <w:t>e compliance with the International Convention for the Prevention of Pollution from Ships (MARPOL) and environmental management legislation.</w:t>
            </w:r>
          </w:p>
          <w:p w:rsidR="00000000" w:rsidRPr="00DA164A" w:rsidP="00DA164A">
            <w:pPr>
              <w:pStyle w:val="BodyText"/>
            </w:pPr>
            <w:r w:rsidRPr="00DA164A">
              <w:t>This unit applies to people working in the maritime industry in the capacity of:</w:t>
            </w:r>
          </w:p>
          <w:p w:rsidR="00000000" w:rsidRPr="00DA164A" w:rsidP="00DA164A">
            <w:pPr>
              <w:pStyle w:val="ListBullet"/>
            </w:pPr>
            <w:r w:rsidRPr="00DA164A">
              <w:t>Electro-Technical Officer (STCW E</w:t>
            </w:r>
            <w:r w:rsidRPr="00DA164A">
              <w:t>lectro-Technical Officer Unlimited)</w:t>
            </w:r>
          </w:p>
          <w:p w:rsidR="00000000" w:rsidRPr="00DA164A" w:rsidP="00DA164A">
            <w:pPr>
              <w:pStyle w:val="ListBullet"/>
            </w:pPr>
            <w:r w:rsidRPr="00DA164A">
              <w:t>Engineer Watchkeeper (STCW Engineer Watchkeeper Unlimited)</w:t>
            </w:r>
          </w:p>
          <w:p w:rsidR="00000000" w:rsidRPr="00DA164A" w:rsidP="00DA164A">
            <w:pPr>
              <w:pStyle w:val="ListBullet"/>
            </w:pPr>
            <w:r w:rsidRPr="00DA164A">
              <w:t>Engineer Class 3 Near Coastal</w:t>
            </w:r>
          </w:p>
          <w:p w:rsidR="00000000" w:rsidRPr="00DA164A" w:rsidP="00DA164A">
            <w:pPr>
              <w:pStyle w:val="ListBullet"/>
            </w:pPr>
            <w:r w:rsidRPr="00DA164A">
              <w:t>Master of a commercial vessel up to 500 gross tonnage (GT)</w:t>
            </w:r>
          </w:p>
          <w:p w:rsidR="00000000" w:rsidRPr="00DA164A" w:rsidP="00DA164A">
            <w:pPr>
              <w:pStyle w:val="ListBullet"/>
            </w:pPr>
            <w:r w:rsidRPr="00DA164A">
              <w:t>Master of a commercial vessel up to 100 metres Near Coastal</w:t>
            </w:r>
          </w:p>
          <w:p w:rsidR="00000000" w:rsidRPr="00DA164A" w:rsidP="00DA164A">
            <w:pPr>
              <w:pStyle w:val="ListBullet"/>
            </w:pPr>
            <w:r w:rsidRPr="00DA164A">
              <w:t>Watchkeeper Deck.</w:t>
            </w:r>
          </w:p>
          <w:p w:rsidR="00000000" w:rsidRPr="00DA164A" w:rsidP="00DA164A">
            <w:pPr>
              <w:pStyle w:val="BodyText"/>
            </w:pPr>
          </w:p>
          <w:p w:rsidR="00000000" w:rsidRPr="00DA164A" w:rsidP="00DA164A">
            <w:pPr>
              <w:pStyle w:val="BodyText"/>
            </w:pPr>
            <w:r w:rsidRPr="00DA164A">
              <w:rPr>
                <w:rStyle w:val="SpecialBold"/>
              </w:rPr>
              <w:t>Licensing/Regulatory Information</w:t>
            </w:r>
          </w:p>
          <w:p w:rsidR="00000000" w:rsidRPr="00DA164A" w:rsidP="00DA164A">
            <w:pPr>
              <w:pStyle w:val="BodyText"/>
            </w:pPr>
            <w:r w:rsidRPr="00DA164A">
              <w:t>Legislative and regulatory requirements are applicable to this unit.</w:t>
            </w:r>
          </w:p>
          <w:p w:rsidR="00000000" w:rsidRPr="00DA164A" w:rsidP="00DA164A">
            <w:pPr>
              <w:pStyle w:val="ListBullet"/>
            </w:pPr>
            <w:r w:rsidRPr="00DA164A">
              <w:t>Regulatory requirements include STCW International Maritime Organisation Organization (IMO) model course competencies and areas of kno</w:t>
            </w:r>
            <w:r w:rsidRPr="00DA164A">
              <w:t>wledge, understanding and proficiency, together with the estimated total hours required for lectures and practical exercises. Teaching staff should note that timings are suggestions only and should be adapted to suit individual groups of trainees depending</w:t>
            </w:r>
            <w:r w:rsidRPr="00DA164A">
              <w:t xml:space="preserve"> on their experience, ability, equipment and staff available for training.</w:t>
            </w:r>
          </w:p>
          <w:p w:rsidR="00000000" w:rsidRPr="00DA164A" w:rsidP="00DA164A">
            <w:pPr>
              <w:pStyle w:val="BodyText"/>
            </w:pPr>
            <w:r w:rsidRPr="00DA164A">
              <w:rPr>
                <w:rStyle w:val="SpecialBold"/>
              </w:rPr>
              <w:t>Near Coastal Qualifications:</w:t>
            </w:r>
          </w:p>
          <w:p w:rsidR="00000000" w:rsidRPr="00DA164A" w:rsidP="00DA164A">
            <w:pPr>
              <w:pStyle w:val="ListBullet"/>
            </w:pPr>
            <w:r w:rsidRPr="00DA164A">
              <w:t xml:space="preserve">This unit is one of the requirements to obtain Australian Maritime Safety Authority (AMSA) certification as an Engineer Class 3 Near Coastal or Master </w:t>
            </w:r>
            <w:r w:rsidRPr="00DA164A">
              <w:t>up to 100 metres Near Coastal as specified in Marine Order 505.</w:t>
            </w:r>
          </w:p>
          <w:p w:rsidR="00000000" w:rsidRPr="00DA164A" w:rsidP="00DA164A">
            <w:pPr>
              <w:pStyle w:val="BodyText"/>
            </w:pPr>
          </w:p>
          <w:p w:rsidR="00000000" w:rsidRPr="00DA164A" w:rsidP="00DA164A">
            <w:pPr>
              <w:pStyle w:val="BodyText"/>
            </w:pPr>
            <w:r w:rsidRPr="00DA164A">
              <w:rPr>
                <w:rStyle w:val="SpecialBold"/>
              </w:rPr>
              <w:t>Blue Waters Qualifications:</w:t>
            </w:r>
          </w:p>
          <w:p w:rsidR="00000000" w:rsidRPr="00DA164A" w:rsidP="00DA164A">
            <w:pPr>
              <w:pStyle w:val="ListBullet"/>
            </w:pPr>
            <w:r w:rsidRPr="00DA164A">
              <w:t>This unit is one of the requirements to obtain Australian Maritime Safety Authority (AMSA) certification as an Electro-Technical Officer (STCW Electro-Technical O</w:t>
            </w:r>
            <w:r w:rsidRPr="00DA164A">
              <w:t xml:space="preserve">fficer Unlimited), Engineer Watchkeeper (STCW Engineer Watchkeeper Unlimited), Master on a commercial vessel up to 500 gross tonnage (GT) or Watchkeeper Deck and to meet regulatory requirements this unit must be delivered consistent with Marine Orders and </w:t>
            </w:r>
            <w:r w:rsidRPr="00DA164A">
              <w:t>with the relevant sections of the International Convention on Standards of Training, Certification and Watchkeeping for Seafarers (STCW).</w:t>
            </w:r>
          </w:p>
          <w:p w:rsidR="00000000" w:rsidRPr="00DA164A" w:rsidP="00DA164A">
            <w:pPr>
              <w:pStyle w:val="BodyText"/>
            </w:pPr>
            <w:r w:rsidRPr="00DA164A">
              <w:t>Training providers seeking to offer this unit of competency must gain AMSA approval before the unit is offered.</w:t>
            </w:r>
          </w:p>
          <w:p w:rsidR="00000000" w:rsidRPr="00DA164A" w:rsidP="00DA164A">
            <w:pPr>
              <w:pStyle w:val="BodyText"/>
            </w:pPr>
            <w:r w:rsidRPr="00DA164A">
              <w:t>Seafar</w:t>
            </w:r>
            <w:r w:rsidRPr="00DA164A">
              <w:t>ers seeking certification should check with AMSA.</w:t>
            </w:r>
          </w:p>
        </w:tc>
      </w:tr>
    </w:tbl>
    <w:p w:rsidR="00000000" w:rsidRPr="00DA164A" w:rsidP="00DA164A">
      <w:pPr>
        <w:pStyle w:val="NoPaddingFontSize1"/>
      </w:pPr>
    </w:p>
    <w:p w:rsidR="00000000" w:rsidRPr="00DA164A" w:rsidP="00DA164A">
      <w:pPr>
        <w:pStyle w:val="AllowPageBreak"/>
      </w:pPr>
    </w:p>
    <w:p w:rsidR="00000000" w:rsidRPr="00DA164A" w:rsidP="00DA164A">
      <w:pPr>
        <w:pStyle w:val="Heading1"/>
      </w:pPr>
      <w:bookmarkStart w:id="3" w:name="O_1285686"/>
      <w:bookmarkEnd w:id="3"/>
      <w:r w:rsidRPr="00DA164A">
        <w:t>Pre-requisite Unit</w:t>
      </w:r>
    </w:p>
    <w:tbl>
      <w:tblPr>
        <w:tblW w:w="9497" w:type="dxa"/>
        <w:tblLayout w:type="fixed"/>
        <w:tblCellMar>
          <w:left w:w="62" w:type="dxa"/>
          <w:right w:w="62" w:type="dxa"/>
        </w:tblCellMar>
        <w:tblLook w:val="0000"/>
      </w:tblPr>
      <w:tblGrid>
        <w:gridCol w:w="9497"/>
      </w:tblGrid>
      <w:tr w:rsidTr="00DA16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64A" w:rsidP="00DA164A">
            <w:pPr>
              <w:pStyle w:val="BodyText"/>
            </w:pPr>
            <w:r w:rsidRPr="00DA164A">
              <w:t>Not applicable.</w:t>
            </w:r>
          </w:p>
        </w:tc>
      </w:tr>
    </w:tbl>
    <w:p w:rsidR="007873BB" w:rsidP="00DA164A">
      <w:pPr>
        <w:pStyle w:val="NoPaddingFontSize1"/>
      </w:pPr>
    </w:p>
    <w:p w:rsidR="007873BB" w:rsidP="00DA164A">
      <w:pPr>
        <w:pStyle w:val="NoPaddingFontSize1"/>
      </w:pPr>
    </w:p>
    <w:p w:rsidR="00000000" w:rsidRPr="00DA164A" w:rsidP="00DA164A">
      <w:pPr>
        <w:pStyle w:val="Heading1"/>
      </w:pPr>
      <w:bookmarkStart w:id="4" w:name="O_1285685"/>
      <w:bookmarkEnd w:id="4"/>
      <w:r w:rsidRPr="00DA164A">
        <w:t>Competency Field</w:t>
      </w:r>
    </w:p>
    <w:tbl>
      <w:tblPr>
        <w:tblW w:w="9497" w:type="dxa"/>
        <w:tblLayout w:type="fixed"/>
        <w:tblCellMar>
          <w:left w:w="62" w:type="dxa"/>
          <w:right w:w="62" w:type="dxa"/>
        </w:tblCellMar>
        <w:tblLook w:val="0000"/>
      </w:tblPr>
      <w:tblGrid>
        <w:gridCol w:w="9497"/>
      </w:tblGrid>
      <w:tr w:rsidTr="00DA16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64A" w:rsidP="00DA164A">
            <w:pPr>
              <w:pStyle w:val="BodyText"/>
            </w:pPr>
            <w:r w:rsidRPr="00DA164A">
              <w:t>J - Environment</w:t>
            </w:r>
          </w:p>
        </w:tc>
      </w:tr>
    </w:tbl>
    <w:p w:rsidR="007873BB" w:rsidP="00DA164A">
      <w:pPr>
        <w:pStyle w:val="NoPaddingFontSize1"/>
      </w:pPr>
    </w:p>
    <w:p w:rsidR="007873BB" w:rsidP="00DA164A">
      <w:pPr>
        <w:pStyle w:val="NoPaddingFontSize1"/>
      </w:pPr>
    </w:p>
    <w:p w:rsidR="00000000" w:rsidRPr="00DA164A" w:rsidP="00DA164A">
      <w:pPr>
        <w:pStyle w:val="Heading1"/>
      </w:pPr>
      <w:bookmarkStart w:id="5" w:name="O_1285684"/>
      <w:bookmarkEnd w:id="5"/>
      <w:r w:rsidRPr="00DA164A">
        <w:t>Unit Sector</w:t>
      </w:r>
    </w:p>
    <w:tbl>
      <w:tblPr>
        <w:tblW w:w="9497" w:type="dxa"/>
        <w:tblLayout w:type="fixed"/>
        <w:tblCellMar>
          <w:left w:w="62" w:type="dxa"/>
          <w:right w:w="62" w:type="dxa"/>
        </w:tblCellMar>
        <w:tblLook w:val="0000"/>
      </w:tblPr>
      <w:tblGrid>
        <w:gridCol w:w="9497"/>
      </w:tblGrid>
      <w:tr w:rsidTr="00DA16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64A" w:rsidP="00DA164A">
            <w:pPr>
              <w:pStyle w:val="BodyText"/>
            </w:pPr>
            <w:r w:rsidRPr="00DA164A">
              <w:t>Not applicable.</w:t>
            </w:r>
          </w:p>
        </w:tc>
      </w:tr>
    </w:tbl>
    <w:p w:rsidR="007873BB" w:rsidP="00DA164A">
      <w:pPr>
        <w:pStyle w:val="NoPaddingFontSize1"/>
      </w:pPr>
    </w:p>
    <w:p w:rsidR="007873BB" w:rsidP="00DA164A">
      <w:pPr>
        <w:pStyle w:val="NoPaddingFontSize1"/>
      </w:pPr>
    </w:p>
    <w:p w:rsidR="00000000" w:rsidRPr="00DA164A" w:rsidP="00DA164A">
      <w:pPr>
        <w:pStyle w:val="Heading1"/>
      </w:pPr>
      <w:bookmarkStart w:id="6" w:name="O_1285683"/>
      <w:bookmarkEnd w:id="6"/>
      <w:r w:rsidRPr="00DA164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A164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A164A" w:rsidP="00DA164A">
            <w:pPr>
              <w:pStyle w:val="BodyText"/>
            </w:pPr>
            <w:r w:rsidRPr="00DA164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rPr>
                <w:rStyle w:val="SpecialBold"/>
              </w:rPr>
              <w:t>PERFORMANCE CRITERIA</w:t>
            </w:r>
          </w:p>
        </w:tc>
      </w:tr>
      <w:tr w:rsidTr="00DA164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t>Performance criteria describe the performance needed to demonstrate achievement of the element.</w:t>
            </w:r>
          </w:p>
        </w:tc>
      </w:tr>
      <w:tr w:rsidTr="00DA16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A164A" w:rsidP="00DA164A">
            <w:pPr>
              <w:pStyle w:val="BodyText"/>
            </w:pPr>
            <w:r w:rsidRPr="00DA164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A164A" w:rsidP="00DA164A">
            <w:pPr>
              <w:pStyle w:val="BodyText"/>
            </w:pPr>
            <w:r w:rsidRPr="00DA164A">
              <w:rPr>
                <w:rStyle w:val="SpecialBold"/>
              </w:rPr>
              <w:t>Confirm environmental management responsibilities</w:t>
            </w:r>
          </w:p>
        </w:tc>
        <w:tc>
          <w:tcPr>
            <w:tcW w:w="697"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t>Legislative and regulatory requirements, and approvals that apply to the vessel are interpreted</w:t>
            </w:r>
          </w:p>
        </w:tc>
      </w:tr>
      <w:tr w:rsidTr="00DA16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6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t>Own scope of authority/responsibility for achieving specific e</w:t>
            </w:r>
            <w:r w:rsidRPr="00DA164A">
              <w:t>nvironmental outcomes for the vessel and the roles of other key personnel is clarified</w:t>
            </w:r>
          </w:p>
        </w:tc>
      </w:tr>
      <w:tr w:rsidTr="00DA16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6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t>Resources available to implement environmental management policies for the vessel are identified</w:t>
            </w:r>
          </w:p>
        </w:tc>
      </w:tr>
      <w:tr w:rsidTr="00DA16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A164A" w:rsidP="00DA164A">
            <w:pPr>
              <w:pStyle w:val="BodyText"/>
            </w:pPr>
            <w:r w:rsidRPr="00DA164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A164A" w:rsidP="00DA164A">
            <w:pPr>
              <w:pStyle w:val="BodyText"/>
            </w:pPr>
            <w:r w:rsidRPr="00DA164A">
              <w:rPr>
                <w:rStyle w:val="SpecialBold"/>
              </w:rPr>
              <w:t>Develop a positive environmental reputation</w:t>
            </w:r>
          </w:p>
        </w:tc>
        <w:tc>
          <w:tcPr>
            <w:tcW w:w="697"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t xml:space="preserve">Stakeholders, </w:t>
            </w:r>
            <w:r w:rsidRPr="00DA164A">
              <w:t>their relationship to the vessel and perceived attitudes about the vessel are identified</w:t>
            </w:r>
          </w:p>
        </w:tc>
      </w:tr>
      <w:tr w:rsidTr="00DA16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6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t>Appropriate strategies are used to foster the trust and confidence of stakeholders</w:t>
            </w:r>
          </w:p>
        </w:tc>
      </w:tr>
      <w:tr w:rsidTr="00DA16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6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t>Requests for information are responded to in the appropriate format and a timely manner</w:t>
            </w:r>
          </w:p>
        </w:tc>
      </w:tr>
      <w:tr w:rsidTr="00DA16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6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t>Difficult situations are identified and solutions are negotiated using a collaborative approach</w:t>
            </w:r>
          </w:p>
        </w:tc>
      </w:tr>
      <w:tr w:rsidTr="00DA16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6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t xml:space="preserve">Regular feedback is obtained and used to enhance positive </w:t>
            </w:r>
            <w:r w:rsidRPr="00DA164A">
              <w:t>relationships</w:t>
            </w:r>
          </w:p>
        </w:tc>
      </w:tr>
      <w:tr w:rsidTr="00DA16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A164A" w:rsidP="00DA164A">
            <w:pPr>
              <w:pStyle w:val="BodyText"/>
            </w:pPr>
            <w:r w:rsidRPr="00DA164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A164A" w:rsidP="00DA164A">
            <w:pPr>
              <w:pStyle w:val="BodyText"/>
            </w:pPr>
            <w:r w:rsidRPr="00DA164A">
              <w:rPr>
                <w:rStyle w:val="SpecialBold"/>
              </w:rPr>
              <w:t>Provide environmental management information and training</w:t>
            </w:r>
          </w:p>
        </w:tc>
        <w:tc>
          <w:tcPr>
            <w:tcW w:w="697"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t>Environmental management plans and recent incident reports are used to identify training needs of crew members</w:t>
            </w:r>
          </w:p>
        </w:tc>
      </w:tr>
      <w:tr w:rsidTr="00DA16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6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t>Information and training are developed and provided to ensu</w:t>
            </w:r>
            <w:r w:rsidRPr="00DA164A">
              <w:t>re all crew members understand their environmental obligations/responsibilities</w:t>
            </w:r>
          </w:p>
        </w:tc>
      </w:tr>
      <w:tr w:rsidTr="00DA16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6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t>Crew member understanding of environmental obligations/responsibilities for work areas and activities is confirmed</w:t>
            </w:r>
          </w:p>
        </w:tc>
      </w:tr>
      <w:tr w:rsidTr="00DA16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6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t>Effectiveness of the information and training is monitored and additional information/training is provided, as required</w:t>
            </w:r>
          </w:p>
        </w:tc>
      </w:tr>
      <w:tr w:rsidTr="00DA16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A164A" w:rsidP="00DA164A">
            <w:pPr>
              <w:pStyle w:val="BodyText"/>
            </w:pPr>
            <w:r w:rsidRPr="00DA164A">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DA164A" w:rsidP="00DA164A">
            <w:pPr>
              <w:pStyle w:val="BodyText"/>
            </w:pPr>
            <w:r w:rsidRPr="00DA164A">
              <w:rPr>
                <w:rStyle w:val="SpecialBold"/>
              </w:rPr>
              <w:t>Assess environmental impacts and risks</w:t>
            </w:r>
          </w:p>
        </w:tc>
        <w:tc>
          <w:tcPr>
            <w:tcW w:w="697"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t>Activities are reviewed to identify implications for environmental management</w:t>
            </w:r>
          </w:p>
        </w:tc>
      </w:tr>
      <w:tr w:rsidTr="00DA16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6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t>Poten</w:t>
            </w:r>
            <w:r w:rsidRPr="00DA164A">
              <w:t>tial risks and incidents that may cause harm to the environment are identified</w:t>
            </w:r>
          </w:p>
        </w:tc>
      </w:tr>
      <w:tr w:rsidTr="00DA16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6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t>Inspections and in situ measurements are conducted to quantify risks and impacts</w:t>
            </w:r>
          </w:p>
        </w:tc>
      </w:tr>
      <w:tr w:rsidTr="00DA16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6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t>Assessment of risks and impacts are reported according to organisational procedures</w:t>
            </w:r>
          </w:p>
        </w:tc>
      </w:tr>
      <w:tr w:rsidTr="00DA16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A164A" w:rsidP="00DA164A">
            <w:pPr>
              <w:pStyle w:val="BodyText"/>
            </w:pPr>
            <w:r w:rsidRPr="00DA164A">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DA164A" w:rsidP="00DA164A">
            <w:pPr>
              <w:pStyle w:val="BodyText"/>
            </w:pPr>
            <w:r w:rsidRPr="00DA164A">
              <w:rPr>
                <w:rStyle w:val="SpecialBold"/>
              </w:rPr>
              <w:t>Ensure environmental monitoring and management plans are implemented</w:t>
            </w:r>
          </w:p>
        </w:tc>
        <w:tc>
          <w:tcPr>
            <w:tcW w:w="697"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t>Environmental monitoring instruments are checked to ensure they are fully functioning</w:t>
            </w:r>
          </w:p>
        </w:tc>
      </w:tr>
      <w:tr w:rsidTr="00DA16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6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t>Spe</w:t>
            </w:r>
            <w:r w:rsidRPr="00DA164A">
              <w:t>cified environmental monitoring and inspections are conducted to check performance against environmental management requirements</w:t>
            </w:r>
          </w:p>
        </w:tc>
      </w:tr>
      <w:tr w:rsidTr="00DA16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6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t>Additional monitoring/inspections are conducted after atypical events or requests from authorities to assess whether env</w:t>
            </w:r>
            <w:r w:rsidRPr="00DA164A">
              <w:t>ironmental management plan is operating</w:t>
            </w:r>
          </w:p>
        </w:tc>
      </w:tr>
      <w:tr w:rsidTr="00DA16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6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t>Results for monitoring/inspections are analysed to identify significant trends, non-conformance and/or incidents</w:t>
            </w:r>
          </w:p>
        </w:tc>
      </w:tr>
      <w:tr w:rsidTr="00DA16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A164A" w:rsidP="00DA164A">
            <w:pPr>
              <w:pStyle w:val="BodyText"/>
            </w:pPr>
            <w:r w:rsidRPr="00DA164A">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DA164A" w:rsidP="00DA164A">
            <w:pPr>
              <w:pStyle w:val="BodyText"/>
            </w:pPr>
            <w:r w:rsidRPr="00DA164A">
              <w:rPr>
                <w:rStyle w:val="SpecialBold"/>
              </w:rPr>
              <w:t>Respond to environmental non-conformance and incidents</w:t>
            </w:r>
          </w:p>
        </w:tc>
        <w:tc>
          <w:tcPr>
            <w:tcW w:w="697"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t>Unusual situations, unexpected risks/hazards and potential/actual environmental incidents are recognised</w:t>
            </w:r>
          </w:p>
        </w:tc>
      </w:tr>
      <w:tr w:rsidTr="00DA16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6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t>Organisational procedures for responding to environmental non-compliance and incidents are implemented to ensure prompt control and remediation</w:t>
            </w:r>
          </w:p>
        </w:tc>
      </w:tr>
      <w:tr w:rsidTr="00DA16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6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t>Causes of non-compliance and incidents are investigated according to organisational procedures</w:t>
            </w:r>
          </w:p>
        </w:tc>
      </w:tr>
      <w:tr w:rsidTr="00DA16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6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t>Findings are analysed to identify opportunities to improve work practices, environmental controls, crew training and/or management procedures</w:t>
            </w:r>
          </w:p>
        </w:tc>
      </w:tr>
      <w:tr w:rsidTr="00DA16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6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t>Corrective/preventative actions are implemented to prevent recurrence of non-compliance and incidents, and to reduce risks</w:t>
            </w:r>
          </w:p>
        </w:tc>
      </w:tr>
      <w:tr w:rsidTr="00DA16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6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t>Reports are completed according to organisational procedures</w:t>
            </w:r>
          </w:p>
        </w:tc>
      </w:tr>
      <w:tr w:rsidTr="00DA16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A164A" w:rsidP="00DA164A">
            <w:pPr>
              <w:pStyle w:val="BodyText"/>
            </w:pPr>
            <w:r w:rsidRPr="00DA164A">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DA164A" w:rsidP="00DA164A">
            <w:pPr>
              <w:pStyle w:val="BodyText"/>
            </w:pPr>
            <w:r w:rsidRPr="00DA164A">
              <w:rPr>
                <w:rStyle w:val="SpecialBold"/>
              </w:rPr>
              <w:t>Keep the Master informed about environmental performance</w:t>
            </w:r>
          </w:p>
        </w:tc>
        <w:tc>
          <w:tcPr>
            <w:tcW w:w="697"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rPr>
                <w:rStyle w:val="SpecialBold"/>
              </w:rPr>
              <w:t>7</w:t>
            </w:r>
            <w:r w:rsidRPr="00DA164A">
              <w:rPr>
                <w:rStyle w:val="SpecialBold"/>
              </w:rPr>
              <w:t>.1</w:t>
            </w:r>
          </w:p>
        </w:tc>
        <w:tc>
          <w:tcPr>
            <w:tcW w:w="5592"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t>Regular reports about environmental performance are provided</w:t>
            </w:r>
          </w:p>
        </w:tc>
      </w:tr>
      <w:tr w:rsidTr="00DA16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6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t>Opportunities and recommendations for improvements are reported</w:t>
            </w:r>
          </w:p>
        </w:tc>
      </w:tr>
      <w:tr w:rsidTr="00DA16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6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t>Master’s advice is sought w</w:t>
            </w:r>
            <w:r w:rsidRPr="00DA164A">
              <w:t>hen challenges are beyond own scope of technical competence or when input from environmental specialist may be required</w:t>
            </w:r>
          </w:p>
        </w:tc>
      </w:tr>
      <w:tr w:rsidTr="00DA16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A164A" w:rsidP="00DA164A">
            <w:pPr>
              <w:pStyle w:val="BodyText"/>
            </w:pPr>
            <w:r w:rsidRPr="00DA164A">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DA164A" w:rsidP="00DA164A">
            <w:pPr>
              <w:pStyle w:val="BodyText"/>
            </w:pPr>
            <w:r w:rsidRPr="00DA164A">
              <w:rPr>
                <w:rStyle w:val="SpecialBold"/>
              </w:rPr>
              <w:t>Maintain environmental records</w:t>
            </w:r>
          </w:p>
        </w:tc>
        <w:tc>
          <w:tcPr>
            <w:tcW w:w="697"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t>Required records are prepared and maintained according to regulatory and organisational requiremen</w:t>
            </w:r>
            <w:r w:rsidRPr="00DA164A">
              <w:t>ts</w:t>
            </w:r>
          </w:p>
        </w:tc>
      </w:tr>
      <w:tr w:rsidTr="00DA16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6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164A">
            <w:pPr>
              <w:pStyle w:val="BodyText"/>
              <w:rPr>
                <w:lang w:val="en-NZ"/>
              </w:rPr>
            </w:pPr>
            <w:r w:rsidRPr="00DA164A">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RPr="00DA164A" w:rsidP="00DA164A">
            <w:pPr>
              <w:pStyle w:val="BodyText"/>
            </w:pPr>
            <w:r w:rsidRPr="00DA164A">
              <w:t>Records are stored to enable easy access and review by authorised personnel according to regulatory and organisational requirements</w:t>
            </w:r>
          </w:p>
        </w:tc>
      </w:tr>
    </w:tbl>
    <w:p w:rsidR="007873BB" w:rsidP="00DA164A">
      <w:pPr>
        <w:pStyle w:val="NoPaddingFontSize1"/>
      </w:pPr>
    </w:p>
    <w:p w:rsidR="007873BB" w:rsidP="00DA164A">
      <w:pPr>
        <w:pStyle w:val="NoPaddingFontSize1"/>
      </w:pPr>
    </w:p>
    <w:p w:rsidR="00000000" w:rsidRPr="00DA164A" w:rsidP="00DA164A">
      <w:pPr>
        <w:pStyle w:val="Heading1"/>
      </w:pPr>
      <w:bookmarkStart w:id="7" w:name="O_1285682"/>
      <w:bookmarkEnd w:id="7"/>
      <w:r w:rsidRPr="00DA164A">
        <w:t>Foundation Skills</w:t>
      </w:r>
    </w:p>
    <w:tbl>
      <w:tblPr>
        <w:tblW w:w="9497" w:type="dxa"/>
        <w:tblLayout w:type="fixed"/>
        <w:tblCellMar>
          <w:left w:w="62" w:type="dxa"/>
          <w:right w:w="62" w:type="dxa"/>
        </w:tblCellMar>
        <w:tblLook w:val="0000"/>
      </w:tblPr>
      <w:tblGrid>
        <w:gridCol w:w="9497"/>
      </w:tblGrid>
      <w:tr w:rsidTr="00DA16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64A" w:rsidP="00DA164A">
            <w:pPr>
              <w:pStyle w:val="BodyText"/>
            </w:pPr>
            <w:r w:rsidRPr="00DA164A">
              <w:t>Foundation skills essential to performance are explicit in the performance criteria of this unit of competency.</w:t>
            </w:r>
          </w:p>
        </w:tc>
      </w:tr>
    </w:tbl>
    <w:p w:rsidR="007873BB" w:rsidP="00DA164A">
      <w:pPr>
        <w:pStyle w:val="NoPaddingFontSize1"/>
      </w:pPr>
    </w:p>
    <w:p w:rsidR="007873BB" w:rsidP="00DA164A">
      <w:pPr>
        <w:pStyle w:val="NoPaddingFontSize1"/>
      </w:pPr>
    </w:p>
    <w:p w:rsidR="00000000" w:rsidRPr="00DA164A" w:rsidP="00DA164A">
      <w:pPr>
        <w:pStyle w:val="Heading1"/>
      </w:pPr>
      <w:bookmarkStart w:id="8" w:name="O_1285681"/>
      <w:bookmarkEnd w:id="8"/>
      <w:r w:rsidRPr="00DA164A">
        <w:t>Range of Conditions</w:t>
      </w:r>
    </w:p>
    <w:tbl>
      <w:tblPr>
        <w:tblW w:w="9497" w:type="dxa"/>
        <w:tblLayout w:type="fixed"/>
        <w:tblCellMar>
          <w:left w:w="62" w:type="dxa"/>
          <w:right w:w="62" w:type="dxa"/>
        </w:tblCellMar>
        <w:tblLook w:val="0000"/>
      </w:tblPr>
      <w:tblGrid>
        <w:gridCol w:w="9497"/>
      </w:tblGrid>
      <w:tr w:rsidTr="00DA16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64A" w:rsidP="00DA164A">
            <w:pPr>
              <w:pStyle w:val="BodyText"/>
            </w:pPr>
            <w:r w:rsidRPr="00DA164A">
              <w:t>Range is restricted to essential operating conditions and any other variables essential to the work en</w:t>
            </w:r>
            <w:r w:rsidRPr="00DA164A">
              <w:t>vironment.</w:t>
            </w:r>
          </w:p>
        </w:tc>
      </w:tr>
    </w:tbl>
    <w:p w:rsidR="007873BB" w:rsidP="00DA164A">
      <w:pPr>
        <w:pStyle w:val="NoPaddingFontSize1"/>
      </w:pPr>
    </w:p>
    <w:p w:rsidR="007873BB" w:rsidP="00DA164A">
      <w:pPr>
        <w:pStyle w:val="NoPaddingFontSize1"/>
      </w:pPr>
    </w:p>
    <w:p w:rsidR="00000000" w:rsidRPr="00DA164A" w:rsidP="00DA164A">
      <w:pPr>
        <w:pStyle w:val="Heading1"/>
      </w:pPr>
      <w:bookmarkStart w:id="9" w:name="O_1285680"/>
      <w:bookmarkEnd w:id="9"/>
      <w:r w:rsidRPr="00DA164A">
        <w:t>Unit Mapping Information</w:t>
      </w:r>
    </w:p>
    <w:tbl>
      <w:tblPr>
        <w:tblW w:w="9497" w:type="dxa"/>
        <w:tblLayout w:type="fixed"/>
        <w:tblCellMar>
          <w:left w:w="62" w:type="dxa"/>
          <w:right w:w="62" w:type="dxa"/>
        </w:tblCellMar>
        <w:tblLook w:val="0000"/>
      </w:tblPr>
      <w:tblGrid>
        <w:gridCol w:w="9497"/>
      </w:tblGrid>
      <w:tr w:rsidTr="00DA16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64A" w:rsidP="00DA164A">
            <w:pPr>
              <w:pStyle w:val="BodyText"/>
            </w:pPr>
            <w:r w:rsidRPr="00DA164A">
              <w:t>This unit replaces and is equivalent to MARJ003 Ensure compliance with environmental management legislation.</w:t>
            </w:r>
          </w:p>
        </w:tc>
      </w:tr>
    </w:tbl>
    <w:p w:rsidR="007873BB" w:rsidP="00DA164A">
      <w:pPr>
        <w:pStyle w:val="NoPaddingFontSize1"/>
      </w:pPr>
    </w:p>
    <w:p w:rsidR="007873BB" w:rsidP="00DA164A">
      <w:pPr>
        <w:pStyle w:val="NoPaddingFontSize1"/>
      </w:pPr>
    </w:p>
    <w:p w:rsidR="00000000" w:rsidRPr="00DA164A" w:rsidP="00DA164A">
      <w:pPr>
        <w:pStyle w:val="Heading1"/>
      </w:pPr>
      <w:bookmarkStart w:id="10" w:name="O_1285689"/>
      <w:bookmarkEnd w:id="10"/>
      <w:r w:rsidRPr="00DA164A">
        <w:t>Links</w:t>
      </w:r>
    </w:p>
    <w:p w:rsidR="00000000" w:rsidRPr="00DA164A" w:rsidP="007873BB">
      <w:pPr>
        <w:pStyle w:val="BodyText"/>
      </w:pPr>
      <w:r w:rsidRPr="00DA164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E1185">
        <w:rPr>
          <w:rStyle w:val="Hyperlink"/>
        </w:rPr>
        <w:t>https://vetnet.gov.au/Pages/TrainingDocs.aspx?q=772efb7b-4cce-47fe-9bbd-ee3b1d1eb4c2</w:t>
      </w:r>
      <w:r>
        <w:fldChar w:fldCharType="end"/>
      </w:r>
    </w:p>
    <w:p w:rsidR="00000000" w:rsidRPr="00DA164A" w:rsidP="00DA164A"/>
    <w:sectPr w:rsidSect="00DA16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6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64A" w:rsidRPr="007873BB" w:rsidP="007873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6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3BB" w:rsidP="00DA16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73BB" w:rsidP="00DA164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873BB" w:rsidP="00DA16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6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3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164A" w:rsidRPr="007873BB" w:rsidP="007873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6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3BB" w:rsidRPr="002D2AF8" w:rsidP="00DA164A">
    <w:pPr>
      <w:pStyle w:val="Header"/>
      <w:framePr w:wrap="around"/>
    </w:pPr>
    <w:r>
      <w:fldChar w:fldCharType="begin"/>
    </w:r>
    <w:r>
      <w:instrText xml:space="preserve"> TITLE   \* MERGEFORMAT </w:instrText>
    </w:r>
    <w:r>
      <w:fldChar w:fldCharType="separate"/>
    </w:r>
    <w:r>
      <w:t>MARJ008 Ensure compliance with pollution prevention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7873BB" w:rsidP="00DA16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BCE5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9CCF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6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164A"/>
    <w:pPr>
      <w:spacing w:before="360" w:after="60"/>
      <w:outlineLvl w:val="0"/>
    </w:pPr>
    <w:rPr>
      <w:sz w:val="32"/>
    </w:rPr>
  </w:style>
  <w:style w:type="paragraph" w:styleId="Heading2">
    <w:name w:val="heading 2"/>
    <w:basedOn w:val="HeadingBase"/>
    <w:next w:val="BodyText"/>
    <w:link w:val="Heading2Char"/>
    <w:qFormat/>
    <w:rsid w:val="00DA164A"/>
    <w:pPr>
      <w:keepLines/>
      <w:spacing w:before="240" w:after="120"/>
      <w:outlineLvl w:val="1"/>
    </w:pPr>
    <w:rPr>
      <w:sz w:val="28"/>
      <w:szCs w:val="40"/>
    </w:rPr>
  </w:style>
  <w:style w:type="paragraph" w:styleId="Heading3">
    <w:name w:val="heading 3"/>
    <w:basedOn w:val="HeadingBase"/>
    <w:next w:val="BodyText"/>
    <w:link w:val="Heading3Char"/>
    <w:qFormat/>
    <w:rsid w:val="00DA164A"/>
    <w:pPr>
      <w:spacing w:before="180" w:after="120"/>
      <w:outlineLvl w:val="2"/>
    </w:pPr>
    <w:rPr>
      <w:spacing w:val="-10"/>
      <w:kern w:val="32"/>
    </w:rPr>
  </w:style>
  <w:style w:type="paragraph" w:styleId="Heading4">
    <w:name w:val="heading 4"/>
    <w:basedOn w:val="HeadingBase"/>
    <w:next w:val="BodyText"/>
    <w:link w:val="Heading4Char"/>
    <w:qFormat/>
    <w:rsid w:val="00DA164A"/>
    <w:pPr>
      <w:spacing w:before="160" w:after="120"/>
      <w:outlineLvl w:val="3"/>
    </w:pPr>
    <w:rPr>
      <w:sz w:val="22"/>
    </w:rPr>
  </w:style>
  <w:style w:type="paragraph" w:styleId="Heading5">
    <w:name w:val="heading 5"/>
    <w:basedOn w:val="HeadingBase"/>
    <w:next w:val="Normal"/>
    <w:link w:val="Heading5Char"/>
    <w:qFormat/>
    <w:rsid w:val="00DA164A"/>
    <w:pPr>
      <w:spacing w:before="80"/>
      <w:outlineLvl w:val="4"/>
    </w:pPr>
    <w:rPr>
      <w:color w:val="918585"/>
      <w:sz w:val="20"/>
    </w:rPr>
  </w:style>
  <w:style w:type="paragraph" w:styleId="Heading6">
    <w:name w:val="heading 6"/>
    <w:basedOn w:val="HeadingBase"/>
    <w:next w:val="Normal"/>
    <w:link w:val="Heading6Char"/>
    <w:qFormat/>
    <w:rsid w:val="00DA164A"/>
    <w:pPr>
      <w:spacing w:before="60"/>
      <w:outlineLvl w:val="5"/>
    </w:pPr>
    <w:rPr>
      <w:color w:val="918585"/>
      <w:sz w:val="20"/>
    </w:rPr>
  </w:style>
  <w:style w:type="paragraph" w:styleId="Heading7">
    <w:name w:val="heading 7"/>
    <w:basedOn w:val="Normal"/>
    <w:next w:val="Normal"/>
    <w:link w:val="Heading7Char"/>
    <w:qFormat/>
    <w:rsid w:val="00DA164A"/>
    <w:pPr>
      <w:ind w:left="720"/>
      <w:outlineLvl w:val="6"/>
    </w:pPr>
    <w:rPr>
      <w:i/>
    </w:rPr>
  </w:style>
  <w:style w:type="paragraph" w:styleId="Heading8">
    <w:name w:val="heading 8"/>
    <w:basedOn w:val="Normal"/>
    <w:next w:val="Normal"/>
    <w:link w:val="Heading8Char"/>
    <w:qFormat/>
    <w:rsid w:val="00DA164A"/>
    <w:pPr>
      <w:ind w:left="720"/>
      <w:outlineLvl w:val="7"/>
    </w:pPr>
    <w:rPr>
      <w:i/>
    </w:rPr>
  </w:style>
  <w:style w:type="paragraph" w:styleId="Heading9">
    <w:name w:val="heading 9"/>
    <w:basedOn w:val="Normal"/>
    <w:next w:val="Normal"/>
    <w:link w:val="Heading9Char"/>
    <w:qFormat/>
    <w:rsid w:val="00DA164A"/>
    <w:pPr>
      <w:ind w:left="720"/>
      <w:outlineLvl w:val="8"/>
    </w:pPr>
    <w:rPr>
      <w:i/>
    </w:rPr>
  </w:style>
  <w:style w:type="character" w:default="1" w:styleId="DefaultParagraphFont">
    <w:name w:val="Default Paragraph Font"/>
    <w:uiPriority w:val="1"/>
    <w:unhideWhenUsed/>
    <w:rsid w:val="00DA16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164A"/>
  </w:style>
  <w:style w:type="character" w:customStyle="1" w:styleId="Heading1Char">
    <w:name w:val="Heading 1 Char"/>
    <w:basedOn w:val="DefaultParagraphFont"/>
    <w:link w:val="Heading1"/>
    <w:rsid w:val="00DA164A"/>
    <w:rPr>
      <w:rFonts w:ascii="Times New Roman" w:eastAsia="Times New Roman" w:hAnsi="Times New Roman" w:cs="Times New Roman"/>
      <w:b/>
      <w:sz w:val="32"/>
      <w:szCs w:val="20"/>
      <w:lang w:eastAsia="en-US"/>
    </w:rPr>
  </w:style>
  <w:style w:type="paragraph" w:styleId="BodyText">
    <w:name w:val="Body Text"/>
    <w:basedOn w:val="Normal"/>
    <w:link w:val="BodyTextChar"/>
    <w:rsid w:val="00DA16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164A"/>
    <w:rPr>
      <w:rFonts w:ascii="Times New Roman" w:eastAsia="Times New Roman" w:hAnsi="Times New Roman" w:cs="Times New Roman"/>
      <w:sz w:val="24"/>
      <w:lang w:eastAsia="en-US"/>
    </w:rPr>
  </w:style>
  <w:style w:type="paragraph" w:styleId="ListBullet">
    <w:name w:val="List Bullet"/>
    <w:basedOn w:val="List"/>
    <w:rsid w:val="00DA164A"/>
    <w:pPr>
      <w:numPr>
        <w:numId w:val="11"/>
      </w:numPr>
      <w:tabs>
        <w:tab w:val="clear" w:pos="340"/>
      </w:tabs>
      <w:spacing w:before="40" w:after="40"/>
    </w:pPr>
  </w:style>
  <w:style w:type="character" w:customStyle="1" w:styleId="SpecialBold">
    <w:name w:val="Special Bold"/>
    <w:basedOn w:val="DefaultParagraphFont"/>
    <w:rsid w:val="00DA164A"/>
    <w:rPr>
      <w:b/>
      <w:spacing w:val="0"/>
    </w:rPr>
  </w:style>
  <w:style w:type="paragraph" w:customStyle="1" w:styleId="SuperHeading">
    <w:name w:val="SuperHeading"/>
    <w:basedOn w:val="Normal"/>
    <w:rsid w:val="00DA164A"/>
    <w:pPr>
      <w:spacing w:before="240" w:after="120"/>
      <w:outlineLvl w:val="0"/>
    </w:pPr>
    <w:rPr>
      <w:rFonts w:ascii="Times New Roman" w:hAnsi="Times New Roman"/>
      <w:b/>
      <w:sz w:val="32"/>
    </w:rPr>
  </w:style>
  <w:style w:type="paragraph" w:customStyle="1" w:styleId="AllowPageBreak">
    <w:name w:val="AllowPageBreak"/>
    <w:rsid w:val="00DA16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A16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16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16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16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16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16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16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164A"/>
    <w:rPr>
      <w:rFonts w:ascii="Courier New" w:eastAsia="Times New Roman" w:hAnsi="Courier New" w:cs="Times New Roman"/>
      <w:i/>
      <w:szCs w:val="20"/>
      <w:lang w:eastAsia="en-US"/>
    </w:rPr>
  </w:style>
  <w:style w:type="paragraph" w:customStyle="1" w:styleId="HeadingBase">
    <w:name w:val="Heading Base"/>
    <w:rsid w:val="00DA16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164A"/>
    <w:pPr>
      <w:tabs>
        <w:tab w:val="right" w:leader="dot" w:pos="9072"/>
      </w:tabs>
      <w:ind w:left="567"/>
    </w:pPr>
    <w:rPr>
      <w:szCs w:val="22"/>
    </w:rPr>
  </w:style>
  <w:style w:type="paragraph" w:customStyle="1" w:styleId="TOCBase">
    <w:name w:val="TOC Base"/>
    <w:rsid w:val="00DA16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164A"/>
    <w:pPr>
      <w:tabs>
        <w:tab w:val="right" w:leader="dot" w:pos="9072"/>
      </w:tabs>
      <w:spacing w:before="40" w:after="40"/>
      <w:ind w:left="284"/>
    </w:pPr>
    <w:rPr>
      <w:rFonts w:ascii="Times New Roman" w:hAnsi="Times New Roman"/>
    </w:rPr>
  </w:style>
  <w:style w:type="paragraph" w:styleId="TOC1">
    <w:name w:val="toc 1"/>
    <w:basedOn w:val="TOCBase"/>
    <w:next w:val="Normal"/>
    <w:rsid w:val="00DA16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16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164A"/>
    <w:rPr>
      <w:rFonts w:ascii="Times New Roman" w:eastAsia="Times New Roman" w:hAnsi="Times New Roman" w:cs="Times New Roman"/>
      <w:sz w:val="16"/>
      <w:lang w:eastAsia="en-US"/>
    </w:rPr>
  </w:style>
  <w:style w:type="paragraph" w:styleId="Title">
    <w:name w:val="Title"/>
    <w:basedOn w:val="HeadingBase"/>
    <w:link w:val="TitleChar"/>
    <w:qFormat/>
    <w:rsid w:val="00DA164A"/>
    <w:pPr>
      <w:spacing w:before="5040"/>
      <w:jc w:val="center"/>
    </w:pPr>
    <w:rPr>
      <w:sz w:val="48"/>
      <w:szCs w:val="72"/>
      <w:lang w:val="en-US"/>
    </w:rPr>
  </w:style>
  <w:style w:type="character" w:customStyle="1" w:styleId="TitleChar">
    <w:name w:val="Title Char"/>
    <w:basedOn w:val="DefaultParagraphFont"/>
    <w:link w:val="Title"/>
    <w:rsid w:val="00DA16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164A"/>
    <w:pPr>
      <w:tabs>
        <w:tab w:val="left" w:pos="3600"/>
        <w:tab w:val="left" w:pos="3958"/>
      </w:tabs>
    </w:pPr>
  </w:style>
  <w:style w:type="paragraph" w:styleId="List">
    <w:name w:val="List"/>
    <w:basedOn w:val="BodyText"/>
    <w:next w:val="BodyText"/>
    <w:rsid w:val="00DA164A"/>
    <w:pPr>
      <w:tabs>
        <w:tab w:val="left" w:pos="340"/>
      </w:tabs>
      <w:spacing w:before="60" w:after="60"/>
      <w:ind w:left="340" w:hanging="340"/>
    </w:pPr>
  </w:style>
  <w:style w:type="paragraph" w:customStyle="1" w:styleId="Note">
    <w:name w:val="Note"/>
    <w:basedOn w:val="BodyText"/>
    <w:rsid w:val="00DA16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164A"/>
    <w:pPr>
      <w:framePr w:wrap="auto" w:hAnchor="text" w:y="6049"/>
    </w:pPr>
    <w:rPr>
      <w:color w:val="000000"/>
      <w:sz w:val="40"/>
    </w:rPr>
  </w:style>
  <w:style w:type="paragraph" w:customStyle="1" w:styleId="TOCTitle">
    <w:name w:val="TOCTitle"/>
    <w:basedOn w:val="Heading1"/>
    <w:rsid w:val="00DA164A"/>
    <w:pPr>
      <w:spacing w:after="240"/>
      <w:jc w:val="center"/>
      <w:outlineLvl w:val="9"/>
    </w:pPr>
    <w:rPr>
      <w:caps/>
    </w:rPr>
  </w:style>
  <w:style w:type="paragraph" w:customStyle="1" w:styleId="Version">
    <w:name w:val="Version"/>
    <w:rsid w:val="00DA16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164A"/>
    <w:pPr>
      <w:numPr>
        <w:numId w:val="12"/>
      </w:numPr>
      <w:tabs>
        <w:tab w:val="clear" w:pos="680"/>
      </w:tabs>
    </w:pPr>
  </w:style>
  <w:style w:type="paragraph" w:styleId="Index1">
    <w:name w:val="index 1"/>
    <w:basedOn w:val="Normal"/>
    <w:next w:val="Normal"/>
    <w:semiHidden/>
    <w:rsid w:val="00DA164A"/>
    <w:pPr>
      <w:keepNext w:val="0"/>
      <w:tabs>
        <w:tab w:val="right" w:pos="4176"/>
      </w:tabs>
      <w:ind w:left="198" w:hanging="198"/>
    </w:pPr>
    <w:rPr>
      <w:rFonts w:ascii="Garamond" w:hAnsi="Garamond"/>
    </w:rPr>
  </w:style>
  <w:style w:type="paragraph" w:styleId="IndexHeading">
    <w:name w:val="index heading"/>
    <w:basedOn w:val="Normal"/>
    <w:next w:val="Index1"/>
    <w:semiHidden/>
    <w:rsid w:val="00DA164A"/>
    <w:pPr>
      <w:spacing w:before="120" w:after="120"/>
    </w:pPr>
    <w:rPr>
      <w:rFonts w:ascii="Arial" w:hAnsi="Arial"/>
      <w:b/>
      <w:color w:val="918585"/>
      <w:sz w:val="24"/>
    </w:rPr>
  </w:style>
  <w:style w:type="paragraph" w:styleId="Header">
    <w:name w:val="header"/>
    <w:basedOn w:val="Normal"/>
    <w:link w:val="HeaderChar"/>
    <w:rsid w:val="00DA16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164A"/>
    <w:rPr>
      <w:rFonts w:ascii="Times New Roman" w:eastAsia="Times New Roman" w:hAnsi="Times New Roman" w:cs="Times New Roman"/>
      <w:sz w:val="16"/>
      <w:szCs w:val="20"/>
      <w:lang w:val="en-GB" w:eastAsia="en-US"/>
    </w:rPr>
  </w:style>
  <w:style w:type="paragraph" w:customStyle="1" w:styleId="Chapter">
    <w:name w:val="Chapter"/>
    <w:basedOn w:val="Normal"/>
    <w:rsid w:val="00DA164A"/>
    <w:pPr>
      <w:spacing w:before="240"/>
    </w:pPr>
    <w:rPr>
      <w:rFonts w:ascii="Times New Roman" w:hAnsi="Times New Roman"/>
      <w:smallCaps/>
      <w:spacing w:val="80"/>
      <w:sz w:val="28"/>
    </w:rPr>
  </w:style>
  <w:style w:type="paragraph" w:customStyle="1" w:styleId="InChapter">
    <w:name w:val="InChapter"/>
    <w:basedOn w:val="Heading3"/>
    <w:rsid w:val="00DA164A"/>
    <w:pPr>
      <w:spacing w:after="240"/>
      <w:outlineLvl w:val="9"/>
    </w:pPr>
    <w:rPr>
      <w:noProof/>
    </w:rPr>
  </w:style>
  <w:style w:type="paragraph" w:styleId="Index2">
    <w:name w:val="index 2"/>
    <w:basedOn w:val="Normal"/>
    <w:next w:val="Normal"/>
    <w:semiHidden/>
    <w:rsid w:val="00DA164A"/>
    <w:pPr>
      <w:tabs>
        <w:tab w:val="right" w:pos="4176"/>
      </w:tabs>
      <w:ind w:left="568" w:hanging="284"/>
    </w:pPr>
    <w:rPr>
      <w:rFonts w:ascii="Garamond" w:hAnsi="Garamond"/>
    </w:rPr>
  </w:style>
  <w:style w:type="paragraph" w:customStyle="1" w:styleId="Byline">
    <w:name w:val="Byline"/>
    <w:rsid w:val="00DA16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164A"/>
    <w:pPr>
      <w:tabs>
        <w:tab w:val="clear" w:pos="3600"/>
        <w:tab w:val="clear" w:pos="3958"/>
      </w:tabs>
      <w:jc w:val="right"/>
    </w:pPr>
  </w:style>
  <w:style w:type="character" w:styleId="Emphasis">
    <w:name w:val="Emphasis"/>
    <w:basedOn w:val="DefaultParagraphFont"/>
    <w:qFormat/>
    <w:rsid w:val="00DA164A"/>
    <w:rPr>
      <w:i/>
    </w:rPr>
  </w:style>
  <w:style w:type="paragraph" w:styleId="Caption">
    <w:name w:val="caption"/>
    <w:basedOn w:val="BodyText"/>
    <w:next w:val="Normal"/>
    <w:qFormat/>
    <w:rsid w:val="00DA164A"/>
    <w:pPr>
      <w:framePr w:w="2268" w:hSpace="181" w:vSpace="181" w:wrap="around" w:vAnchor="text" w:hAnchor="page" w:x="1135" w:y="285" w:anchorLock="1"/>
    </w:pPr>
    <w:rPr>
      <w:i/>
    </w:rPr>
  </w:style>
  <w:style w:type="paragraph" w:customStyle="1" w:styleId="MiniTOCTitle">
    <w:name w:val="MiniTOCTitle"/>
    <w:basedOn w:val="Heading4"/>
    <w:rsid w:val="00DA164A"/>
    <w:pPr>
      <w:spacing w:before="240"/>
      <w:outlineLvl w:val="9"/>
    </w:pPr>
    <w:rPr>
      <w:noProof/>
      <w:sz w:val="24"/>
    </w:rPr>
  </w:style>
  <w:style w:type="paragraph" w:customStyle="1" w:styleId="MiniTOCItem">
    <w:name w:val="MiniTOCItem"/>
    <w:basedOn w:val="ListBullet"/>
    <w:rsid w:val="00DA164A"/>
    <w:pPr>
      <w:numPr>
        <w:numId w:val="0"/>
      </w:numPr>
      <w:tabs>
        <w:tab w:val="right" w:leader="dot" w:pos="6521"/>
      </w:tabs>
      <w:spacing w:before="0" w:after="0"/>
    </w:pPr>
  </w:style>
  <w:style w:type="paragraph" w:customStyle="1" w:styleId="TOFTitle">
    <w:name w:val="TOFTitle"/>
    <w:basedOn w:val="TOCTitle"/>
    <w:rsid w:val="00DA164A"/>
  </w:style>
  <w:style w:type="paragraph" w:styleId="TableofFigures">
    <w:name w:val="table of figures"/>
    <w:basedOn w:val="Normal"/>
    <w:next w:val="Normal"/>
    <w:semiHidden/>
    <w:rsid w:val="00DA164A"/>
    <w:pPr>
      <w:tabs>
        <w:tab w:val="right" w:leader="dot" w:pos="9072"/>
      </w:tabs>
      <w:ind w:left="970" w:hanging="403"/>
    </w:pPr>
    <w:rPr>
      <w:rFonts w:ascii="Times New Roman" w:hAnsi="Times New Roman"/>
      <w:b/>
    </w:rPr>
  </w:style>
  <w:style w:type="paragraph" w:styleId="ListNumber">
    <w:name w:val="List Number"/>
    <w:basedOn w:val="List"/>
    <w:rsid w:val="00DA164A"/>
    <w:pPr>
      <w:numPr>
        <w:numId w:val="14"/>
      </w:numPr>
      <w:tabs>
        <w:tab w:val="clear" w:pos="340"/>
      </w:tabs>
    </w:pPr>
  </w:style>
  <w:style w:type="character" w:customStyle="1" w:styleId="WingdingSymbols">
    <w:name w:val="Wingding Symbols"/>
    <w:rsid w:val="00DA164A"/>
    <w:rPr>
      <w:rFonts w:ascii="Wingdings" w:hAnsi="Wingdings"/>
    </w:rPr>
  </w:style>
  <w:style w:type="paragraph" w:customStyle="1" w:styleId="TableHeading">
    <w:name w:val="Table Heading"/>
    <w:basedOn w:val="HeadingBase"/>
    <w:rsid w:val="00DA164A"/>
    <w:pPr>
      <w:keepLines/>
      <w:pBdr>
        <w:bottom w:val="single" w:sz="6" w:space="1" w:color="918585"/>
      </w:pBdr>
      <w:spacing w:before="240"/>
    </w:pPr>
  </w:style>
  <w:style w:type="character" w:customStyle="1" w:styleId="HotSpot">
    <w:name w:val="HotSpot"/>
    <w:rsid w:val="00DA164A"/>
    <w:rPr>
      <w:color w:val="0033CC"/>
      <w:u w:val="none"/>
    </w:rPr>
  </w:style>
  <w:style w:type="paragraph" w:customStyle="1" w:styleId="BodyTextRight">
    <w:name w:val="Body Text Right"/>
    <w:basedOn w:val="BodyText"/>
    <w:rsid w:val="00DA164A"/>
    <w:pPr>
      <w:spacing w:before="0" w:after="0"/>
      <w:jc w:val="right"/>
    </w:pPr>
  </w:style>
  <w:style w:type="paragraph" w:styleId="Index3">
    <w:name w:val="index 3"/>
    <w:basedOn w:val="ListNumber2"/>
    <w:next w:val="Normal"/>
    <w:semiHidden/>
    <w:rsid w:val="00DA164A"/>
    <w:pPr>
      <w:numPr>
        <w:numId w:val="0"/>
      </w:numPr>
      <w:tabs>
        <w:tab w:val="right" w:leader="dot" w:pos="4176"/>
      </w:tabs>
    </w:pPr>
  </w:style>
  <w:style w:type="paragraph" w:styleId="ListNumber2">
    <w:name w:val="List Number 2"/>
    <w:basedOn w:val="List2"/>
    <w:rsid w:val="00DA164A"/>
    <w:pPr>
      <w:numPr>
        <w:numId w:val="9"/>
      </w:numPr>
      <w:tabs>
        <w:tab w:val="clear" w:pos="1060"/>
      </w:tabs>
    </w:pPr>
  </w:style>
  <w:style w:type="paragraph" w:customStyle="1" w:styleId="MarginNote">
    <w:name w:val="Margin Note"/>
    <w:basedOn w:val="BodyText"/>
    <w:rsid w:val="00DA16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16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16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164A"/>
    <w:rPr>
      <w:sz w:val="32"/>
    </w:rPr>
  </w:style>
  <w:style w:type="paragraph" w:customStyle="1" w:styleId="HeadingProcedure">
    <w:name w:val="Heading Procedure"/>
    <w:basedOn w:val="HeadingBase"/>
    <w:next w:val="Normal"/>
    <w:rsid w:val="00DA164A"/>
    <w:pPr>
      <w:tabs>
        <w:tab w:val="left" w:pos="0"/>
      </w:tabs>
      <w:spacing w:before="120" w:after="60"/>
    </w:pPr>
    <w:rPr>
      <w:i/>
      <w:color w:val="918585"/>
      <w:sz w:val="22"/>
    </w:rPr>
  </w:style>
  <w:style w:type="paragraph" w:customStyle="1" w:styleId="TableBodyText">
    <w:name w:val="Table Body Text"/>
    <w:basedOn w:val="BodyText"/>
    <w:rsid w:val="00DA164A"/>
    <w:pPr>
      <w:spacing w:before="60" w:after="60"/>
    </w:pPr>
  </w:style>
  <w:style w:type="paragraph" w:styleId="ListContinue">
    <w:name w:val="List Continue"/>
    <w:basedOn w:val="List"/>
    <w:rsid w:val="00DA164A"/>
    <w:pPr>
      <w:ind w:firstLine="0"/>
    </w:pPr>
  </w:style>
  <w:style w:type="paragraph" w:customStyle="1" w:styleId="ListNote">
    <w:name w:val="List Note"/>
    <w:basedOn w:val="List"/>
    <w:rsid w:val="00DA164A"/>
    <w:pPr>
      <w:pBdr>
        <w:top w:val="single" w:sz="6" w:space="2" w:color="918585"/>
        <w:bottom w:val="single" w:sz="6" w:space="2" w:color="918585"/>
      </w:pBdr>
      <w:tabs>
        <w:tab w:val="left" w:pos="1021"/>
      </w:tabs>
      <w:ind w:firstLine="0"/>
    </w:pPr>
  </w:style>
  <w:style w:type="paragraph" w:customStyle="1" w:styleId="Warning">
    <w:name w:val="Warning"/>
    <w:basedOn w:val="BodyText"/>
    <w:rsid w:val="00DA164A"/>
    <w:pPr>
      <w:shd w:val="clear" w:color="auto" w:fill="D9D9D9"/>
      <w:tabs>
        <w:tab w:val="left" w:pos="992"/>
      </w:tabs>
      <w:ind w:left="119" w:right="119"/>
    </w:pPr>
    <w:rPr>
      <w:sz w:val="20"/>
    </w:rPr>
  </w:style>
  <w:style w:type="paragraph" w:customStyle="1" w:styleId="MarginIcons">
    <w:name w:val="Margin Icons"/>
    <w:basedOn w:val="BodyText"/>
    <w:rsid w:val="00DA16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164A"/>
    <w:rPr>
      <w:rFonts w:ascii="Courier New" w:hAnsi="Courier New"/>
    </w:rPr>
  </w:style>
  <w:style w:type="paragraph" w:customStyle="1" w:styleId="NoteBullet">
    <w:name w:val="Note Bullet"/>
    <w:basedOn w:val="Note"/>
    <w:rsid w:val="00DA164A"/>
    <w:pPr>
      <w:tabs>
        <w:tab w:val="clear" w:pos="680"/>
      </w:tabs>
      <w:spacing w:before="60" w:after="60"/>
    </w:pPr>
  </w:style>
  <w:style w:type="paragraph" w:customStyle="1" w:styleId="SubHeading2">
    <w:name w:val="SubHeading2"/>
    <w:basedOn w:val="HeadingBase"/>
    <w:rsid w:val="00DA164A"/>
    <w:pPr>
      <w:spacing w:before="240" w:after="60"/>
    </w:pPr>
    <w:rPr>
      <w:sz w:val="20"/>
    </w:rPr>
  </w:style>
  <w:style w:type="paragraph" w:customStyle="1" w:styleId="SubHeading1">
    <w:name w:val="SubHeading1"/>
    <w:basedOn w:val="HeadingBase"/>
    <w:rsid w:val="00DA164A"/>
    <w:pPr>
      <w:spacing w:before="240" w:after="60"/>
    </w:pPr>
    <w:rPr>
      <w:color w:val="918585"/>
      <w:sz w:val="22"/>
    </w:rPr>
  </w:style>
  <w:style w:type="paragraph" w:customStyle="1" w:styleId="SideHeading">
    <w:name w:val="Side Heading"/>
    <w:basedOn w:val="HeadingBase"/>
    <w:rsid w:val="00DA16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164A"/>
    <w:pPr>
      <w:numPr>
        <w:numId w:val="10"/>
      </w:numPr>
    </w:pPr>
  </w:style>
  <w:style w:type="paragraph" w:styleId="PlainText">
    <w:name w:val="Plain Text"/>
    <w:basedOn w:val="Normal"/>
    <w:link w:val="PlainTextChar"/>
    <w:rsid w:val="00DA164A"/>
    <w:rPr>
      <w:sz w:val="20"/>
    </w:rPr>
  </w:style>
  <w:style w:type="character" w:customStyle="1" w:styleId="PlainTextChar">
    <w:name w:val="Plain Text Char"/>
    <w:basedOn w:val="DefaultParagraphFont"/>
    <w:link w:val="PlainText"/>
    <w:rsid w:val="00DA164A"/>
    <w:rPr>
      <w:rFonts w:ascii="Courier New" w:eastAsia="Times New Roman" w:hAnsi="Courier New" w:cs="Times New Roman"/>
      <w:sz w:val="20"/>
      <w:szCs w:val="20"/>
      <w:lang w:eastAsia="en-US"/>
    </w:rPr>
  </w:style>
  <w:style w:type="character" w:customStyle="1" w:styleId="MenuOption">
    <w:name w:val="Menu Option"/>
    <w:basedOn w:val="DefaultParagraphFont"/>
    <w:rsid w:val="00DA164A"/>
    <w:rPr>
      <w:b/>
      <w:smallCaps/>
    </w:rPr>
  </w:style>
  <w:style w:type="paragraph" w:customStyle="1" w:styleId="TableListNumber">
    <w:name w:val="Table List Number"/>
    <w:basedOn w:val="ListNumber"/>
    <w:rsid w:val="00DA164A"/>
    <w:pPr>
      <w:numPr>
        <w:numId w:val="0"/>
      </w:numPr>
    </w:pPr>
  </w:style>
  <w:style w:type="paragraph" w:styleId="TOC4">
    <w:name w:val="toc 4"/>
    <w:basedOn w:val="TOCBase"/>
    <w:next w:val="Normal"/>
    <w:semiHidden/>
    <w:rsid w:val="00DA164A"/>
    <w:pPr>
      <w:tabs>
        <w:tab w:val="right" w:leader="dot" w:pos="9071"/>
      </w:tabs>
      <w:ind w:left="1701"/>
    </w:pPr>
  </w:style>
  <w:style w:type="paragraph" w:customStyle="1" w:styleId="ListAlpha">
    <w:name w:val="List Alpha"/>
    <w:basedOn w:val="List"/>
    <w:rsid w:val="00DA164A"/>
    <w:pPr>
      <w:numPr>
        <w:numId w:val="8"/>
      </w:numPr>
    </w:pPr>
  </w:style>
  <w:style w:type="paragraph" w:customStyle="1" w:styleId="ListAlpha2">
    <w:name w:val="List Alpha 2"/>
    <w:basedOn w:val="List2"/>
    <w:rsid w:val="00DA164A"/>
    <w:pPr>
      <w:numPr>
        <w:numId w:val="7"/>
      </w:numPr>
    </w:pPr>
  </w:style>
  <w:style w:type="paragraph" w:styleId="List2">
    <w:name w:val="List 2"/>
    <w:basedOn w:val="BodyText"/>
    <w:rsid w:val="00DA164A"/>
    <w:pPr>
      <w:tabs>
        <w:tab w:val="left" w:pos="680"/>
      </w:tabs>
      <w:spacing w:before="60" w:after="60"/>
      <w:ind w:left="680" w:hanging="340"/>
    </w:pPr>
  </w:style>
  <w:style w:type="paragraph" w:styleId="List3">
    <w:name w:val="List 3"/>
    <w:basedOn w:val="BodyText"/>
    <w:rsid w:val="00DA164A"/>
    <w:pPr>
      <w:tabs>
        <w:tab w:val="left" w:pos="1021"/>
      </w:tabs>
      <w:spacing w:before="60" w:after="60"/>
      <w:ind w:left="1020" w:hanging="340"/>
    </w:pPr>
  </w:style>
  <w:style w:type="paragraph" w:styleId="List4">
    <w:name w:val="List 4"/>
    <w:basedOn w:val="BodyText"/>
    <w:rsid w:val="00DA164A"/>
    <w:pPr>
      <w:tabs>
        <w:tab w:val="left" w:pos="1361"/>
      </w:tabs>
      <w:spacing w:before="60" w:after="60"/>
      <w:ind w:left="1361" w:hanging="340"/>
    </w:pPr>
  </w:style>
  <w:style w:type="paragraph" w:styleId="List5">
    <w:name w:val="List 5"/>
    <w:basedOn w:val="BodyText"/>
    <w:rsid w:val="00DA164A"/>
    <w:pPr>
      <w:tabs>
        <w:tab w:val="left" w:pos="1701"/>
      </w:tabs>
      <w:spacing w:before="60" w:after="60"/>
      <w:ind w:left="1701" w:hanging="340"/>
    </w:pPr>
  </w:style>
  <w:style w:type="paragraph" w:styleId="ListBullet3">
    <w:name w:val="List Bullet 3"/>
    <w:basedOn w:val="List3"/>
    <w:rsid w:val="00DA164A"/>
    <w:pPr>
      <w:numPr>
        <w:numId w:val="13"/>
      </w:numPr>
      <w:tabs>
        <w:tab w:val="clear" w:pos="1021"/>
      </w:tabs>
      <w:ind w:left="1037" w:hanging="357"/>
    </w:pPr>
  </w:style>
  <w:style w:type="paragraph" w:styleId="ListBullet4">
    <w:name w:val="List Bullet 4"/>
    <w:basedOn w:val="List4"/>
    <w:rsid w:val="00DA164A"/>
    <w:pPr>
      <w:numPr>
        <w:numId w:val="2"/>
      </w:numPr>
      <w:tabs>
        <w:tab w:val="clear" w:pos="1361"/>
      </w:tabs>
    </w:pPr>
  </w:style>
  <w:style w:type="paragraph" w:styleId="ListBullet5">
    <w:name w:val="List Bullet 5"/>
    <w:basedOn w:val="List5"/>
    <w:rsid w:val="00DA164A"/>
    <w:pPr>
      <w:numPr>
        <w:numId w:val="3"/>
      </w:numPr>
    </w:pPr>
  </w:style>
  <w:style w:type="paragraph" w:styleId="ListContinue2">
    <w:name w:val="List Continue 2"/>
    <w:basedOn w:val="List2"/>
    <w:rsid w:val="00DA164A"/>
    <w:pPr>
      <w:ind w:firstLine="0"/>
    </w:pPr>
  </w:style>
  <w:style w:type="paragraph" w:styleId="ListContinue3">
    <w:name w:val="List Continue 3"/>
    <w:basedOn w:val="List3"/>
    <w:rsid w:val="00DA164A"/>
    <w:pPr>
      <w:ind w:left="1021" w:firstLine="0"/>
    </w:pPr>
  </w:style>
  <w:style w:type="paragraph" w:styleId="ListContinue4">
    <w:name w:val="List Continue 4"/>
    <w:basedOn w:val="List4"/>
    <w:rsid w:val="00DA164A"/>
    <w:pPr>
      <w:ind w:firstLine="0"/>
    </w:pPr>
  </w:style>
  <w:style w:type="paragraph" w:styleId="ListContinue5">
    <w:name w:val="List Continue 5"/>
    <w:basedOn w:val="List5"/>
    <w:rsid w:val="00DA164A"/>
    <w:pPr>
      <w:ind w:firstLine="0"/>
    </w:pPr>
  </w:style>
  <w:style w:type="paragraph" w:styleId="ListNumber3">
    <w:name w:val="List Number 3"/>
    <w:basedOn w:val="List3"/>
    <w:rsid w:val="00DA164A"/>
    <w:pPr>
      <w:numPr>
        <w:numId w:val="4"/>
      </w:numPr>
    </w:pPr>
  </w:style>
  <w:style w:type="paragraph" w:styleId="ListNumber4">
    <w:name w:val="List Number 4"/>
    <w:basedOn w:val="List4"/>
    <w:rsid w:val="00DA164A"/>
    <w:pPr>
      <w:numPr>
        <w:numId w:val="5"/>
      </w:numPr>
    </w:pPr>
  </w:style>
  <w:style w:type="paragraph" w:styleId="ListNumber5">
    <w:name w:val="List Number 5"/>
    <w:basedOn w:val="List5"/>
    <w:rsid w:val="00DA164A"/>
    <w:pPr>
      <w:numPr>
        <w:numId w:val="6"/>
      </w:numPr>
    </w:pPr>
  </w:style>
  <w:style w:type="paragraph" w:styleId="BlockText">
    <w:name w:val="Block Text"/>
    <w:basedOn w:val="Normal"/>
    <w:rsid w:val="00DA164A"/>
    <w:pPr>
      <w:spacing w:after="120"/>
      <w:ind w:left="1440" w:right="1440"/>
    </w:pPr>
  </w:style>
  <w:style w:type="character" w:customStyle="1" w:styleId="Subscript">
    <w:name w:val="Subscript"/>
    <w:basedOn w:val="DefaultParagraphFont"/>
    <w:rsid w:val="00DA164A"/>
    <w:rPr>
      <w:sz w:val="16"/>
      <w:vertAlign w:val="subscript"/>
    </w:rPr>
  </w:style>
  <w:style w:type="character" w:customStyle="1" w:styleId="Superscript">
    <w:name w:val="Superscript"/>
    <w:basedOn w:val="DefaultParagraphFont"/>
    <w:rsid w:val="00DA164A"/>
    <w:rPr>
      <w:sz w:val="16"/>
      <w:vertAlign w:val="superscript"/>
    </w:rPr>
  </w:style>
  <w:style w:type="character" w:customStyle="1" w:styleId="Symbols">
    <w:name w:val="Symbols"/>
    <w:basedOn w:val="DefaultParagraphFont"/>
    <w:rsid w:val="00DA164A"/>
    <w:rPr>
      <w:rFonts w:ascii="Symbol" w:hAnsi="Symbol"/>
    </w:rPr>
  </w:style>
  <w:style w:type="character" w:customStyle="1" w:styleId="MenuOptions">
    <w:name w:val="Menu Options"/>
    <w:basedOn w:val="DefaultParagraphFont"/>
    <w:rsid w:val="00DA164A"/>
    <w:rPr>
      <w:rFonts w:ascii="Arial Narrow" w:hAnsi="Arial Narrow"/>
      <w:smallCaps/>
    </w:rPr>
  </w:style>
  <w:style w:type="character" w:customStyle="1" w:styleId="Buttons">
    <w:name w:val="Buttons"/>
    <w:basedOn w:val="DefaultParagraphFont"/>
    <w:rsid w:val="00DA164A"/>
    <w:rPr>
      <w:b/>
    </w:rPr>
  </w:style>
  <w:style w:type="character" w:customStyle="1" w:styleId="Underlined">
    <w:name w:val="Underlined"/>
    <w:basedOn w:val="DefaultParagraphFont"/>
    <w:rsid w:val="00DA164A"/>
    <w:rPr>
      <w:u w:val="single"/>
    </w:rPr>
  </w:style>
  <w:style w:type="paragraph" w:customStyle="1" w:styleId="TableBodyTextRight">
    <w:name w:val="Table Body Text Right"/>
    <w:basedOn w:val="TableBodyText"/>
    <w:rsid w:val="00DA164A"/>
    <w:pPr>
      <w:widowControl w:val="0"/>
      <w:autoSpaceDE w:val="0"/>
      <w:autoSpaceDN w:val="0"/>
      <w:adjustRightInd w:val="0"/>
      <w:jc w:val="right"/>
    </w:pPr>
    <w:rPr>
      <w:rFonts w:cs="Arial"/>
      <w:szCs w:val="18"/>
    </w:rPr>
  </w:style>
  <w:style w:type="paragraph" w:customStyle="1" w:styleId="CopyrightText">
    <w:name w:val="Copyright Text"/>
    <w:basedOn w:val="BodyText"/>
    <w:rsid w:val="00DA164A"/>
    <w:rPr>
      <w:sz w:val="18"/>
    </w:rPr>
  </w:style>
  <w:style w:type="paragraph" w:customStyle="1" w:styleId="BodySmallRight">
    <w:name w:val="Body Small Right"/>
    <w:basedOn w:val="BodyTextRight"/>
    <w:rsid w:val="00DA164A"/>
    <w:rPr>
      <w:sz w:val="18"/>
      <w:szCs w:val="18"/>
    </w:rPr>
  </w:style>
  <w:style w:type="paragraph" w:customStyle="1" w:styleId="MarginEdition">
    <w:name w:val="Margin Edition"/>
    <w:basedOn w:val="MarginNote"/>
    <w:rsid w:val="00DA164A"/>
    <w:pPr>
      <w:spacing w:before="0" w:after="0"/>
    </w:pPr>
    <w:rPr>
      <w:rFonts w:ascii="Times New Roman" w:hAnsi="Times New Roman"/>
      <w:color w:val="999999"/>
    </w:rPr>
  </w:style>
  <w:style w:type="paragraph" w:customStyle="1" w:styleId="Spacer">
    <w:name w:val="Spacer"/>
    <w:basedOn w:val="Normal"/>
    <w:rsid w:val="00DA164A"/>
    <w:rPr>
      <w:sz w:val="2"/>
      <w:szCs w:val="2"/>
    </w:rPr>
  </w:style>
  <w:style w:type="character" w:customStyle="1" w:styleId="Small">
    <w:name w:val="Small"/>
    <w:basedOn w:val="DefaultParagraphFont"/>
    <w:rsid w:val="00DA164A"/>
    <w:rPr>
      <w:sz w:val="16"/>
    </w:rPr>
  </w:style>
  <w:style w:type="paragraph" w:customStyle="1" w:styleId="WideTable">
    <w:name w:val="Wide Table"/>
    <w:basedOn w:val="Normal"/>
    <w:rsid w:val="00DA164A"/>
    <w:pPr>
      <w:ind w:left="-1418"/>
    </w:pPr>
    <w:rPr>
      <w:sz w:val="2"/>
      <w:szCs w:val="2"/>
    </w:rPr>
  </w:style>
  <w:style w:type="character" w:styleId="PageNumber">
    <w:name w:val="page number"/>
    <w:basedOn w:val="DefaultParagraphFont"/>
    <w:rsid w:val="00DA164A"/>
  </w:style>
  <w:style w:type="paragraph" w:styleId="Quote">
    <w:name w:val="Quote"/>
    <w:basedOn w:val="Heading1"/>
    <w:link w:val="QuoteChar"/>
    <w:qFormat/>
    <w:rsid w:val="00DA164A"/>
    <w:rPr>
      <w:b w:val="0"/>
      <w:sz w:val="72"/>
      <w:szCs w:val="72"/>
      <w:lang w:val="en-NZ"/>
    </w:rPr>
  </w:style>
  <w:style w:type="character" w:customStyle="1" w:styleId="QuoteChar">
    <w:name w:val="Quote Char"/>
    <w:basedOn w:val="DefaultParagraphFont"/>
    <w:link w:val="Quote"/>
    <w:rsid w:val="00DA16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164A"/>
    <w:pPr>
      <w:pageBreakBefore/>
    </w:pPr>
  </w:style>
  <w:style w:type="paragraph" w:customStyle="1" w:styleId="Border">
    <w:name w:val="Border"/>
    <w:basedOn w:val="Normal"/>
    <w:qFormat/>
    <w:rsid w:val="00DA16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164A"/>
    <w:rPr>
      <w:b/>
      <w:bCs/>
      <w:i/>
      <w:iCs/>
      <w:color w:val="auto"/>
    </w:rPr>
  </w:style>
  <w:style w:type="paragraph" w:styleId="IntenseQuote">
    <w:name w:val="Intense Quote"/>
    <w:basedOn w:val="Normal"/>
    <w:next w:val="Normal"/>
    <w:link w:val="IntenseQuoteChar"/>
    <w:uiPriority w:val="30"/>
    <w:qFormat/>
    <w:rsid w:val="00DA16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16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164A"/>
    <w:rPr>
      <w:smallCaps/>
      <w:color w:val="auto"/>
      <w:u w:val="single"/>
    </w:rPr>
  </w:style>
  <w:style w:type="character" w:styleId="IntenseReference">
    <w:name w:val="Intense Reference"/>
    <w:basedOn w:val="DefaultParagraphFont"/>
    <w:uiPriority w:val="32"/>
    <w:qFormat/>
    <w:rsid w:val="00DA164A"/>
    <w:rPr>
      <w:b/>
      <w:bCs/>
      <w:smallCaps/>
      <w:color w:val="auto"/>
      <w:spacing w:val="5"/>
      <w:u w:val="single"/>
    </w:rPr>
  </w:style>
  <w:style w:type="paragraph" w:customStyle="1" w:styleId="2ColumnHeading">
    <w:name w:val="2Column Heading"/>
    <w:basedOn w:val="BodyText"/>
    <w:qFormat/>
    <w:rsid w:val="00DA164A"/>
    <w:pPr>
      <w:spacing w:after="60"/>
      <w:ind w:left="-2268"/>
    </w:pPr>
    <w:rPr>
      <w:b/>
    </w:rPr>
  </w:style>
  <w:style w:type="paragraph" w:customStyle="1" w:styleId="Heading1TOC">
    <w:name w:val="Heading1 TOC"/>
    <w:basedOn w:val="Normal"/>
    <w:qFormat/>
    <w:rsid w:val="00DA164A"/>
    <w:pPr>
      <w:spacing w:before="240" w:after="120"/>
    </w:pPr>
    <w:rPr>
      <w:rFonts w:ascii="Times New Roman" w:hAnsi="Times New Roman"/>
      <w:b/>
      <w:sz w:val="32"/>
    </w:rPr>
  </w:style>
  <w:style w:type="paragraph" w:customStyle="1" w:styleId="Heading2TOC">
    <w:name w:val="Heading2 TOC"/>
    <w:basedOn w:val="Normal"/>
    <w:qFormat/>
    <w:rsid w:val="00DA164A"/>
    <w:pPr>
      <w:spacing w:before="240" w:after="60"/>
    </w:pPr>
    <w:rPr>
      <w:rFonts w:ascii="Times New Roman" w:hAnsi="Times New Roman"/>
      <w:b/>
      <w:sz w:val="28"/>
    </w:rPr>
  </w:style>
  <w:style w:type="character" w:customStyle="1" w:styleId="Underline">
    <w:name w:val="Underline"/>
    <w:basedOn w:val="DefaultParagraphFont"/>
    <w:qFormat/>
    <w:rsid w:val="00DA164A"/>
    <w:rPr>
      <w:u w:val="single"/>
    </w:rPr>
  </w:style>
  <w:style w:type="character" w:customStyle="1" w:styleId="BoldandItalics">
    <w:name w:val="Bold and Italics"/>
    <w:qFormat/>
    <w:rsid w:val="00DA164A"/>
    <w:rPr>
      <w:b/>
      <w:i/>
      <w:u w:val="none"/>
    </w:rPr>
  </w:style>
  <w:style w:type="paragraph" w:styleId="BalloonText">
    <w:name w:val="Balloon Text"/>
    <w:basedOn w:val="Normal"/>
    <w:link w:val="BalloonTextChar"/>
    <w:rsid w:val="00DA164A"/>
    <w:rPr>
      <w:rFonts w:ascii="Tahoma" w:hAnsi="Tahoma" w:cs="Tahoma"/>
      <w:sz w:val="16"/>
      <w:szCs w:val="16"/>
    </w:rPr>
  </w:style>
  <w:style w:type="character" w:customStyle="1" w:styleId="BalloonTextChar">
    <w:name w:val="Balloon Text Char"/>
    <w:basedOn w:val="DefaultParagraphFont"/>
    <w:link w:val="BalloonText"/>
    <w:rsid w:val="00DA16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16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16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164A"/>
    <w:rPr>
      <w:b/>
      <w:color w:val="660033"/>
      <w:spacing w:val="0"/>
    </w:rPr>
  </w:style>
  <w:style w:type="paragraph" w:customStyle="1" w:styleId="Nameditemlist">
    <w:name w:val="Named item list"/>
    <w:basedOn w:val="BodyText"/>
    <w:qFormat/>
    <w:rsid w:val="00DA164A"/>
    <w:pPr>
      <w:tabs>
        <w:tab w:val="left" w:pos="2835"/>
      </w:tabs>
      <w:ind w:left="2835" w:hanging="2835"/>
    </w:pPr>
  </w:style>
  <w:style w:type="paragraph" w:customStyle="1" w:styleId="BodyTextnopadding">
    <w:name w:val="Body Text no padding"/>
    <w:basedOn w:val="BodyText"/>
    <w:qFormat/>
    <w:rsid w:val="00DA164A"/>
    <w:pPr>
      <w:spacing w:before="0" w:after="0"/>
    </w:pPr>
  </w:style>
  <w:style w:type="paragraph" w:customStyle="1" w:styleId="BodyTextBold">
    <w:name w:val="Body Text Bold"/>
    <w:basedOn w:val="BodyText"/>
    <w:qFormat/>
    <w:rsid w:val="00DA164A"/>
    <w:rPr>
      <w:b/>
    </w:rPr>
  </w:style>
  <w:style w:type="character" w:styleId="Hyperlink">
    <w:name w:val="Hyperlink"/>
    <w:basedOn w:val="DefaultParagraphFont"/>
    <w:uiPriority w:val="99"/>
    <w:unhideWhenUsed/>
    <w:rsid w:val="007873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999</Words>
  <Characters>6556</Characters>
  <Application>Microsoft Office Word</Application>
  <DocSecurity>0</DocSecurity>
  <Lines>298</Lines>
  <Paragraphs>145</Paragraphs>
  <ScaleCrop>false</ScaleCrop>
  <Company>Author-it Software Corporation Ltd.</Company>
  <LinksUpToDate>false</LinksUpToDate>
  <CharactersWithSpaces>7410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MARJ008 Ensure compliance with pollution prevention requirements</dc:title>
  <dc:subject>Approved</dc:subject>
  <dc:creator>Industry Skills Australia</dc:creator>
  <cp:keywords>Release: 2</cp:keywords>
  <dc:description>Review Date: 12 April 2008</dc:description>
  <cp:lastModifiedBy>HSD_TPCMSd.prod</cp:lastModifiedBy>
  <cp:revision>3</cp:revision>
  <dcterms:created xsi:type="dcterms:W3CDTF">2024-11-25T11:16:00Z</dcterms:created>
  <dcterms:modified xsi:type="dcterms:W3CDTF">2024-11-25T11:16:00Z</dcterms:modified>
</cp:coreProperties>
</file>