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7E8" w:rsidP="005E4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MARJ006 Follow environmental work practices</w:t>
      </w:r>
      <w:r>
        <w:fldChar w:fldCharType="end"/>
      </w:r>
    </w:p>
    <w:p w:rsidR="005E47E8" w:rsidP="005E47E8">
      <w:pPr>
        <w:pStyle w:val="Version"/>
        <w:sectPr w:rsidSect="00F90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0D99" w:rsidP="00F90D99">
      <w:pPr>
        <w:pStyle w:val="SuperHeading"/>
      </w:pPr>
      <w:r w:rsidRPr="00F90D99">
        <w:t>Assessment Requirements for MARJ006 Follow environmental work practices</w:t>
      </w:r>
    </w:p>
    <w:p w:rsidR="00000000" w:rsidRPr="00F90D99" w:rsidP="00F90D99">
      <w:pPr>
        <w:pStyle w:val="Heading1"/>
      </w:pPr>
      <w:bookmarkStart w:id="1" w:name="O_1285642"/>
      <w:bookmarkEnd w:id="1"/>
      <w:r w:rsidRPr="00F90D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99" w:rsidP="00F90D99">
            <w:pPr>
              <w:pStyle w:val="BodyText"/>
            </w:pPr>
            <w:r w:rsidRPr="00F90D99">
              <w:rPr>
                <w:rStyle w:val="SpecialBold"/>
              </w:rPr>
              <w:t>Release 2</w:t>
            </w:r>
            <w:r w:rsidRPr="00F90D99">
              <w:t>. This is the second release of this unit of competency in the MAR Maritime Training Package.</w:t>
            </w:r>
          </w:p>
          <w:p w:rsidR="00000000" w:rsidRPr="00F90D99" w:rsidP="00F90D99">
            <w:pPr>
              <w:pStyle w:val="ListBullet"/>
            </w:pPr>
            <w:r w:rsidRPr="00F90D99">
              <w:t>Minor statement changes in unit Application</w:t>
            </w:r>
          </w:p>
          <w:p w:rsidR="00000000" w:rsidP="00F90D99">
            <w:pPr>
              <w:pStyle w:val="ListBullet"/>
              <w:rPr>
                <w:lang w:val="en-NZ"/>
              </w:rPr>
            </w:pPr>
            <w:r w:rsidRPr="00F90D99">
              <w:t>Minor statement changes in Assessment Conditions.</w:t>
            </w:r>
          </w:p>
        </w:tc>
      </w:tr>
      <w:tr w:rsidTr="00F9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99" w:rsidP="00F90D99">
            <w:pPr>
              <w:pStyle w:val="BodyText"/>
            </w:pPr>
            <w:r w:rsidRPr="00F90D99">
              <w:rPr>
                <w:rStyle w:val="SpecialBold"/>
              </w:rPr>
              <w:t>Release 1</w:t>
            </w:r>
            <w:r w:rsidRPr="00F90D99">
              <w:t>. New unit of competency. Licensing/regulatory information has been incorporated in accordance with Regulatory requirements. Assessment Requirements hav</w:t>
            </w:r>
            <w:r w:rsidRPr="00F90D99">
              <w:t>e been strengthened in accordance with Regulatory requirements.</w:t>
            </w:r>
          </w:p>
        </w:tc>
      </w:tr>
    </w:tbl>
    <w:p w:rsidR="005E47E8" w:rsidP="00F90D99">
      <w:pPr>
        <w:pStyle w:val="NoPaddingFontSize1"/>
      </w:pPr>
    </w:p>
    <w:p w:rsidR="005E47E8" w:rsidP="00F90D99">
      <w:pPr>
        <w:pStyle w:val="NoPaddingFontSize1"/>
      </w:pPr>
    </w:p>
    <w:p w:rsidR="00000000" w:rsidRPr="00F90D99" w:rsidP="00F90D99">
      <w:pPr>
        <w:pStyle w:val="Heading1"/>
      </w:pPr>
      <w:bookmarkStart w:id="2" w:name="O_1285641"/>
      <w:bookmarkEnd w:id="2"/>
      <w:r w:rsidRPr="00F90D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99">
            <w:pPr>
              <w:pStyle w:val="BodyText"/>
              <w:rPr>
                <w:lang w:val="en-NZ"/>
              </w:rPr>
            </w:pPr>
            <w:r w:rsidRPr="00F90D99">
              <w:t>Evidence required to demonstrate competence in this unit must be relevant to and satisfy all of the requirements of the elements and performance crit</w:t>
            </w:r>
            <w:r w:rsidRPr="00F90D99">
              <w:t>eria on at least one occasion and include:</w:t>
            </w:r>
          </w:p>
        </w:tc>
      </w:tr>
      <w:tr w:rsidTr="00F9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99" w:rsidP="00F90D99">
            <w:pPr>
              <w:pStyle w:val="ListBullet"/>
            </w:pPr>
            <w:r w:rsidRPr="00F90D99">
              <w:t>applying safety and hazard control procedures when disposing of waste and garbage</w:t>
            </w:r>
          </w:p>
          <w:p w:rsidR="00000000" w:rsidRPr="00F90D99" w:rsidP="00F90D99">
            <w:pPr>
              <w:pStyle w:val="ListBullet"/>
            </w:pPr>
            <w:r w:rsidRPr="00F90D99">
              <w:t>applying work health and safety (WHS)/occupational health and safety (OHS) practices, including hazard identification, risk assessment and risk control options</w:t>
            </w:r>
          </w:p>
          <w:p w:rsidR="00000000" w:rsidRPr="00F90D99" w:rsidP="00F90D99">
            <w:pPr>
              <w:pStyle w:val="ListBullet"/>
            </w:pPr>
            <w:r w:rsidRPr="00F90D99">
              <w:t>preparing and keeping clear and concise environmental records</w:t>
            </w:r>
          </w:p>
          <w:p w:rsidR="00000000" w:rsidRPr="00F90D99" w:rsidP="00F90D99">
            <w:pPr>
              <w:pStyle w:val="ListBullet"/>
            </w:pPr>
            <w:r w:rsidRPr="00F90D99">
              <w:t>recognising procedures and followi</w:t>
            </w:r>
            <w:r w:rsidRPr="00F90D99">
              <w:t>ng instructions for environmental work practices</w:t>
            </w:r>
          </w:p>
          <w:p w:rsidR="00000000" w:rsidRPr="00F90D99" w:rsidP="00F90D99">
            <w:pPr>
              <w:pStyle w:val="ListBullet"/>
            </w:pPr>
            <w:r w:rsidRPr="00F90D99">
              <w:t>reporting environmental hazards and risks in a timely way.</w:t>
            </w:r>
          </w:p>
        </w:tc>
      </w:tr>
    </w:tbl>
    <w:p w:rsidR="00000000" w:rsidRPr="00F90D99" w:rsidP="00F90D99">
      <w:pPr>
        <w:pStyle w:val="NoPaddingFontSize1"/>
      </w:pPr>
    </w:p>
    <w:p w:rsidR="00000000" w:rsidRPr="00F90D99" w:rsidP="00F90D99">
      <w:pPr>
        <w:pStyle w:val="AllowPageBreak"/>
      </w:pPr>
    </w:p>
    <w:p w:rsidR="00000000" w:rsidRPr="00F90D99" w:rsidP="00F90D99">
      <w:pPr>
        <w:pStyle w:val="Heading1"/>
      </w:pPr>
      <w:bookmarkStart w:id="3" w:name="O_1285640"/>
      <w:bookmarkEnd w:id="3"/>
      <w:r w:rsidRPr="00F90D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99">
            <w:pPr>
              <w:pStyle w:val="BodyText"/>
              <w:rPr>
                <w:lang w:val="en-NZ"/>
              </w:rPr>
            </w:pPr>
            <w:r w:rsidRPr="00F90D99">
              <w:t>Evidence required to demonstrate competence in this unit must be relevant to and satisfy all of the requirem</w:t>
            </w:r>
            <w:r w:rsidRPr="00F90D99">
              <w:t>ents of the elements and performance criteria and include knowledge of:</w:t>
            </w:r>
          </w:p>
        </w:tc>
      </w:tr>
      <w:tr w:rsidTr="00F9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99" w:rsidP="00F90D99">
            <w:pPr>
              <w:pStyle w:val="ListBullet"/>
            </w:pPr>
            <w:r w:rsidRPr="00F90D99">
              <w:t>environmental and resource hazards and risks associated with the maritime industry</w:t>
            </w:r>
          </w:p>
          <w:p w:rsidR="00000000" w:rsidRPr="00F90D99" w:rsidP="00F90D99">
            <w:pPr>
              <w:pStyle w:val="ListBullet"/>
            </w:pPr>
            <w:r w:rsidRPr="00F90D99">
              <w:t>environmental laws, regulations and standards relevant to work in the maritime industry, including:</w:t>
            </w:r>
          </w:p>
          <w:p w:rsidR="00000000" w:rsidRPr="00F90D99" w:rsidP="00F90D99">
            <w:pPr>
              <w:pStyle w:val="ListBullet2"/>
            </w:pPr>
            <w:r w:rsidRPr="00F90D99">
              <w:t xml:space="preserve">Commonwealth, state and territory legislation </w:t>
            </w:r>
          </w:p>
          <w:p w:rsidR="00000000" w:rsidRPr="00F90D99" w:rsidP="00F90D99">
            <w:pPr>
              <w:pStyle w:val="ListBullet2"/>
            </w:pPr>
            <w:r w:rsidRPr="00F90D99">
              <w:t>International Convention for the Prevention of Pollution from Ships (MARPOL)</w:t>
            </w:r>
          </w:p>
          <w:p w:rsidR="00000000" w:rsidRPr="00F90D99" w:rsidP="00F90D99">
            <w:pPr>
              <w:pStyle w:val="ListBullet"/>
            </w:pPr>
            <w:r w:rsidRPr="00F90D99">
              <w:t>means of minimising environmental damage, including:</w:t>
            </w:r>
          </w:p>
          <w:p w:rsidR="00000000" w:rsidRPr="00F90D99" w:rsidP="00F90D99">
            <w:pPr>
              <w:pStyle w:val="ListBullet2"/>
            </w:pPr>
            <w:r w:rsidRPr="00F90D99">
              <w:t>increasing the use of renewable, recyclable, re-usable and recoverable resources</w:t>
            </w:r>
          </w:p>
          <w:p w:rsidR="00000000" w:rsidRPr="00F90D99" w:rsidP="00F90D99">
            <w:pPr>
              <w:pStyle w:val="ListBullet"/>
            </w:pPr>
            <w:r w:rsidRPr="00F90D99">
              <w:t>potential environmental threats, including:</w:t>
            </w:r>
          </w:p>
          <w:p w:rsidR="00000000" w:rsidRPr="00F90D99" w:rsidP="00F90D99">
            <w:pPr>
              <w:pStyle w:val="ListBullet2"/>
            </w:pPr>
            <w:r w:rsidRPr="00F90D99">
              <w:t xml:space="preserve">anchoring </w:t>
            </w:r>
          </w:p>
          <w:p w:rsidR="00000000" w:rsidRPr="00F90D99" w:rsidP="00F90D99">
            <w:pPr>
              <w:pStyle w:val="ListBullet2"/>
            </w:pPr>
            <w:r w:rsidRPr="00F90D99">
              <w:t>noise</w:t>
            </w:r>
          </w:p>
          <w:p w:rsidR="00000000" w:rsidRPr="00F90D99" w:rsidP="00F90D99">
            <w:pPr>
              <w:pStyle w:val="ListBullet2"/>
            </w:pPr>
            <w:r w:rsidRPr="00F90D99">
              <w:t>wash from propellers</w:t>
            </w:r>
          </w:p>
          <w:p w:rsidR="00000000" w:rsidRPr="00F90D99" w:rsidP="00F90D99">
            <w:pPr>
              <w:pStyle w:val="ListBullet"/>
            </w:pPr>
            <w:r w:rsidRPr="00F90D99">
              <w:t xml:space="preserve">procedures and processes that support environmentally sustainable principles in the </w:t>
            </w:r>
            <w:r w:rsidRPr="00F90D99">
              <w:t>workpl</w:t>
            </w:r>
            <w:r w:rsidRPr="00F90D99">
              <w:t>ace, including:</w:t>
            </w:r>
          </w:p>
          <w:p w:rsidR="00000000" w:rsidRPr="00F90D99" w:rsidP="00F90D99">
            <w:pPr>
              <w:pStyle w:val="ListBullet2"/>
            </w:pPr>
            <w:r w:rsidRPr="00F90D99">
              <w:t>avoiding or minimising environmental risks</w:t>
            </w:r>
          </w:p>
          <w:p w:rsidR="00000000" w:rsidRPr="00F90D99" w:rsidP="00F90D99">
            <w:pPr>
              <w:pStyle w:val="ListBullet2"/>
            </w:pPr>
            <w:r w:rsidRPr="00F90D99">
              <w:t>documented policies and procedures, including:</w:t>
            </w:r>
          </w:p>
          <w:p w:rsidR="00000000" w:rsidRPr="00F90D99" w:rsidP="00F90D99">
            <w:pPr>
              <w:pStyle w:val="ListBullet3"/>
            </w:pPr>
            <w:r w:rsidRPr="00F90D99">
              <w:t>emergency procedures</w:t>
            </w:r>
          </w:p>
          <w:p w:rsidR="00000000" w:rsidRPr="00F90D99" w:rsidP="00F90D99">
            <w:pPr>
              <w:pStyle w:val="ListBullet3"/>
            </w:pPr>
            <w:r w:rsidRPr="00F90D99">
              <w:t>environmental data recording and reporting procedures</w:t>
            </w:r>
          </w:p>
          <w:p w:rsidR="00000000" w:rsidRPr="00F90D99" w:rsidP="00F90D99">
            <w:pPr>
              <w:pStyle w:val="ListBullet3"/>
            </w:pPr>
            <w:r w:rsidRPr="00F90D99">
              <w:t>hazard and incident reporting and recording procedures</w:t>
            </w:r>
          </w:p>
          <w:p w:rsidR="00000000" w:rsidRPr="00F90D99" w:rsidP="00F90D99">
            <w:pPr>
              <w:pStyle w:val="ListBullet3"/>
            </w:pPr>
            <w:r w:rsidRPr="00F90D99">
              <w:t>procedures for stowage of garbage on board</w:t>
            </w:r>
          </w:p>
          <w:p w:rsidR="00000000" w:rsidRPr="00F90D99" w:rsidP="00F90D99">
            <w:pPr>
              <w:pStyle w:val="ListBullet2"/>
            </w:pPr>
            <w:r w:rsidRPr="00F90D99">
              <w:t>environmental hazard and risk identification</w:t>
            </w:r>
          </w:p>
          <w:p w:rsidR="00000000" w:rsidRPr="00F90D99" w:rsidP="00F90D99">
            <w:pPr>
              <w:pStyle w:val="ListBullet2"/>
            </w:pPr>
            <w:r w:rsidRPr="00F90D99">
              <w:t>environmental management system</w:t>
            </w:r>
          </w:p>
          <w:p w:rsidR="00000000" w:rsidRPr="00F90D99" w:rsidP="00F90D99">
            <w:pPr>
              <w:pStyle w:val="ListBullet2"/>
            </w:pPr>
            <w:r w:rsidRPr="00F90D99">
              <w:t>environmental monitoring</w:t>
            </w:r>
          </w:p>
          <w:p w:rsidR="00000000" w:rsidRPr="00F90D99" w:rsidP="00F90D99">
            <w:pPr>
              <w:pStyle w:val="ListBullet2"/>
            </w:pPr>
            <w:r w:rsidRPr="00F90D99">
              <w:t>improving environmental performance</w:t>
            </w:r>
          </w:p>
          <w:p w:rsidR="00000000" w:rsidRPr="00F90D99" w:rsidP="00F90D99">
            <w:pPr>
              <w:pStyle w:val="ListBullet2"/>
            </w:pPr>
            <w:r w:rsidRPr="00F90D99">
              <w:t>signs and labels</w:t>
            </w:r>
          </w:p>
          <w:p w:rsidR="00000000" w:rsidRPr="00F90D99" w:rsidP="00F90D99">
            <w:pPr>
              <w:pStyle w:val="ListBullet2"/>
            </w:pPr>
            <w:r w:rsidRPr="00F90D99">
              <w:t>waste minimisation and segregation</w:t>
            </w:r>
          </w:p>
          <w:p w:rsidR="00000000" w:rsidRPr="00F90D99" w:rsidP="00F90D99">
            <w:pPr>
              <w:pStyle w:val="ListBullet2"/>
            </w:pPr>
            <w:r w:rsidRPr="00F90D99">
              <w:t>work plans</w:t>
            </w:r>
          </w:p>
          <w:p w:rsidR="00000000" w:rsidRPr="00F90D99" w:rsidP="00F90D99">
            <w:pPr>
              <w:pStyle w:val="ListBullet"/>
            </w:pPr>
            <w:r w:rsidRPr="00F90D99">
              <w:t>procedures</w:t>
            </w:r>
            <w:r w:rsidRPr="00F90D99">
              <w:t xml:space="preserve"> for reporting environmental hazards and risks</w:t>
            </w:r>
          </w:p>
          <w:p w:rsidR="00000000" w:rsidRPr="00F90D99" w:rsidP="00F90D99">
            <w:pPr>
              <w:pStyle w:val="ListBullet"/>
            </w:pPr>
            <w:r w:rsidRPr="00F90D99">
              <w:t>procedures for use and stowage of hazardous chemicals on board</w:t>
            </w:r>
          </w:p>
          <w:p w:rsidR="00000000" w:rsidRPr="00F90D99" w:rsidP="00F90D99">
            <w:pPr>
              <w:pStyle w:val="ListBullet"/>
            </w:pPr>
            <w:r w:rsidRPr="00F90D99">
              <w:t>requirements for waste management and control systems under the MARPOL Convention</w:t>
            </w:r>
          </w:p>
          <w:p w:rsidR="00000000" w:rsidRPr="00F90D99" w:rsidP="00F90D99">
            <w:pPr>
              <w:pStyle w:val="ListBullet"/>
            </w:pPr>
            <w:r w:rsidRPr="00F90D99">
              <w:t>types and application of waste compactors and crushers suitable for use on board a vessel</w:t>
            </w:r>
          </w:p>
          <w:p w:rsidR="00000000" w:rsidRPr="00F90D99" w:rsidP="00F90D99">
            <w:pPr>
              <w:pStyle w:val="ListBullet"/>
            </w:pPr>
            <w:r w:rsidRPr="00F90D99">
              <w:t>use of oil spill equipment and its limitations</w:t>
            </w:r>
          </w:p>
          <w:p w:rsidR="00000000" w:rsidRPr="00F90D99" w:rsidP="00F90D99">
            <w:pPr>
              <w:pStyle w:val="ListBullet"/>
            </w:pPr>
            <w:r w:rsidRPr="00F90D99">
              <w:t>WHS/OHS practices, including hazard identification, risk assessment and risk control options.</w:t>
            </w:r>
          </w:p>
        </w:tc>
      </w:tr>
    </w:tbl>
    <w:p w:rsidR="00000000" w:rsidRPr="00F90D99" w:rsidP="00F90D99">
      <w:pPr>
        <w:pStyle w:val="NoPaddingFontSize1"/>
      </w:pPr>
    </w:p>
    <w:p w:rsidR="00000000" w:rsidRPr="00F90D99" w:rsidP="00F90D99">
      <w:pPr>
        <w:pStyle w:val="AllowPageBreak"/>
      </w:pPr>
    </w:p>
    <w:p w:rsidR="00000000" w:rsidRPr="00F90D99" w:rsidP="00F90D99">
      <w:pPr>
        <w:pStyle w:val="Heading1"/>
      </w:pPr>
      <w:bookmarkStart w:id="4" w:name="O_1285639"/>
      <w:bookmarkEnd w:id="4"/>
      <w:r w:rsidRPr="00F90D99">
        <w:t>Asse</w:t>
      </w:r>
      <w:r w:rsidRPr="00F90D99">
        <w:t>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99" w:rsidP="00F90D99">
            <w:pPr>
              <w:pStyle w:val="BodyText"/>
            </w:pPr>
            <w:r w:rsidRPr="00F90D99">
              <w:t>Assessors must hold credentials specified within the Standards for Registered Training Organisations current at the time of assessment.</w:t>
            </w:r>
          </w:p>
          <w:p w:rsidR="00000000" w:rsidRPr="00F90D99" w:rsidP="00F90D99">
            <w:pPr>
              <w:pStyle w:val="BodyText"/>
            </w:pPr>
            <w:r w:rsidRPr="00F90D99">
              <w:t>Assessment must satisfy the Principles of Assessment and Rules of Evidence and all regulatory requirem</w:t>
            </w:r>
            <w:r w:rsidRPr="00F90D99">
              <w:t>ents included within the Standards for Registered Training Organisations current at the time of assessment.</w:t>
            </w:r>
          </w:p>
          <w:p w:rsidR="00000000" w:rsidRPr="00F90D99" w:rsidP="00F90D99">
            <w:pPr>
              <w:pStyle w:val="BodyText"/>
            </w:pPr>
            <w:r w:rsidRPr="00F90D99">
              <w:t>Assessment processes and techniques must be appropriate to the language, literacy and numeracy requirements of the work being performed and the need</w:t>
            </w:r>
            <w:r w:rsidRPr="00F90D99">
              <w:t xml:space="preserve">s of the candidate. </w:t>
            </w:r>
          </w:p>
          <w:p w:rsidR="00000000" w:rsidRPr="00F90D99" w:rsidP="00F90D99">
            <w:pPr>
              <w:pStyle w:val="BodyText"/>
            </w:pPr>
            <w:r w:rsidRPr="00F90D99">
              <w:t>Practical assessment must occur in a workplace, or realistic simulated workplace, under the normal range of workplace conditions.</w:t>
            </w:r>
          </w:p>
          <w:p w:rsidR="00000000" w:rsidRPr="00F90D99" w:rsidP="00F90D99">
            <w:pPr>
              <w:pStyle w:val="BodyText"/>
            </w:pPr>
            <w:r w:rsidRPr="00F90D99">
              <w:t>Simulations and scenarios may be used where situations cannot be provided in the workplace or may occur o</w:t>
            </w:r>
            <w:r w:rsidRPr="00F90D99">
              <w:t>nly rarely, in particular for situations relating to emergency procedures and adverse weather conditions where assessment would be unsafe, impractical or may lead to environmental damage.</w:t>
            </w:r>
          </w:p>
          <w:p w:rsidR="00000000" w:rsidRPr="00F90D99" w:rsidP="00F90D99">
            <w:pPr>
              <w:pStyle w:val="BodyText"/>
            </w:pPr>
            <w:r w:rsidRPr="00F90D99">
              <w:t>Resources for assessment must include access to:</w:t>
            </w:r>
          </w:p>
          <w:p w:rsidR="00000000" w:rsidRPr="00F90D99" w:rsidP="00F90D99">
            <w:pPr>
              <w:pStyle w:val="ListBullet"/>
            </w:pPr>
            <w:r w:rsidRPr="00F90D99">
              <w:t>applicable documentation such as legislation, regulations, codes of practice, workplace procedures and operational manuals, including:</w:t>
            </w:r>
          </w:p>
          <w:p w:rsidR="00000000" w:rsidRPr="00F90D99" w:rsidP="00F90D99">
            <w:pPr>
              <w:pStyle w:val="ListBullet2"/>
            </w:pPr>
            <w:r w:rsidRPr="00F90D99">
              <w:t xml:space="preserve">Commonwealth, state and territory legislation </w:t>
            </w:r>
          </w:p>
          <w:p w:rsidR="00000000" w:rsidRPr="00F90D99" w:rsidP="00F90D99">
            <w:pPr>
              <w:pStyle w:val="ListBullet2"/>
            </w:pPr>
            <w:r w:rsidRPr="00F90D99">
              <w:t>local government by-laws and regulations</w:t>
            </w:r>
          </w:p>
          <w:p w:rsidR="00000000" w:rsidRPr="00F90D99" w:rsidP="00F90D99">
            <w:pPr>
              <w:pStyle w:val="ListBullet2"/>
            </w:pPr>
            <w:r w:rsidRPr="00F90D99">
              <w:t>MARPOL</w:t>
            </w:r>
          </w:p>
          <w:p w:rsidR="00000000" w:rsidRPr="00F90D99" w:rsidP="00F90D99">
            <w:pPr>
              <w:pStyle w:val="ListBullet2"/>
            </w:pPr>
            <w:r w:rsidRPr="00F90D99">
              <w:t>third-party standards, su</w:t>
            </w:r>
            <w:r w:rsidRPr="00F90D99">
              <w:t>ch as the ISO 14000 Environmental management series and those of the Marine Stewardship Council</w:t>
            </w:r>
          </w:p>
          <w:p w:rsidR="00000000" w:rsidRPr="00F90D99" w:rsidP="00F90D99">
            <w:pPr>
              <w:pStyle w:val="ListBullet"/>
            </w:pPr>
            <w:r w:rsidRPr="00F90D99">
              <w:t>tools, equipment, machinery, materials and relevant personal protective equipment (PPE) currently used in industry.</w:t>
            </w:r>
          </w:p>
        </w:tc>
      </w:tr>
    </w:tbl>
    <w:p w:rsidR="00000000" w:rsidRPr="00F90D99" w:rsidP="00F90D99">
      <w:pPr>
        <w:pStyle w:val="NoPaddingFontSize1"/>
      </w:pPr>
    </w:p>
    <w:p w:rsidR="00000000" w:rsidRPr="00F90D99" w:rsidP="00F90D99">
      <w:pPr>
        <w:pStyle w:val="AllowPageBreak"/>
      </w:pPr>
    </w:p>
    <w:p w:rsidR="00000000" w:rsidRPr="00F90D99" w:rsidP="00F90D99">
      <w:pPr>
        <w:pStyle w:val="Heading1"/>
      </w:pPr>
      <w:bookmarkStart w:id="5" w:name="O_1285654"/>
      <w:bookmarkEnd w:id="5"/>
      <w:r w:rsidRPr="00F90D99">
        <w:t>Links</w:t>
      </w:r>
    </w:p>
    <w:p w:rsidR="00000000" w:rsidRPr="00F90D99" w:rsidP="005E47E8">
      <w:pPr>
        <w:pStyle w:val="BodyText"/>
      </w:pPr>
      <w:r w:rsidRPr="00F90D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3498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90D99" w:rsidP="00F90D99"/>
    <w:sectPr w:rsidSect="00F90D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99" w:rsidRPr="005E47E8" w:rsidP="005E4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E8" w:rsidP="00F90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7E8" w:rsidP="00F90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47E8" w:rsidP="00F90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D99" w:rsidRPr="005E47E8" w:rsidP="005E4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E8" w:rsidRPr="002D2AF8" w:rsidP="00F90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MARJ006 Follow environmental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E47E8" w:rsidP="00F90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2E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68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361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D99"/>
  </w:style>
  <w:style w:type="character" w:customStyle="1" w:styleId="Heading1Char">
    <w:name w:val="Heading 1 Char"/>
    <w:basedOn w:val="DefaultParagraphFont"/>
    <w:link w:val="Heading1"/>
    <w:rsid w:val="00F90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D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D99"/>
    <w:rPr>
      <w:b/>
      <w:spacing w:val="0"/>
    </w:rPr>
  </w:style>
  <w:style w:type="paragraph" w:styleId="ListBullet2">
    <w:name w:val="List Bullet 2"/>
    <w:basedOn w:val="List2"/>
    <w:rsid w:val="00F90D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0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0D9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0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D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D99"/>
    <w:rPr>
      <w:i/>
    </w:rPr>
  </w:style>
  <w:style w:type="paragraph" w:styleId="Caption">
    <w:name w:val="caption"/>
    <w:basedOn w:val="BodyText"/>
    <w:next w:val="Normal"/>
    <w:qFormat/>
    <w:rsid w:val="00F90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D99"/>
  </w:style>
  <w:style w:type="paragraph" w:styleId="TableofFigures">
    <w:name w:val="table of figures"/>
    <w:basedOn w:val="Normal"/>
    <w:next w:val="Normal"/>
    <w:semiHidden/>
    <w:rsid w:val="00F90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D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0D99"/>
    <w:rPr>
      <w:rFonts w:ascii="Wingdings" w:hAnsi="Wingdings"/>
    </w:rPr>
  </w:style>
  <w:style w:type="paragraph" w:customStyle="1" w:styleId="TableHeading">
    <w:name w:val="Table Heading"/>
    <w:basedOn w:val="HeadingBase"/>
    <w:rsid w:val="00F90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D99"/>
    <w:rPr>
      <w:color w:val="0033CC"/>
      <w:u w:val="none"/>
    </w:rPr>
  </w:style>
  <w:style w:type="paragraph" w:customStyle="1" w:styleId="BodyTextRight">
    <w:name w:val="Body Text Right"/>
    <w:basedOn w:val="BodyText"/>
    <w:rsid w:val="00F90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D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D99"/>
    <w:rPr>
      <w:sz w:val="32"/>
    </w:rPr>
  </w:style>
  <w:style w:type="paragraph" w:customStyle="1" w:styleId="HeadingProcedure">
    <w:name w:val="Heading Procedure"/>
    <w:basedOn w:val="HeadingBase"/>
    <w:next w:val="Normal"/>
    <w:rsid w:val="00F90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D99"/>
    <w:pPr>
      <w:spacing w:before="60" w:after="60"/>
    </w:pPr>
  </w:style>
  <w:style w:type="paragraph" w:styleId="ListContinue">
    <w:name w:val="List Continue"/>
    <w:basedOn w:val="List"/>
    <w:rsid w:val="00F90D99"/>
    <w:pPr>
      <w:ind w:firstLine="0"/>
    </w:pPr>
  </w:style>
  <w:style w:type="paragraph" w:customStyle="1" w:styleId="ListNote">
    <w:name w:val="List Note"/>
    <w:basedOn w:val="List"/>
    <w:rsid w:val="00F90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D99"/>
    <w:rPr>
      <w:rFonts w:ascii="Courier New" w:hAnsi="Courier New"/>
    </w:rPr>
  </w:style>
  <w:style w:type="paragraph" w:customStyle="1" w:styleId="NoteBullet">
    <w:name w:val="Note Bullet"/>
    <w:basedOn w:val="Note"/>
    <w:rsid w:val="00F90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D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0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D99"/>
    <w:rPr>
      <w:b/>
      <w:smallCaps/>
    </w:rPr>
  </w:style>
  <w:style w:type="paragraph" w:customStyle="1" w:styleId="TableListNumber">
    <w:name w:val="Table List Number"/>
    <w:basedOn w:val="ListNumber"/>
    <w:rsid w:val="00F90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D99"/>
    <w:pPr>
      <w:numPr>
        <w:numId w:val="10"/>
      </w:numPr>
    </w:pPr>
  </w:style>
  <w:style w:type="paragraph" w:customStyle="1" w:styleId="ListAlpha2">
    <w:name w:val="List Alpha 2"/>
    <w:basedOn w:val="List2"/>
    <w:rsid w:val="00F90D99"/>
    <w:pPr>
      <w:numPr>
        <w:numId w:val="9"/>
      </w:numPr>
    </w:pPr>
  </w:style>
  <w:style w:type="paragraph" w:styleId="List2">
    <w:name w:val="List 2"/>
    <w:basedOn w:val="BodyText"/>
    <w:rsid w:val="00F90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D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0D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0D99"/>
    <w:pPr>
      <w:numPr>
        <w:numId w:val="5"/>
      </w:numPr>
    </w:pPr>
  </w:style>
  <w:style w:type="paragraph" w:styleId="ListContinue2">
    <w:name w:val="List Continue 2"/>
    <w:basedOn w:val="List2"/>
    <w:rsid w:val="00F90D99"/>
    <w:pPr>
      <w:ind w:firstLine="0"/>
    </w:pPr>
  </w:style>
  <w:style w:type="paragraph" w:styleId="ListContinue3">
    <w:name w:val="List Continue 3"/>
    <w:basedOn w:val="List3"/>
    <w:rsid w:val="00F90D99"/>
    <w:pPr>
      <w:ind w:left="1021" w:firstLine="0"/>
    </w:pPr>
  </w:style>
  <w:style w:type="paragraph" w:styleId="ListContinue4">
    <w:name w:val="List Continue 4"/>
    <w:basedOn w:val="List4"/>
    <w:rsid w:val="00F90D99"/>
    <w:pPr>
      <w:ind w:firstLine="0"/>
    </w:pPr>
  </w:style>
  <w:style w:type="paragraph" w:styleId="ListContinue5">
    <w:name w:val="List Continue 5"/>
    <w:basedOn w:val="List5"/>
    <w:rsid w:val="00F90D99"/>
    <w:pPr>
      <w:ind w:firstLine="0"/>
    </w:pPr>
  </w:style>
  <w:style w:type="paragraph" w:styleId="ListNumber3">
    <w:name w:val="List Number 3"/>
    <w:basedOn w:val="List3"/>
    <w:rsid w:val="00F90D99"/>
    <w:pPr>
      <w:numPr>
        <w:numId w:val="6"/>
      </w:numPr>
    </w:pPr>
  </w:style>
  <w:style w:type="paragraph" w:styleId="ListNumber4">
    <w:name w:val="List Number 4"/>
    <w:basedOn w:val="List4"/>
    <w:rsid w:val="00F90D99"/>
    <w:pPr>
      <w:numPr>
        <w:numId w:val="7"/>
      </w:numPr>
    </w:pPr>
  </w:style>
  <w:style w:type="paragraph" w:styleId="ListNumber5">
    <w:name w:val="List Number 5"/>
    <w:basedOn w:val="List5"/>
    <w:rsid w:val="00F90D99"/>
    <w:pPr>
      <w:numPr>
        <w:numId w:val="8"/>
      </w:numPr>
    </w:pPr>
  </w:style>
  <w:style w:type="paragraph" w:styleId="BlockText">
    <w:name w:val="Block Text"/>
    <w:basedOn w:val="Normal"/>
    <w:rsid w:val="00F90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D99"/>
    <w:rPr>
      <w:sz w:val="16"/>
      <w:vertAlign w:val="superscript"/>
    </w:rPr>
  </w:style>
  <w:style w:type="character" w:customStyle="1" w:styleId="Symbols">
    <w:name w:val="Symbols"/>
    <w:basedOn w:val="DefaultParagraphFont"/>
    <w:rsid w:val="00F90D99"/>
    <w:rPr>
      <w:rFonts w:ascii="Symbol" w:hAnsi="Symbol"/>
    </w:rPr>
  </w:style>
  <w:style w:type="character" w:customStyle="1" w:styleId="MenuOptions">
    <w:name w:val="Menu Options"/>
    <w:basedOn w:val="DefaultParagraphFont"/>
    <w:rsid w:val="00F90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D99"/>
    <w:rPr>
      <w:b/>
    </w:rPr>
  </w:style>
  <w:style w:type="character" w:customStyle="1" w:styleId="Underlined">
    <w:name w:val="Underlined"/>
    <w:basedOn w:val="DefaultParagraphFont"/>
    <w:rsid w:val="00F90D99"/>
    <w:rPr>
      <w:u w:val="single"/>
    </w:rPr>
  </w:style>
  <w:style w:type="paragraph" w:customStyle="1" w:styleId="TableBodyTextRight">
    <w:name w:val="Table Body Text Right"/>
    <w:basedOn w:val="TableBodyText"/>
    <w:rsid w:val="00F90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D99"/>
    <w:rPr>
      <w:sz w:val="18"/>
    </w:rPr>
  </w:style>
  <w:style w:type="paragraph" w:customStyle="1" w:styleId="BodySmallRight">
    <w:name w:val="Body Small Right"/>
    <w:basedOn w:val="BodyTextRight"/>
    <w:rsid w:val="00F90D99"/>
    <w:rPr>
      <w:sz w:val="18"/>
      <w:szCs w:val="18"/>
    </w:rPr>
  </w:style>
  <w:style w:type="paragraph" w:customStyle="1" w:styleId="MarginEdition">
    <w:name w:val="Margin Edition"/>
    <w:basedOn w:val="MarginNote"/>
    <w:rsid w:val="00F90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D99"/>
    <w:rPr>
      <w:sz w:val="2"/>
      <w:szCs w:val="2"/>
    </w:rPr>
  </w:style>
  <w:style w:type="character" w:customStyle="1" w:styleId="Small">
    <w:name w:val="Small"/>
    <w:basedOn w:val="DefaultParagraphFont"/>
    <w:rsid w:val="00F90D99"/>
    <w:rPr>
      <w:sz w:val="16"/>
    </w:rPr>
  </w:style>
  <w:style w:type="paragraph" w:customStyle="1" w:styleId="WideTable">
    <w:name w:val="Wide Table"/>
    <w:basedOn w:val="Normal"/>
    <w:rsid w:val="00F90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D99"/>
  </w:style>
  <w:style w:type="paragraph" w:styleId="Quote">
    <w:name w:val="Quote"/>
    <w:basedOn w:val="Heading1"/>
    <w:link w:val="QuoteChar"/>
    <w:qFormat/>
    <w:rsid w:val="00F90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D99"/>
    <w:pPr>
      <w:pageBreakBefore/>
    </w:pPr>
  </w:style>
  <w:style w:type="paragraph" w:customStyle="1" w:styleId="Border">
    <w:name w:val="Border"/>
    <w:basedOn w:val="Normal"/>
    <w:qFormat/>
    <w:rsid w:val="00F90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D99"/>
    <w:rPr>
      <w:u w:val="single"/>
    </w:rPr>
  </w:style>
  <w:style w:type="character" w:customStyle="1" w:styleId="BoldandItalics">
    <w:name w:val="Bold and Italics"/>
    <w:qFormat/>
    <w:rsid w:val="00F90D99"/>
    <w:rPr>
      <w:b/>
      <w:i/>
      <w:u w:val="none"/>
    </w:rPr>
  </w:style>
  <w:style w:type="paragraph" w:styleId="BalloonText">
    <w:name w:val="Balloon Text"/>
    <w:basedOn w:val="Normal"/>
    <w:link w:val="BalloonTextChar"/>
    <w:rsid w:val="00F90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D99"/>
    <w:pPr>
      <w:spacing w:before="0" w:after="0"/>
    </w:pPr>
  </w:style>
  <w:style w:type="paragraph" w:customStyle="1" w:styleId="BodyTextBold">
    <w:name w:val="Body Text Bold"/>
    <w:basedOn w:val="BodyText"/>
    <w:qFormat/>
    <w:rsid w:val="00F90D99"/>
    <w:rPr>
      <w:b/>
    </w:rPr>
  </w:style>
  <w:style w:type="character" w:styleId="Hyperlink">
    <w:name w:val="Hyperlink"/>
    <w:basedOn w:val="DefaultParagraphFont"/>
    <w:uiPriority w:val="99"/>
    <w:unhideWhenUsed/>
    <w:rsid w:val="005E4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4178</Characters>
  <Application>Microsoft Office Word</Application>
  <DocSecurity>0</DocSecurity>
  <Lines>99</Lines>
  <Paragraphs>72</Paragraphs>
  <ScaleCrop>false</ScaleCrop>
  <Company>Author-it Software Corporation Ltd.</Company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MARJ006 Follow environmental work practices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2024-11-25T11:16:00Z</dcterms:created>
  <dcterms:modified xsi:type="dcterms:W3CDTF">2024-11-25T11:16:00Z</dcterms:modified>
</cp:coreProperties>
</file>