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2F7B" w:rsidP="00402F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MARI005 Respond to emergency situations</w:t>
      </w:r>
      <w:r>
        <w:fldChar w:fldCharType="end"/>
      </w:r>
    </w:p>
    <w:p w:rsidR="00402F7B" w:rsidP="00402F7B">
      <w:pPr>
        <w:pStyle w:val="Version"/>
        <w:sectPr w:rsidSect="00D644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44D7" w:rsidP="00D644D7">
      <w:pPr>
        <w:pStyle w:val="SuperHeading"/>
      </w:pPr>
      <w:r w:rsidRPr="00D644D7">
        <w:t>MARI005 Respond to emergency situations</w:t>
      </w:r>
    </w:p>
    <w:p w:rsidR="00000000" w:rsidRPr="00D644D7" w:rsidP="00D644D7">
      <w:pPr>
        <w:pStyle w:val="Heading1"/>
      </w:pPr>
      <w:bookmarkStart w:id="1" w:name="O_1233883"/>
      <w:bookmarkEnd w:id="1"/>
      <w:r w:rsidRPr="00D644D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44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4D7" w:rsidP="00D644D7">
            <w:pPr>
              <w:pStyle w:val="BodyText"/>
            </w:pPr>
            <w:r w:rsidRPr="00D644D7">
              <w:t>Release 1. This is the first release of this unit of competency in the MAR Maritime Training Package.</w:t>
            </w:r>
          </w:p>
        </w:tc>
      </w:tr>
    </w:tbl>
    <w:p w:rsidR="00402F7B" w:rsidP="00D644D7">
      <w:pPr>
        <w:pStyle w:val="NoPaddingFontSize1"/>
      </w:pPr>
    </w:p>
    <w:p w:rsidR="00402F7B" w:rsidP="00D644D7">
      <w:pPr>
        <w:pStyle w:val="NoPaddingFontSize1"/>
      </w:pPr>
    </w:p>
    <w:p w:rsidR="00000000" w:rsidRPr="00D644D7" w:rsidP="00D644D7">
      <w:pPr>
        <w:pStyle w:val="Heading1"/>
      </w:pPr>
      <w:bookmarkStart w:id="2" w:name="O_1233884"/>
      <w:bookmarkEnd w:id="2"/>
      <w:r w:rsidRPr="00D644D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44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4D7" w:rsidP="00D644D7">
            <w:pPr>
              <w:pStyle w:val="BodyText"/>
            </w:pPr>
            <w:r w:rsidRPr="00D644D7">
              <w:t>This unit involves the skills and knowledge required to respond to emergency situations as describe</w:t>
            </w:r>
            <w:r w:rsidRPr="00D644D7">
              <w:t xml:space="preserve">d in Module 8 of International Association of Marine Aids to Navigation and Lighthouse Authorities (IALA) Model Course C0103-1 Vessel Traffic Services Operator Training, including: </w:t>
            </w:r>
          </w:p>
          <w:p w:rsidR="00000000" w:rsidRPr="00D644D7" w:rsidP="00D644D7">
            <w:pPr>
              <w:pStyle w:val="ListBullet"/>
            </w:pPr>
            <w:r w:rsidRPr="00D644D7">
              <w:t>regulations</w:t>
            </w:r>
          </w:p>
          <w:p w:rsidR="00000000" w:rsidRPr="00D644D7" w:rsidP="00D644D7">
            <w:pPr>
              <w:pStyle w:val="ListBullet"/>
            </w:pPr>
            <w:r w:rsidRPr="00D644D7">
              <w:t>contingency plans</w:t>
            </w:r>
          </w:p>
          <w:p w:rsidR="00000000" w:rsidRPr="00D644D7" w:rsidP="00D644D7">
            <w:pPr>
              <w:pStyle w:val="ListBullet"/>
            </w:pPr>
            <w:r w:rsidRPr="00D644D7">
              <w:t>prioritising and responding to situations</w:t>
            </w:r>
          </w:p>
          <w:p w:rsidR="00000000" w:rsidRPr="00D644D7" w:rsidP="00D644D7">
            <w:pPr>
              <w:pStyle w:val="ListBullet"/>
            </w:pPr>
            <w:r w:rsidRPr="00D644D7">
              <w:t>r</w:t>
            </w:r>
            <w:r w:rsidRPr="00D644D7">
              <w:t>ecording activities concerning emergencies</w:t>
            </w:r>
          </w:p>
          <w:p w:rsidR="00000000" w:rsidRPr="00D644D7" w:rsidP="00D644D7">
            <w:pPr>
              <w:pStyle w:val="ListBullet"/>
            </w:pPr>
            <w:r w:rsidRPr="00D644D7">
              <w:t>maintaining a safe waterway throughout an emergency situation</w:t>
            </w:r>
          </w:p>
          <w:p w:rsidR="00000000" w:rsidRPr="00D644D7" w:rsidP="00D644D7">
            <w:pPr>
              <w:pStyle w:val="ListBullet"/>
            </w:pPr>
            <w:r w:rsidRPr="00D644D7">
              <w:t>dealing with internal and external emergencies.</w:t>
            </w:r>
          </w:p>
          <w:p w:rsidR="00000000" w:rsidRPr="00D644D7" w:rsidP="00D644D7">
            <w:pPr>
              <w:pStyle w:val="BodyText"/>
            </w:pPr>
            <w:r w:rsidRPr="00D644D7">
              <w:t>This unit applies to people working in the maritime industry in the capacity of:</w:t>
            </w:r>
          </w:p>
          <w:p w:rsidR="00000000" w:rsidRPr="00D644D7" w:rsidP="00D644D7">
            <w:pPr>
              <w:pStyle w:val="ListBullet"/>
            </w:pPr>
            <w:r w:rsidRPr="00D644D7">
              <w:t>Vessel Traffic Services (VTS) Operator.</w:t>
            </w:r>
          </w:p>
          <w:p w:rsidR="00000000" w:rsidRPr="00D644D7" w:rsidP="00D644D7">
            <w:pPr>
              <w:pStyle w:val="BodyText"/>
            </w:pPr>
          </w:p>
          <w:p w:rsidR="00000000" w:rsidRPr="00D644D7" w:rsidP="00D644D7">
            <w:pPr>
              <w:pStyle w:val="BodyText"/>
            </w:pPr>
            <w:r w:rsidRPr="00D644D7">
              <w:rPr>
                <w:rStyle w:val="SpecialBold"/>
              </w:rPr>
              <w:t>IMO Regulatory framework</w:t>
            </w:r>
          </w:p>
          <w:p w:rsidR="00000000" w:rsidRPr="00D644D7" w:rsidP="00D644D7">
            <w:pPr>
              <w:pStyle w:val="BodyText"/>
            </w:pPr>
            <w:r w:rsidRPr="00D644D7">
              <w:t>International Convention for the Safety of Life at Sea (SOLAS) V/12 states that Contracting Governments planning and implementing VTS shall, wherever possible, follow the guidelines develope</w:t>
            </w:r>
            <w:r w:rsidRPr="00D644D7">
              <w:t>d by the International Maritime Organization (IMO).</w:t>
            </w:r>
          </w:p>
          <w:p w:rsidR="00000000" w:rsidRPr="00D644D7" w:rsidP="00D644D7">
            <w:pPr>
              <w:pStyle w:val="BodyText"/>
            </w:pPr>
            <w:r w:rsidRPr="00D644D7">
              <w:t xml:space="preserve">IMO Resolution A.1158(32) Guidelines for VTS states: </w:t>
            </w:r>
          </w:p>
          <w:p w:rsidR="00000000" w:rsidRPr="00D644D7" w:rsidP="00D644D7">
            <w:pPr>
              <w:pStyle w:val="ListBullet"/>
            </w:pPr>
            <w:r w:rsidRPr="00D644D7">
              <w:t>VTS personnel should only be considered competent when appropriately trained and qualified for their VTS duties. This includes, amongst other things,</w:t>
            </w:r>
            <w:r w:rsidRPr="00D644D7">
              <w:t xml:space="preserve"> that personnel have satisfactorily completed generic VTS training approved by a competent authority.</w:t>
            </w:r>
          </w:p>
          <w:p w:rsidR="00000000" w:rsidRPr="00D644D7" w:rsidP="00D644D7">
            <w:pPr>
              <w:pStyle w:val="ListBullet"/>
            </w:pPr>
            <w:r w:rsidRPr="00D644D7">
              <w:t>IALA publishes standards and associated recommendations, guidelines and model courses specifically related to the establishment and operation of VTS contr</w:t>
            </w:r>
            <w:r w:rsidRPr="00D644D7">
              <w:t>ibute to achieving worldwide harmonization of VTS.</w:t>
            </w:r>
          </w:p>
          <w:p w:rsidR="00000000" w:rsidRPr="00D644D7" w:rsidP="00D644D7">
            <w:pPr>
              <w:pStyle w:val="ListBullet"/>
            </w:pPr>
            <w:r w:rsidRPr="00D644D7">
              <w:t>Contracting Governments are encouraged to take into account IALA standards and associated recommendations, guidelines and model courses specifically related to the operation of VTS.</w:t>
            </w:r>
          </w:p>
          <w:p w:rsidR="00000000" w:rsidRPr="00D644D7" w:rsidP="00D644D7">
            <w:pPr>
              <w:pStyle w:val="BodyText"/>
            </w:pPr>
          </w:p>
          <w:p w:rsidR="00000000" w:rsidRPr="00D644D7" w:rsidP="00D644D7">
            <w:pPr>
              <w:pStyle w:val="BodyText"/>
            </w:pPr>
            <w:r w:rsidRPr="00D644D7">
              <w:rPr>
                <w:rStyle w:val="SpecialBold"/>
              </w:rPr>
              <w:t>Licensing/Regulatory I</w:t>
            </w:r>
            <w:r w:rsidRPr="00D644D7">
              <w:rPr>
                <w:rStyle w:val="SpecialBold"/>
              </w:rPr>
              <w:t>nformation</w:t>
            </w:r>
          </w:p>
          <w:p w:rsidR="00000000" w:rsidRPr="00D644D7" w:rsidP="00D644D7">
            <w:pPr>
              <w:pStyle w:val="BodyText"/>
            </w:pPr>
            <w:r w:rsidRPr="00D644D7">
              <w:t>Legislative and regulatory requirements are applicable to this unit.</w:t>
            </w:r>
          </w:p>
          <w:p w:rsidR="00000000" w:rsidRPr="00D644D7" w:rsidP="00D644D7">
            <w:pPr>
              <w:pStyle w:val="ListBullet"/>
            </w:pPr>
            <w:r w:rsidRPr="00D644D7">
              <w:t>Marine Order 64 (Vessel Traffic Services)</w:t>
            </w:r>
          </w:p>
          <w:p w:rsidR="00000000" w:rsidRPr="00D644D7" w:rsidP="00D644D7">
            <w:pPr>
              <w:pStyle w:val="ListBullet"/>
            </w:pPr>
            <w:r w:rsidRPr="00D644D7">
              <w:t>RTOs must:</w:t>
            </w:r>
          </w:p>
          <w:p w:rsidR="00000000" w:rsidRPr="00D644D7" w:rsidP="00D644D7">
            <w:pPr>
              <w:pStyle w:val="ListBullet2"/>
            </w:pPr>
            <w:r w:rsidRPr="00D644D7">
              <w:t>demonstrate compliance with IALA Standard 1050 – Training and Certification</w:t>
            </w:r>
          </w:p>
          <w:p w:rsidR="00000000" w:rsidRPr="00D644D7" w:rsidP="00D644D7">
            <w:pPr>
              <w:pStyle w:val="ListBullet2"/>
            </w:pPr>
            <w:r w:rsidRPr="00D644D7">
              <w:t>take into account IALA standards and associated recommendations, guidelines and model courses, including G1141 and G1118.</w:t>
            </w:r>
          </w:p>
        </w:tc>
      </w:tr>
    </w:tbl>
    <w:p w:rsidR="00402F7B" w:rsidP="00D644D7">
      <w:pPr>
        <w:pStyle w:val="BodyText"/>
      </w:pPr>
    </w:p>
    <w:p w:rsidR="00402F7B" w:rsidP="00D644D7">
      <w:pPr>
        <w:pStyle w:val="BodyText"/>
      </w:pPr>
    </w:p>
    <w:p w:rsidR="00000000" w:rsidRPr="00D644D7" w:rsidP="00D644D7">
      <w:pPr>
        <w:pStyle w:val="Heading1"/>
      </w:pPr>
      <w:bookmarkStart w:id="3" w:name="O_1233885"/>
      <w:bookmarkEnd w:id="3"/>
      <w:r w:rsidRPr="00D644D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44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4D7" w:rsidP="00D644D7">
            <w:pPr>
              <w:pStyle w:val="BodyText"/>
            </w:pPr>
            <w:r w:rsidRPr="00D644D7">
              <w:t>Not Applicable</w:t>
            </w:r>
          </w:p>
        </w:tc>
      </w:tr>
    </w:tbl>
    <w:p w:rsidR="00402F7B" w:rsidP="00D644D7">
      <w:pPr>
        <w:pStyle w:val="NoPaddingFontSize1"/>
      </w:pPr>
    </w:p>
    <w:p w:rsidR="00402F7B" w:rsidP="00D644D7">
      <w:pPr>
        <w:pStyle w:val="NoPaddingFontSize1"/>
      </w:pPr>
    </w:p>
    <w:p w:rsidR="00000000" w:rsidRPr="00D644D7" w:rsidP="00D644D7">
      <w:pPr>
        <w:pStyle w:val="Heading1"/>
      </w:pPr>
      <w:bookmarkStart w:id="4" w:name="O_1233886"/>
      <w:bookmarkEnd w:id="4"/>
      <w:r w:rsidRPr="00D644D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44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4D7" w:rsidP="00D644D7">
            <w:pPr>
              <w:pStyle w:val="BodyText"/>
            </w:pPr>
            <w:r w:rsidRPr="00D644D7">
              <w:t>I – Regulations and port operations</w:t>
            </w:r>
          </w:p>
        </w:tc>
      </w:tr>
    </w:tbl>
    <w:p w:rsidR="00402F7B" w:rsidP="00D644D7">
      <w:pPr>
        <w:pStyle w:val="NoPaddingFontSize1"/>
      </w:pPr>
    </w:p>
    <w:p w:rsidR="00402F7B" w:rsidP="00D644D7">
      <w:pPr>
        <w:pStyle w:val="NoPaddingFontSize1"/>
      </w:pPr>
    </w:p>
    <w:p w:rsidR="00000000" w:rsidRPr="00D644D7" w:rsidP="00D644D7">
      <w:pPr>
        <w:pStyle w:val="Heading1"/>
      </w:pPr>
      <w:bookmarkStart w:id="5" w:name="O_1233887"/>
      <w:bookmarkEnd w:id="5"/>
      <w:r w:rsidRPr="00D644D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44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4D7" w:rsidP="00D644D7">
            <w:pPr>
              <w:pStyle w:val="BodyText"/>
            </w:pPr>
            <w:r w:rsidRPr="00D644D7">
              <w:t>Maritime sector</w:t>
            </w:r>
          </w:p>
        </w:tc>
      </w:tr>
    </w:tbl>
    <w:p w:rsidR="00402F7B" w:rsidP="00D644D7">
      <w:pPr>
        <w:pStyle w:val="NoPaddingFontSize1"/>
      </w:pPr>
    </w:p>
    <w:p w:rsidR="00402F7B" w:rsidP="00D644D7">
      <w:pPr>
        <w:pStyle w:val="NoPaddingFontSize1"/>
      </w:pPr>
    </w:p>
    <w:p w:rsidR="00000000" w:rsidRPr="00D644D7" w:rsidP="00D644D7">
      <w:pPr>
        <w:pStyle w:val="Heading1"/>
      </w:pPr>
      <w:bookmarkStart w:id="6" w:name="O_1233888"/>
      <w:bookmarkEnd w:id="6"/>
      <w:r w:rsidRPr="00D644D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1888"/>
        <w:gridCol w:w="589"/>
        <w:gridCol w:w="6199"/>
        <w:gridCol w:w="11"/>
      </w:tblGrid>
      <w:tr w:rsidTr="00D6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" w:type="dxa"/>
        </w:trPr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4D7" w:rsidP="00D644D7">
            <w:pPr>
              <w:pStyle w:val="BodyText"/>
            </w:pPr>
            <w:r w:rsidRPr="00D644D7">
              <w:rPr>
                <w:rStyle w:val="SpecialBold"/>
              </w:rPr>
              <w:t>ELEMENTS</w:t>
            </w:r>
          </w:p>
        </w:tc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4D7">
            <w:pPr>
              <w:pStyle w:val="BodyText"/>
              <w:rPr>
                <w:lang w:val="en-NZ"/>
              </w:rPr>
            </w:pPr>
            <w:r w:rsidRPr="00D644D7">
              <w:rPr>
                <w:rStyle w:val="SpecialBold"/>
              </w:rPr>
              <w:t>PERFORMANCE CRITERIA</w:t>
            </w:r>
          </w:p>
        </w:tc>
      </w:tr>
      <w:tr w:rsidTr="00D6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1" w:type="dxa"/>
        </w:trPr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4D7">
            <w:pPr>
              <w:pStyle w:val="BodyText"/>
              <w:rPr>
                <w:lang w:val="en-NZ"/>
              </w:rPr>
            </w:pPr>
            <w:r w:rsidRPr="00D644D7">
              <w:t>Elements describe the essential outcomes.</w:t>
            </w:r>
          </w:p>
        </w:tc>
        <w:tc>
          <w:tcPr>
            <w:tcW w:w="619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4D7">
            <w:pPr>
              <w:pStyle w:val="BodyText"/>
              <w:rPr>
                <w:lang w:val="en-NZ"/>
              </w:rPr>
            </w:pPr>
            <w:r w:rsidRPr="00D644D7">
              <w:t>Performance criteria describe the performance needed to demonstrate achievement of the element.</w:t>
            </w:r>
          </w:p>
        </w:tc>
      </w:tr>
      <w:tr w:rsidTr="00D6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4D7" w:rsidP="00D644D7">
            <w:pPr>
              <w:pStyle w:val="BodyText"/>
            </w:pPr>
            <w:r w:rsidRPr="00D644D7">
              <w:rPr>
                <w:rStyle w:val="SpecialBold"/>
              </w:rPr>
              <w:t>1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4D7" w:rsidP="00D644D7">
            <w:pPr>
              <w:pStyle w:val="BodyText"/>
            </w:pPr>
            <w:r w:rsidRPr="00D644D7">
              <w:rPr>
                <w:rStyle w:val="SpecialBold"/>
              </w:rPr>
              <w:t>Identify emergency response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4D7">
            <w:pPr>
              <w:pStyle w:val="BodyText"/>
              <w:rPr>
                <w:lang w:val="en-NZ"/>
              </w:rPr>
            </w:pPr>
            <w:r w:rsidRPr="00D644D7">
              <w:rPr>
                <w:rStyle w:val="SpecialBold"/>
              </w:rPr>
              <w:t>1.1</w:t>
            </w:r>
          </w:p>
        </w:tc>
        <w:tc>
          <w:tcPr>
            <w:tcW w:w="6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4D7">
            <w:pPr>
              <w:pStyle w:val="BodyText"/>
              <w:rPr>
                <w:lang w:val="en-NZ"/>
              </w:rPr>
            </w:pPr>
            <w:r w:rsidRPr="00D644D7">
              <w:t xml:space="preserve">Type and scale of emergency is correctly identified </w:t>
            </w:r>
          </w:p>
        </w:tc>
      </w:tr>
      <w:tr w:rsidTr="00D6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4D7">
            <w:pPr>
              <w:pStyle w:val="BodyText"/>
              <w:keepLines w:val="0"/>
            </w:pP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4D7">
            <w:pPr>
              <w:pStyle w:val="BodyText"/>
              <w:rPr>
                <w:lang w:val="en-NZ"/>
              </w:rPr>
            </w:pPr>
            <w:r w:rsidRPr="00D644D7">
              <w:rPr>
                <w:rStyle w:val="SpecialBold"/>
              </w:rPr>
              <w:t>1.2</w:t>
            </w:r>
          </w:p>
        </w:tc>
        <w:tc>
          <w:tcPr>
            <w:tcW w:w="6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4D7">
            <w:pPr>
              <w:pStyle w:val="BodyText"/>
              <w:rPr>
                <w:lang w:val="en-NZ"/>
              </w:rPr>
            </w:pPr>
            <w:r w:rsidRPr="00D644D7">
              <w:t>Emergency is communicated to VTS supervisor in accordance with wo</w:t>
            </w:r>
            <w:r w:rsidRPr="00D644D7">
              <w:t>rkplace procedures</w:t>
            </w:r>
          </w:p>
        </w:tc>
      </w:tr>
      <w:tr w:rsidTr="00D6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4D7">
            <w:pPr>
              <w:pStyle w:val="BodyText"/>
              <w:keepLines w:val="0"/>
            </w:pP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4D7">
            <w:pPr>
              <w:pStyle w:val="BodyText"/>
              <w:rPr>
                <w:lang w:val="en-NZ"/>
              </w:rPr>
            </w:pPr>
            <w:r w:rsidRPr="00D644D7">
              <w:rPr>
                <w:rStyle w:val="SpecialBold"/>
              </w:rPr>
              <w:t>1.3</w:t>
            </w:r>
          </w:p>
        </w:tc>
        <w:tc>
          <w:tcPr>
            <w:tcW w:w="6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4D7">
            <w:pPr>
              <w:pStyle w:val="BodyText"/>
              <w:rPr>
                <w:lang w:val="en-NZ"/>
              </w:rPr>
            </w:pPr>
            <w:r w:rsidRPr="00D644D7">
              <w:t>Contingency plan and checklists are accessed in accordance with workplace procedures</w:t>
            </w:r>
          </w:p>
        </w:tc>
      </w:tr>
      <w:tr w:rsidTr="00D6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4D7" w:rsidP="00D644D7">
            <w:pPr>
              <w:pStyle w:val="BodyText"/>
            </w:pPr>
            <w:r w:rsidRPr="00D644D7">
              <w:rPr>
                <w:rStyle w:val="SpecialBold"/>
              </w:rPr>
              <w:t>2</w:t>
            </w: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4D7" w:rsidP="00D644D7">
            <w:pPr>
              <w:pStyle w:val="BodyText"/>
            </w:pPr>
            <w:r w:rsidRPr="00D644D7">
              <w:rPr>
                <w:rStyle w:val="SpecialBold"/>
              </w:rPr>
              <w:t>Follow contingency plan</w:t>
            </w: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4D7">
            <w:pPr>
              <w:pStyle w:val="BodyText"/>
              <w:rPr>
                <w:lang w:val="en-NZ"/>
              </w:rPr>
            </w:pPr>
            <w:r w:rsidRPr="00D644D7">
              <w:rPr>
                <w:rStyle w:val="SpecialBold"/>
              </w:rPr>
              <w:t>2.1</w:t>
            </w:r>
          </w:p>
        </w:tc>
        <w:tc>
          <w:tcPr>
            <w:tcW w:w="6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4D7">
            <w:pPr>
              <w:pStyle w:val="BodyText"/>
              <w:rPr>
                <w:lang w:val="en-NZ"/>
              </w:rPr>
            </w:pPr>
            <w:r w:rsidRPr="00D644D7">
              <w:t>Contingency plans and checklists are applied in accordance with workplace procedures</w:t>
            </w:r>
          </w:p>
        </w:tc>
      </w:tr>
      <w:tr w:rsidTr="00D6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4D7">
            <w:pPr>
              <w:pStyle w:val="BodyText"/>
              <w:keepLines w:val="0"/>
            </w:pP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4D7">
            <w:pPr>
              <w:pStyle w:val="BodyText"/>
              <w:rPr>
                <w:lang w:val="en-NZ"/>
              </w:rPr>
            </w:pPr>
            <w:r w:rsidRPr="00D644D7">
              <w:rPr>
                <w:rStyle w:val="SpecialBold"/>
              </w:rPr>
              <w:t>2.2</w:t>
            </w:r>
          </w:p>
        </w:tc>
        <w:tc>
          <w:tcPr>
            <w:tcW w:w="6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4D7">
            <w:pPr>
              <w:pStyle w:val="BodyText"/>
              <w:rPr>
                <w:lang w:val="en-NZ"/>
              </w:rPr>
            </w:pPr>
            <w:r w:rsidRPr="00D644D7">
              <w:t>Relevant allied services and response organisations are identified, and communication channels are established and maintained in accordance with contingency plans and workplace procedures</w:t>
            </w:r>
          </w:p>
        </w:tc>
      </w:tr>
      <w:tr w:rsidTr="00D6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4D7">
            <w:pPr>
              <w:pStyle w:val="BodyText"/>
              <w:keepLines w:val="0"/>
            </w:pP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4D7">
            <w:pPr>
              <w:pStyle w:val="BodyText"/>
              <w:rPr>
                <w:lang w:val="en-NZ"/>
              </w:rPr>
            </w:pPr>
            <w:r w:rsidRPr="00D644D7">
              <w:rPr>
                <w:rStyle w:val="SpecialBold"/>
              </w:rPr>
              <w:t>2.3</w:t>
            </w:r>
          </w:p>
        </w:tc>
        <w:tc>
          <w:tcPr>
            <w:tcW w:w="6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4D7">
            <w:pPr>
              <w:pStyle w:val="BodyText"/>
              <w:rPr>
                <w:lang w:val="en-NZ"/>
              </w:rPr>
            </w:pPr>
            <w:r w:rsidRPr="00D644D7">
              <w:t>Situational reports are collected and disseminated in accorda</w:t>
            </w:r>
            <w:r w:rsidRPr="00D644D7">
              <w:t xml:space="preserve">nce with workplace procedures </w:t>
            </w:r>
          </w:p>
        </w:tc>
      </w:tr>
      <w:tr w:rsidTr="00D644D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88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4D7">
            <w:pPr>
              <w:pStyle w:val="BodyText"/>
              <w:keepLines w:val="0"/>
            </w:pPr>
          </w:p>
        </w:tc>
        <w:tc>
          <w:tcPr>
            <w:tcW w:w="5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44D7">
            <w:pPr>
              <w:pStyle w:val="BodyText"/>
              <w:rPr>
                <w:lang w:val="en-NZ"/>
              </w:rPr>
            </w:pPr>
            <w:r w:rsidRPr="00D644D7">
              <w:rPr>
                <w:rStyle w:val="SpecialBold"/>
              </w:rPr>
              <w:t>2.4</w:t>
            </w:r>
          </w:p>
        </w:tc>
        <w:tc>
          <w:tcPr>
            <w:tcW w:w="6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4D7" w:rsidP="00D644D7">
            <w:pPr>
              <w:pStyle w:val="BodyText"/>
            </w:pPr>
            <w:r w:rsidRPr="00D644D7">
              <w:t xml:space="preserve">Response actions to emergency situations are documented in accordance with workplace procedures </w:t>
            </w:r>
          </w:p>
        </w:tc>
      </w:tr>
    </w:tbl>
    <w:p w:rsidR="00402F7B" w:rsidP="00D644D7">
      <w:pPr>
        <w:pStyle w:val="NoPaddingFontSize1"/>
      </w:pPr>
    </w:p>
    <w:p w:rsidR="00402F7B" w:rsidP="00D644D7">
      <w:pPr>
        <w:pStyle w:val="NoPaddingFontSize1"/>
      </w:pPr>
    </w:p>
    <w:p w:rsidR="00000000" w:rsidRPr="00D644D7" w:rsidP="00D644D7">
      <w:pPr>
        <w:pStyle w:val="Heading1"/>
      </w:pPr>
      <w:bookmarkStart w:id="7" w:name="O_1233889"/>
      <w:bookmarkEnd w:id="7"/>
      <w:r w:rsidRPr="00D644D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44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4D7" w:rsidP="00D644D7">
            <w:pPr>
              <w:pStyle w:val="BodyText"/>
            </w:pPr>
            <w:r w:rsidRPr="00D644D7">
              <w:t>Foundation</w:t>
            </w:r>
            <w:r w:rsidRPr="00D644D7">
              <w:t xml:space="preserve"> skills essential to performance are explicit in the performance criteria of this unit of competency.</w:t>
            </w:r>
          </w:p>
        </w:tc>
      </w:tr>
    </w:tbl>
    <w:p w:rsidR="00402F7B" w:rsidP="00D644D7">
      <w:pPr>
        <w:pStyle w:val="NoPaddingFontSize1"/>
      </w:pPr>
    </w:p>
    <w:p w:rsidR="00402F7B" w:rsidP="00D644D7">
      <w:pPr>
        <w:pStyle w:val="NoPaddingFontSize1"/>
      </w:pPr>
    </w:p>
    <w:p w:rsidR="00000000" w:rsidRPr="00D644D7" w:rsidP="00D644D7">
      <w:pPr>
        <w:pStyle w:val="Heading1"/>
      </w:pPr>
      <w:bookmarkStart w:id="8" w:name="O_1233890"/>
      <w:bookmarkEnd w:id="8"/>
      <w:r w:rsidRPr="00D644D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44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4D7" w:rsidP="00D644D7">
            <w:pPr>
              <w:pStyle w:val="BodyText"/>
            </w:pPr>
            <w:r w:rsidRPr="00D644D7">
              <w:t>Range is restricted to essential operating conditions and any other variables essential to the work environment.</w:t>
            </w:r>
          </w:p>
          <w:p w:rsidR="00000000" w:rsidRPr="00D644D7" w:rsidP="00D644D7">
            <w:pPr>
              <w:pStyle w:val="BodyText"/>
            </w:pPr>
            <w:r w:rsidRPr="00D644D7">
              <w:t>Non-essential conditions may be found in the MAR Maritime Training Package Companion Volume Implementation Guide.</w:t>
            </w:r>
          </w:p>
        </w:tc>
      </w:tr>
    </w:tbl>
    <w:p w:rsidR="00402F7B" w:rsidP="00D644D7">
      <w:pPr>
        <w:pStyle w:val="NoPaddingFontSize1"/>
      </w:pPr>
    </w:p>
    <w:p w:rsidR="00402F7B" w:rsidP="00D644D7">
      <w:pPr>
        <w:pStyle w:val="NoPaddingFontSize1"/>
      </w:pPr>
    </w:p>
    <w:p w:rsidR="00000000" w:rsidRPr="00D644D7" w:rsidP="00D644D7">
      <w:pPr>
        <w:pStyle w:val="Heading1"/>
      </w:pPr>
      <w:bookmarkStart w:id="9" w:name="O_1233891"/>
      <w:bookmarkEnd w:id="9"/>
      <w:r w:rsidRPr="00D644D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644D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44D7" w:rsidP="00D644D7">
            <w:pPr>
              <w:pStyle w:val="BodyText"/>
            </w:pPr>
            <w:r w:rsidRPr="00D644D7">
              <w:t>This is a new unit. No equivalent unit.</w:t>
            </w:r>
          </w:p>
        </w:tc>
      </w:tr>
    </w:tbl>
    <w:p w:rsidR="00402F7B" w:rsidP="00D644D7">
      <w:pPr>
        <w:pStyle w:val="NoPaddingFontSize1"/>
      </w:pPr>
    </w:p>
    <w:p w:rsidR="00402F7B" w:rsidP="00D644D7">
      <w:pPr>
        <w:pStyle w:val="NoPaddingFontSize1"/>
      </w:pPr>
    </w:p>
    <w:p w:rsidR="00000000" w:rsidRPr="00D644D7" w:rsidP="00D644D7">
      <w:pPr>
        <w:pStyle w:val="Heading1"/>
      </w:pPr>
      <w:bookmarkStart w:id="10" w:name="O_1233898"/>
      <w:bookmarkEnd w:id="10"/>
      <w:r w:rsidRPr="00D644D7">
        <w:t>Links</w:t>
      </w:r>
    </w:p>
    <w:p w:rsidR="00000000" w:rsidRPr="00D644D7" w:rsidP="00402F7B">
      <w:pPr>
        <w:pStyle w:val="BodyText"/>
      </w:pPr>
      <w:r w:rsidRPr="00D644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B51FFD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D644D7" w:rsidP="00D644D7"/>
    <w:sectPr w:rsidSect="00D644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4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4D7" w:rsidRPr="00402F7B" w:rsidP="00402F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4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F7B" w:rsidP="00D644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2F7B" w:rsidP="00D644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02F7B" w:rsidP="00D644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4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F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44D7" w:rsidRPr="00402F7B" w:rsidP="00402F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4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F7B" w:rsidRPr="002D2AF8" w:rsidP="00D644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MARI005 Respond to emergency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402F7B" w:rsidP="00D644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520A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BE28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526B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44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44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44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44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44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44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44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44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44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44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44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44D7"/>
  </w:style>
  <w:style w:type="character" w:customStyle="1" w:styleId="Heading1Char">
    <w:name w:val="Heading 1 Char"/>
    <w:basedOn w:val="DefaultParagraphFont"/>
    <w:link w:val="Heading1"/>
    <w:rsid w:val="00D644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44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44D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44D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44D7"/>
    <w:rPr>
      <w:b/>
      <w:spacing w:val="0"/>
    </w:rPr>
  </w:style>
  <w:style w:type="paragraph" w:styleId="ListBullet2">
    <w:name w:val="List Bullet 2"/>
    <w:basedOn w:val="List2"/>
    <w:rsid w:val="00D644D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644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44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644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44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44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44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44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44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44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44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44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44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44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44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44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44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44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44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44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44D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44D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44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44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44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44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44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44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44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44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44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44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44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44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44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44D7"/>
    <w:rPr>
      <w:i/>
    </w:rPr>
  </w:style>
  <w:style w:type="paragraph" w:styleId="Caption">
    <w:name w:val="caption"/>
    <w:basedOn w:val="BodyText"/>
    <w:next w:val="Normal"/>
    <w:qFormat/>
    <w:rsid w:val="00D644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44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44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44D7"/>
  </w:style>
  <w:style w:type="paragraph" w:styleId="TableofFigures">
    <w:name w:val="table of figures"/>
    <w:basedOn w:val="Normal"/>
    <w:next w:val="Normal"/>
    <w:semiHidden/>
    <w:rsid w:val="00D644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44D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44D7"/>
    <w:rPr>
      <w:rFonts w:ascii="Wingdings" w:hAnsi="Wingdings"/>
    </w:rPr>
  </w:style>
  <w:style w:type="paragraph" w:customStyle="1" w:styleId="TableHeading">
    <w:name w:val="Table Heading"/>
    <w:basedOn w:val="HeadingBase"/>
    <w:rsid w:val="00D644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44D7"/>
    <w:rPr>
      <w:color w:val="0033CC"/>
      <w:u w:val="none"/>
    </w:rPr>
  </w:style>
  <w:style w:type="paragraph" w:customStyle="1" w:styleId="BodyTextRight">
    <w:name w:val="Body Text Right"/>
    <w:basedOn w:val="BodyText"/>
    <w:rsid w:val="00D644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44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44D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44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44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44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44D7"/>
    <w:rPr>
      <w:sz w:val="32"/>
    </w:rPr>
  </w:style>
  <w:style w:type="paragraph" w:customStyle="1" w:styleId="HeadingProcedure">
    <w:name w:val="Heading Procedure"/>
    <w:basedOn w:val="HeadingBase"/>
    <w:next w:val="Normal"/>
    <w:rsid w:val="00D644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44D7"/>
    <w:pPr>
      <w:spacing w:before="60" w:after="60"/>
    </w:pPr>
  </w:style>
  <w:style w:type="paragraph" w:styleId="ListContinue">
    <w:name w:val="List Continue"/>
    <w:basedOn w:val="List"/>
    <w:rsid w:val="00D644D7"/>
    <w:pPr>
      <w:ind w:firstLine="0"/>
    </w:pPr>
  </w:style>
  <w:style w:type="paragraph" w:customStyle="1" w:styleId="ListNote">
    <w:name w:val="List Note"/>
    <w:basedOn w:val="List"/>
    <w:rsid w:val="00D644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44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44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44D7"/>
    <w:rPr>
      <w:rFonts w:ascii="Courier New" w:hAnsi="Courier New"/>
    </w:rPr>
  </w:style>
  <w:style w:type="paragraph" w:customStyle="1" w:styleId="NoteBullet">
    <w:name w:val="Note Bullet"/>
    <w:basedOn w:val="Note"/>
    <w:rsid w:val="00D644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44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44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44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44D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44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44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44D7"/>
    <w:rPr>
      <w:b/>
      <w:smallCaps/>
    </w:rPr>
  </w:style>
  <w:style w:type="paragraph" w:customStyle="1" w:styleId="TableListNumber">
    <w:name w:val="Table List Number"/>
    <w:basedOn w:val="ListNumber"/>
    <w:rsid w:val="00D644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44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44D7"/>
    <w:pPr>
      <w:numPr>
        <w:numId w:val="9"/>
      </w:numPr>
    </w:pPr>
  </w:style>
  <w:style w:type="paragraph" w:customStyle="1" w:styleId="ListAlpha2">
    <w:name w:val="List Alpha 2"/>
    <w:basedOn w:val="List2"/>
    <w:rsid w:val="00D644D7"/>
    <w:pPr>
      <w:numPr>
        <w:numId w:val="8"/>
      </w:numPr>
    </w:pPr>
  </w:style>
  <w:style w:type="paragraph" w:styleId="List2">
    <w:name w:val="List 2"/>
    <w:basedOn w:val="BodyText"/>
    <w:rsid w:val="00D644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44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44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44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44D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44D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44D7"/>
    <w:pPr>
      <w:numPr>
        <w:numId w:val="4"/>
      </w:numPr>
    </w:pPr>
  </w:style>
  <w:style w:type="paragraph" w:styleId="ListContinue2">
    <w:name w:val="List Continue 2"/>
    <w:basedOn w:val="List2"/>
    <w:rsid w:val="00D644D7"/>
    <w:pPr>
      <w:ind w:firstLine="0"/>
    </w:pPr>
  </w:style>
  <w:style w:type="paragraph" w:styleId="ListContinue3">
    <w:name w:val="List Continue 3"/>
    <w:basedOn w:val="List3"/>
    <w:rsid w:val="00D644D7"/>
    <w:pPr>
      <w:ind w:left="1021" w:firstLine="0"/>
    </w:pPr>
  </w:style>
  <w:style w:type="paragraph" w:styleId="ListContinue4">
    <w:name w:val="List Continue 4"/>
    <w:basedOn w:val="List4"/>
    <w:rsid w:val="00D644D7"/>
    <w:pPr>
      <w:ind w:firstLine="0"/>
    </w:pPr>
  </w:style>
  <w:style w:type="paragraph" w:styleId="ListContinue5">
    <w:name w:val="List Continue 5"/>
    <w:basedOn w:val="List5"/>
    <w:rsid w:val="00D644D7"/>
    <w:pPr>
      <w:ind w:firstLine="0"/>
    </w:pPr>
  </w:style>
  <w:style w:type="paragraph" w:styleId="ListNumber3">
    <w:name w:val="List Number 3"/>
    <w:basedOn w:val="List3"/>
    <w:rsid w:val="00D644D7"/>
    <w:pPr>
      <w:numPr>
        <w:numId w:val="5"/>
      </w:numPr>
    </w:pPr>
  </w:style>
  <w:style w:type="paragraph" w:styleId="ListNumber4">
    <w:name w:val="List Number 4"/>
    <w:basedOn w:val="List4"/>
    <w:rsid w:val="00D644D7"/>
    <w:pPr>
      <w:numPr>
        <w:numId w:val="6"/>
      </w:numPr>
    </w:pPr>
  </w:style>
  <w:style w:type="paragraph" w:styleId="ListNumber5">
    <w:name w:val="List Number 5"/>
    <w:basedOn w:val="List5"/>
    <w:rsid w:val="00D644D7"/>
    <w:pPr>
      <w:numPr>
        <w:numId w:val="7"/>
      </w:numPr>
    </w:pPr>
  </w:style>
  <w:style w:type="paragraph" w:styleId="BlockText">
    <w:name w:val="Block Text"/>
    <w:basedOn w:val="Normal"/>
    <w:rsid w:val="00D644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44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44D7"/>
    <w:rPr>
      <w:sz w:val="16"/>
      <w:vertAlign w:val="superscript"/>
    </w:rPr>
  </w:style>
  <w:style w:type="character" w:customStyle="1" w:styleId="Symbols">
    <w:name w:val="Symbols"/>
    <w:basedOn w:val="DefaultParagraphFont"/>
    <w:rsid w:val="00D644D7"/>
    <w:rPr>
      <w:rFonts w:ascii="Symbol" w:hAnsi="Symbol"/>
    </w:rPr>
  </w:style>
  <w:style w:type="character" w:customStyle="1" w:styleId="MenuOptions">
    <w:name w:val="Menu Options"/>
    <w:basedOn w:val="DefaultParagraphFont"/>
    <w:rsid w:val="00D644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44D7"/>
    <w:rPr>
      <w:b/>
    </w:rPr>
  </w:style>
  <w:style w:type="character" w:customStyle="1" w:styleId="Underlined">
    <w:name w:val="Underlined"/>
    <w:basedOn w:val="DefaultParagraphFont"/>
    <w:rsid w:val="00D644D7"/>
    <w:rPr>
      <w:u w:val="single"/>
    </w:rPr>
  </w:style>
  <w:style w:type="paragraph" w:customStyle="1" w:styleId="TableBodyTextRight">
    <w:name w:val="Table Body Text Right"/>
    <w:basedOn w:val="TableBodyText"/>
    <w:rsid w:val="00D644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44D7"/>
    <w:rPr>
      <w:sz w:val="18"/>
    </w:rPr>
  </w:style>
  <w:style w:type="paragraph" w:customStyle="1" w:styleId="BodySmallRight">
    <w:name w:val="Body Small Right"/>
    <w:basedOn w:val="BodyTextRight"/>
    <w:rsid w:val="00D644D7"/>
    <w:rPr>
      <w:sz w:val="18"/>
      <w:szCs w:val="18"/>
    </w:rPr>
  </w:style>
  <w:style w:type="paragraph" w:customStyle="1" w:styleId="MarginEdition">
    <w:name w:val="Margin Edition"/>
    <w:basedOn w:val="MarginNote"/>
    <w:rsid w:val="00D644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44D7"/>
    <w:rPr>
      <w:sz w:val="2"/>
      <w:szCs w:val="2"/>
    </w:rPr>
  </w:style>
  <w:style w:type="character" w:customStyle="1" w:styleId="Small">
    <w:name w:val="Small"/>
    <w:basedOn w:val="DefaultParagraphFont"/>
    <w:rsid w:val="00D644D7"/>
    <w:rPr>
      <w:sz w:val="16"/>
    </w:rPr>
  </w:style>
  <w:style w:type="paragraph" w:customStyle="1" w:styleId="WideTable">
    <w:name w:val="Wide Table"/>
    <w:basedOn w:val="Normal"/>
    <w:rsid w:val="00D644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44D7"/>
  </w:style>
  <w:style w:type="paragraph" w:styleId="Quote">
    <w:name w:val="Quote"/>
    <w:basedOn w:val="Heading1"/>
    <w:link w:val="QuoteChar"/>
    <w:qFormat/>
    <w:rsid w:val="00D644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44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44D7"/>
    <w:pPr>
      <w:pageBreakBefore/>
    </w:pPr>
  </w:style>
  <w:style w:type="paragraph" w:customStyle="1" w:styleId="Border">
    <w:name w:val="Border"/>
    <w:basedOn w:val="Normal"/>
    <w:qFormat/>
    <w:rsid w:val="00D644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44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44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44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44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44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44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44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44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44D7"/>
    <w:rPr>
      <w:u w:val="single"/>
    </w:rPr>
  </w:style>
  <w:style w:type="character" w:customStyle="1" w:styleId="BoldandItalics">
    <w:name w:val="Bold and Italics"/>
    <w:qFormat/>
    <w:rsid w:val="00D644D7"/>
    <w:rPr>
      <w:b/>
      <w:i/>
      <w:u w:val="none"/>
    </w:rPr>
  </w:style>
  <w:style w:type="paragraph" w:styleId="BalloonText">
    <w:name w:val="Balloon Text"/>
    <w:basedOn w:val="Normal"/>
    <w:link w:val="BalloonTextChar"/>
    <w:rsid w:val="00D644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44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44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44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44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44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44D7"/>
    <w:pPr>
      <w:spacing w:before="0" w:after="0"/>
    </w:pPr>
  </w:style>
  <w:style w:type="paragraph" w:customStyle="1" w:styleId="BodyTextBold">
    <w:name w:val="Body Text Bold"/>
    <w:basedOn w:val="BodyText"/>
    <w:qFormat/>
    <w:rsid w:val="00D644D7"/>
    <w:rPr>
      <w:b/>
    </w:rPr>
  </w:style>
  <w:style w:type="character" w:styleId="Hyperlink">
    <w:name w:val="Hyperlink"/>
    <w:basedOn w:val="DefaultParagraphFont"/>
    <w:uiPriority w:val="99"/>
    <w:unhideWhenUsed/>
    <w:rsid w:val="00402F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529</Words>
  <Characters>3534</Characters>
  <Application>Microsoft Office Word</Application>
  <DocSecurity>0</DocSecurity>
  <Lines>135</Lines>
  <Paragraphs>78</Paragraphs>
  <ScaleCrop>false</ScaleCrop>
  <Company>Author-it Software Corporation Ltd.</Company>
  <LinksUpToDate>false</LinksUpToDate>
  <CharactersWithSpaces>3985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MARI005 Respond to emergency situations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2022-12-20T02:36:00Z</dcterms:created>
  <dcterms:modified xsi:type="dcterms:W3CDTF">2022-12-20T02:36:00Z</dcterms:modified>
</cp:coreProperties>
</file>