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E98" w:rsidP="00680E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MARI004 Observe regulations to ensure safe operation of a vessel up to 80 metres</w:t>
      </w:r>
      <w:r>
        <w:fldChar w:fldCharType="end"/>
      </w:r>
    </w:p>
    <w:p w:rsidR="00680E98" w:rsidP="00680E98">
      <w:pPr>
        <w:pStyle w:val="Version"/>
        <w:sectPr w:rsidSect="009E6B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6B2D" w:rsidP="009E6B2D">
      <w:pPr>
        <w:pStyle w:val="SuperHeading"/>
      </w:pPr>
      <w:r w:rsidRPr="009E6B2D">
        <w:t>MARI004 Observe regulations to ensure safe operation of a vessel up to 80 metres</w:t>
      </w:r>
    </w:p>
    <w:p w:rsidR="00000000" w:rsidRPr="009E6B2D" w:rsidP="009E6B2D">
      <w:pPr>
        <w:pStyle w:val="Heading1"/>
      </w:pPr>
      <w:bookmarkStart w:id="1" w:name="O_976892"/>
      <w:bookmarkEnd w:id="1"/>
      <w:r w:rsidRPr="009E6B2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6B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 w:rsidP="009E6B2D">
            <w:pPr>
              <w:pStyle w:val="BodyText"/>
            </w:pPr>
            <w:r w:rsidRPr="009E6B2D">
              <w:t>Release 1. New unit of competency. Licensing/regulatory information has been incorporated in accordance with Regulatory requirements. Assessment Requirements have been strengthened in accordance with Regulatory requirements.</w:t>
            </w:r>
          </w:p>
        </w:tc>
      </w:tr>
    </w:tbl>
    <w:p w:rsidR="00000000" w:rsidRPr="009E6B2D" w:rsidP="009E6B2D">
      <w:pPr>
        <w:pStyle w:val="NoPaddingFontSize1"/>
      </w:pPr>
    </w:p>
    <w:p w:rsidR="00000000" w:rsidRPr="009E6B2D" w:rsidP="009E6B2D">
      <w:pPr>
        <w:pStyle w:val="AllowPageBreak"/>
      </w:pPr>
    </w:p>
    <w:p w:rsidR="00000000" w:rsidRPr="009E6B2D" w:rsidP="009E6B2D">
      <w:pPr>
        <w:pStyle w:val="Heading1"/>
      </w:pPr>
      <w:bookmarkStart w:id="2" w:name="O_976900"/>
      <w:bookmarkEnd w:id="2"/>
      <w:r w:rsidRPr="009E6B2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6B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 w:rsidP="009E6B2D">
            <w:pPr>
              <w:pStyle w:val="BodyText"/>
            </w:pPr>
            <w:r w:rsidRPr="009E6B2D">
              <w:t>This unit involves the skills and knowledge required to apply current Commonwealth, state and territory Acts, legislation, codes of practice and other publications pertaining to the safe operation of a vessel up to 80 m.</w:t>
            </w:r>
          </w:p>
          <w:p w:rsidR="00000000" w:rsidRPr="009E6B2D" w:rsidP="009E6B2D">
            <w:pPr>
              <w:pStyle w:val="BodyText"/>
            </w:pPr>
            <w:r w:rsidRPr="009E6B2D">
              <w:t>This unit applies to people working</w:t>
            </w:r>
            <w:r w:rsidRPr="009E6B2D">
              <w:t xml:space="preserve"> in maritime industry in the capacity of:</w:t>
            </w:r>
          </w:p>
          <w:p w:rsidR="00000000" w:rsidRPr="009E6B2D" w:rsidP="009E6B2D">
            <w:pPr>
              <w:pStyle w:val="ListBullet"/>
            </w:pPr>
            <w:r w:rsidRPr="009E6B2D">
              <w:t xml:space="preserve">master on commercial vessels &lt;35 m in length within the exclusive economic zone (EEZ) or </w:t>
            </w:r>
          </w:p>
          <w:p w:rsidR="00000000" w:rsidRPr="009E6B2D" w:rsidP="009E6B2D">
            <w:pPr>
              <w:pStyle w:val="ListBullet"/>
            </w:pPr>
            <w:r w:rsidRPr="009E6B2D">
              <w:t xml:space="preserve">master a vessel up to 80 m in inshore waters or </w:t>
            </w:r>
          </w:p>
          <w:p w:rsidR="00000000" w:rsidRPr="009E6B2D" w:rsidP="009E6B2D">
            <w:pPr>
              <w:pStyle w:val="ListBullet"/>
            </w:pPr>
            <w:r w:rsidRPr="009E6B2D">
              <w:t xml:space="preserve">chief mate or deck watchkeeper on vessels &lt;80 m in length within the EEZ; </w:t>
            </w:r>
            <w:r w:rsidRPr="009E6B2D">
              <w:t>and</w:t>
            </w:r>
          </w:p>
          <w:p w:rsidR="00000000" w:rsidRPr="009E6B2D" w:rsidP="009E6B2D">
            <w:pPr>
              <w:pStyle w:val="ListBullet"/>
            </w:pPr>
            <w:r w:rsidRPr="009E6B2D">
              <w:t xml:space="preserve"> master on commercial vessels &lt;24 m in length in inland waters.</w:t>
            </w:r>
          </w:p>
          <w:p w:rsidR="00000000" w:rsidRPr="009E6B2D" w:rsidP="009E6B2D">
            <w:pPr>
              <w:pStyle w:val="BodyText"/>
            </w:pPr>
            <w:r w:rsidRPr="009E6B2D">
              <w:rPr>
                <w:rStyle w:val="SpecialBold"/>
              </w:rPr>
              <w:t>Licensing/Regulatory Information</w:t>
            </w:r>
          </w:p>
          <w:p w:rsidR="00000000" w:rsidRPr="009E6B2D" w:rsidP="009E6B2D">
            <w:pPr>
              <w:pStyle w:val="BodyText"/>
            </w:pPr>
            <w:r w:rsidRPr="009E6B2D">
              <w:t>Legislative and regulatory requirements are applicable to this unit. This unit is one of the requirements to obtain Australian Maritime Safety Authority (A</w:t>
            </w:r>
            <w:r w:rsidRPr="009E6B2D">
              <w:t>MSA) certification as a Master (Inland waters), Master &lt;24 metres NC and Master &lt;35m NC as defined in the National Standard for Commercial Vessels (NSCV) Part D. The AMSA mandated practical assessment (AMPA) is a requirement for AMSA certification. The Aus</w:t>
            </w:r>
            <w:r w:rsidRPr="009E6B2D">
              <w:t>tralian Maritime Safety Authority (AMSA) mandated practical assessment (AMPA) will cover a range, but not all, of the requirements identified in the Performance Evidence and Knowledge Evidence. The AMPA shall be undertaken in accordance with its instructio</w:t>
            </w:r>
            <w:r w:rsidRPr="009E6B2D">
              <w:t>ns.</w:t>
            </w:r>
          </w:p>
          <w:p w:rsidR="00000000" w:rsidRPr="009E6B2D" w:rsidP="009E6B2D">
            <w:pPr>
              <w:pStyle w:val="BodyText"/>
            </w:pPr>
            <w:r w:rsidRPr="009E6B2D">
              <w:t>Assessors of AMPA must hold as a minimum:</w:t>
            </w:r>
          </w:p>
          <w:p w:rsidR="00000000" w:rsidRPr="009E6B2D" w:rsidP="009E6B2D">
            <w:pPr>
              <w:pStyle w:val="ListBullet"/>
            </w:pPr>
            <w:r w:rsidRPr="009E6B2D">
              <w:t>a current certificate of competency issued under Marine Safety (Domestic Commercial Vessel) National Law Act 2012 at the same level as the qualification being assessed with at least 12 months’</w:t>
            </w:r>
            <w:r w:rsidRPr="009E6B2D">
              <w:t xml:space="preserve"> relevant sea service, or</w:t>
            </w:r>
          </w:p>
          <w:p w:rsidR="00000000" w:rsidRPr="009E6B2D" w:rsidP="009E6B2D">
            <w:pPr>
              <w:pStyle w:val="ListBullet"/>
            </w:pPr>
            <w:r w:rsidRPr="009E6B2D">
              <w:t xml:space="preserve">a relevant seafarer certificate, as master or deck officer, issued under the Navigation Act 2012.  </w:t>
            </w:r>
          </w:p>
        </w:tc>
      </w:tr>
    </w:tbl>
    <w:p w:rsidR="00000000" w:rsidRPr="009E6B2D" w:rsidP="009E6B2D">
      <w:pPr>
        <w:pStyle w:val="NoPaddingFontSize1"/>
      </w:pPr>
    </w:p>
    <w:p w:rsidR="00000000" w:rsidRPr="009E6B2D" w:rsidP="009E6B2D">
      <w:pPr>
        <w:pStyle w:val="AllowPageBreak"/>
      </w:pPr>
    </w:p>
    <w:p w:rsidR="00000000" w:rsidRPr="009E6B2D" w:rsidP="009E6B2D">
      <w:pPr>
        <w:pStyle w:val="Heading1"/>
      </w:pPr>
      <w:bookmarkStart w:id="3" w:name="O_976899"/>
      <w:bookmarkEnd w:id="3"/>
      <w:r w:rsidRPr="009E6B2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6B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 w:rsidP="009E6B2D">
            <w:pPr>
              <w:pStyle w:val="BodyText"/>
            </w:pPr>
            <w:r w:rsidRPr="009E6B2D">
              <w:t>Not Applicable</w:t>
            </w:r>
          </w:p>
        </w:tc>
      </w:tr>
    </w:tbl>
    <w:p w:rsidR="00000000" w:rsidRPr="009E6B2D" w:rsidP="009E6B2D">
      <w:pPr>
        <w:pStyle w:val="NoPaddingFontSize1"/>
      </w:pPr>
    </w:p>
    <w:p w:rsidR="00000000" w:rsidRPr="009E6B2D" w:rsidP="009E6B2D">
      <w:pPr>
        <w:pStyle w:val="AllowPageBreak"/>
      </w:pPr>
    </w:p>
    <w:p w:rsidR="00000000" w:rsidRPr="009E6B2D" w:rsidP="009E6B2D">
      <w:pPr>
        <w:pStyle w:val="Heading1"/>
      </w:pPr>
      <w:bookmarkStart w:id="4" w:name="O_976898"/>
      <w:bookmarkEnd w:id="4"/>
      <w:r w:rsidRPr="009E6B2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6B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 w:rsidP="009E6B2D">
            <w:pPr>
              <w:pStyle w:val="BodyText"/>
            </w:pPr>
            <w:r w:rsidRPr="009E6B2D">
              <w:t>I – Regulations and Port Operations</w:t>
            </w:r>
          </w:p>
        </w:tc>
      </w:tr>
    </w:tbl>
    <w:p w:rsidR="00000000" w:rsidRPr="009E6B2D" w:rsidP="009E6B2D">
      <w:pPr>
        <w:pStyle w:val="NoPaddingFontSize1"/>
      </w:pPr>
    </w:p>
    <w:p w:rsidR="00000000" w:rsidRPr="009E6B2D" w:rsidP="009E6B2D">
      <w:pPr>
        <w:pStyle w:val="AllowPageBreak"/>
      </w:pPr>
    </w:p>
    <w:p w:rsidR="00000000" w:rsidRPr="009E6B2D" w:rsidP="009E6B2D">
      <w:pPr>
        <w:pStyle w:val="Heading1"/>
      </w:pPr>
      <w:bookmarkStart w:id="5" w:name="O_976897"/>
      <w:bookmarkEnd w:id="5"/>
      <w:r w:rsidRPr="009E6B2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6B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 w:rsidP="009E6B2D">
            <w:pPr>
              <w:pStyle w:val="BodyText"/>
            </w:pPr>
            <w:r w:rsidRPr="009E6B2D">
              <w:t>Not Applicable</w:t>
            </w:r>
          </w:p>
        </w:tc>
      </w:tr>
    </w:tbl>
    <w:p w:rsidR="00000000" w:rsidRPr="009E6B2D" w:rsidP="009E6B2D">
      <w:pPr>
        <w:pStyle w:val="NoPaddingFontSize1"/>
      </w:pPr>
    </w:p>
    <w:p w:rsidR="00000000" w:rsidRPr="009E6B2D" w:rsidP="009E6B2D">
      <w:pPr>
        <w:pStyle w:val="AllowPageBreak"/>
      </w:pPr>
    </w:p>
    <w:p w:rsidR="00000000" w:rsidRPr="009E6B2D" w:rsidP="009E6B2D">
      <w:pPr>
        <w:pStyle w:val="Heading1"/>
      </w:pPr>
      <w:bookmarkStart w:id="6" w:name="O_976896"/>
      <w:bookmarkEnd w:id="6"/>
      <w:r w:rsidRPr="009E6B2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E6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 w:rsidP="009E6B2D">
            <w:pPr>
              <w:pStyle w:val="BodyText"/>
            </w:pPr>
            <w:r w:rsidRPr="009E6B2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rPr>
                <w:rStyle w:val="SpecialBold"/>
              </w:rPr>
              <w:t>PERFORMANCE CRITERIA</w:t>
            </w:r>
          </w:p>
        </w:tc>
      </w:tr>
      <w:tr w:rsidTr="009E6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t>Performance criteria describe the performance needed to demonstrate achievement of t</w:t>
            </w:r>
            <w:r w:rsidRPr="009E6B2D">
              <w:t>he element.</w:t>
            </w:r>
          </w:p>
        </w:tc>
      </w:tr>
      <w:tr w:rsidTr="009E6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 w:rsidP="009E6B2D">
            <w:pPr>
              <w:pStyle w:val="BodyText"/>
            </w:pPr>
            <w:r w:rsidRPr="009E6B2D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 w:rsidP="009E6B2D">
            <w:pPr>
              <w:pStyle w:val="BodyText"/>
            </w:pPr>
            <w:r w:rsidRPr="009E6B2D">
              <w:rPr>
                <w:rStyle w:val="SpecialBold"/>
              </w:rPr>
              <w:t>Interpret relevant maritime rules and regulations impacting on vessel operations and personal responsibilities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t>Regulatory requirements for vessel operations and maintenance are followed</w:t>
            </w:r>
          </w:p>
        </w:tc>
      </w:tr>
      <w:tr w:rsidTr="009E6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t>Duties and responsibilities as the person in charge of a vessel are recognised</w:t>
            </w:r>
          </w:p>
        </w:tc>
      </w:tr>
      <w:tr w:rsidTr="009E6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t>Relevant Commonwealth, state and territory or local legislation governing the vessel and the passage are identified</w:t>
            </w:r>
          </w:p>
        </w:tc>
      </w:tr>
      <w:tr w:rsidTr="009E6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t>Organisational procedures relating to the vessel’s safety management system (SMS) are identified</w:t>
            </w:r>
          </w:p>
        </w:tc>
      </w:tr>
      <w:tr w:rsidTr="009E6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t>Copies of relevant rules and regulations are stored in an accessible location on the vessel according to regulations</w:t>
            </w:r>
          </w:p>
        </w:tc>
      </w:tr>
      <w:tr w:rsidTr="009E6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 w:rsidP="009E6B2D">
            <w:pPr>
              <w:pStyle w:val="BodyText"/>
            </w:pPr>
            <w:r w:rsidRPr="009E6B2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 w:rsidP="009E6B2D">
            <w:pPr>
              <w:pStyle w:val="BodyText"/>
            </w:pPr>
            <w:r w:rsidRPr="009E6B2D">
              <w:rPr>
                <w:rStyle w:val="SpecialBold"/>
              </w:rPr>
              <w:t>Ensure continuous validity of ve</w:t>
            </w:r>
            <w:r w:rsidRPr="009E6B2D">
              <w:rPr>
                <w:rStyle w:val="SpecialBold"/>
              </w:rPr>
              <w:t>ssel certification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t>Certification expiry dates for the vessel, renewal requirements and periodic inspections or extensions are checked to ensure continuous validity</w:t>
            </w:r>
          </w:p>
        </w:tc>
      </w:tr>
      <w:tr w:rsidTr="009E6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t>Survey items and equipment are tested, checked and maintained according to certif</w:t>
            </w:r>
            <w:r w:rsidRPr="009E6B2D">
              <w:t>icate conditions</w:t>
            </w:r>
          </w:p>
        </w:tc>
      </w:tr>
      <w:tr w:rsidTr="009E6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t>Arrangements for renewals and surveys are completed in a timely manner and comply with issuing authority requirements</w:t>
            </w:r>
          </w:p>
        </w:tc>
      </w:tr>
      <w:tr w:rsidTr="009E6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t>Vessel’</w:t>
            </w:r>
            <w:r w:rsidRPr="009E6B2D">
              <w:t xml:space="preserve">s documents are completed and any effects of damage and alterations or additions to the vessel or </w:t>
            </w:r>
            <w:r w:rsidRPr="009E6B2D">
              <w:t>operations are specified according to certification requirements and authority procedures</w:t>
            </w:r>
          </w:p>
        </w:tc>
      </w:tr>
      <w:tr w:rsidTr="009E6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t>Certificates and documentation are stored in a location on th</w:t>
            </w:r>
            <w:r w:rsidRPr="009E6B2D">
              <w:t>e vessel according to regulations</w:t>
            </w:r>
          </w:p>
        </w:tc>
      </w:tr>
      <w:tr w:rsidTr="009E6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 w:rsidP="009E6B2D">
            <w:pPr>
              <w:pStyle w:val="BodyText"/>
            </w:pPr>
            <w:r w:rsidRPr="009E6B2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 w:rsidP="009E6B2D">
            <w:pPr>
              <w:pStyle w:val="BodyText"/>
            </w:pPr>
            <w:r w:rsidRPr="009E6B2D">
              <w:rPr>
                <w:rStyle w:val="SpecialBold"/>
              </w:rPr>
              <w:t>Apply legislative and regulatory requirements to vessel operations and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t>Regulatory requirements relating to operations and maintenance of the vessel are interpreted and applied as required</w:t>
            </w:r>
          </w:p>
        </w:tc>
      </w:tr>
      <w:tr w:rsidTr="009E6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t>Vessel procedures for monitoring operations and maintenance are implemented</w:t>
            </w:r>
          </w:p>
        </w:tc>
      </w:tr>
      <w:tr w:rsidTr="009E6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t>Training and instruction, including induction training, on procedures is instigated to ensure crew comply with regulations</w:t>
            </w:r>
          </w:p>
        </w:tc>
      </w:tr>
      <w:tr w:rsidTr="009E6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t>Failure to comply with procedures is identi</w:t>
            </w:r>
            <w:r w:rsidRPr="009E6B2D">
              <w:t>fied and dealt with according to organisational procedures</w:t>
            </w:r>
          </w:p>
        </w:tc>
      </w:tr>
      <w:tr w:rsidTr="009E6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t>Tasks are monitored to ensure compliance with regulatory requirements</w:t>
            </w:r>
          </w:p>
        </w:tc>
      </w:tr>
      <w:tr w:rsidTr="009E6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t>Problems that may lead to potential non-compliance are promptly identified and rectified or reported according to</w:t>
            </w:r>
            <w:r w:rsidRPr="009E6B2D">
              <w:t xml:space="preserve"> organisational procedures </w:t>
            </w:r>
          </w:p>
        </w:tc>
      </w:tr>
      <w:tr w:rsidTr="009E6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NoPaddingFontSize1"/>
              <w:rPr>
                <w:rFonts w:eastAsia="Times New Roman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t>Compliance with all relevant legislative and regulatory requirements is demonstrated while operating the vessel</w:t>
            </w:r>
          </w:p>
        </w:tc>
      </w:tr>
      <w:tr w:rsidTr="009E6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 w:rsidP="009E6B2D">
            <w:pPr>
              <w:pStyle w:val="BodyText"/>
            </w:pPr>
            <w:r w:rsidRPr="009E6B2D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 w:rsidP="009E6B2D">
            <w:pPr>
              <w:pStyle w:val="BodyText"/>
            </w:pPr>
            <w:r w:rsidRPr="009E6B2D">
              <w:rPr>
                <w:rStyle w:val="SpecialBold"/>
              </w:rPr>
              <w:t>Maintain statutory records of compliance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t>Regulatory requirements related to records and reports are interpreted</w:t>
            </w:r>
          </w:p>
        </w:tc>
      </w:tr>
      <w:tr w:rsidTr="009E6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t>Records and reports are completed to comply with applicable regulations</w:t>
            </w:r>
          </w:p>
        </w:tc>
      </w:tr>
      <w:tr w:rsidTr="009E6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t>Records and reports are distributed to the required maritime authority at appropriate times and pla</w:t>
            </w:r>
            <w:r w:rsidRPr="009E6B2D">
              <w:t>ces</w:t>
            </w:r>
          </w:p>
        </w:tc>
      </w:tr>
      <w:tr w:rsidTr="009E6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t>Copies of records and reports are maintained according to regulatory requirements</w:t>
            </w:r>
          </w:p>
        </w:tc>
      </w:tr>
      <w:tr w:rsidTr="009E6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B2D">
            <w:pPr>
              <w:pStyle w:val="BodyText"/>
              <w:rPr>
                <w:lang w:val="en-NZ"/>
              </w:rPr>
            </w:pPr>
            <w:r w:rsidRPr="009E6B2D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 w:rsidP="009E6B2D">
            <w:pPr>
              <w:pStyle w:val="BodyText"/>
            </w:pPr>
            <w:r w:rsidRPr="009E6B2D">
              <w:t>Evidence of current authorisation, training and relevant licences are maintained according to legal and regulatory requirements</w:t>
            </w:r>
          </w:p>
        </w:tc>
      </w:tr>
    </w:tbl>
    <w:p w:rsidR="00000000" w:rsidRPr="009E6B2D" w:rsidP="009E6B2D">
      <w:pPr>
        <w:pStyle w:val="NoPaddingFontSize1"/>
      </w:pPr>
    </w:p>
    <w:p w:rsidR="00000000" w:rsidRPr="009E6B2D" w:rsidP="009E6B2D">
      <w:pPr>
        <w:pStyle w:val="AllowPageBreak"/>
      </w:pPr>
    </w:p>
    <w:p w:rsidR="00000000" w:rsidRPr="009E6B2D" w:rsidP="009E6B2D">
      <w:pPr>
        <w:pStyle w:val="Heading1"/>
      </w:pPr>
      <w:bookmarkStart w:id="7" w:name="O_976895"/>
      <w:bookmarkEnd w:id="7"/>
      <w:r w:rsidRPr="009E6B2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6B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 w:rsidP="009E6B2D">
            <w:pPr>
              <w:pStyle w:val="BodyText"/>
            </w:pPr>
            <w:r w:rsidRPr="009E6B2D">
              <w:t>Foundation skills essential to performance are explicit in the performance criteria of this unit of competency.</w:t>
            </w:r>
          </w:p>
        </w:tc>
      </w:tr>
    </w:tbl>
    <w:p w:rsidR="00000000" w:rsidRPr="009E6B2D" w:rsidP="009E6B2D">
      <w:pPr>
        <w:pStyle w:val="NoPaddingFontSize1"/>
      </w:pPr>
    </w:p>
    <w:p w:rsidR="00000000" w:rsidRPr="009E6B2D" w:rsidP="009E6B2D">
      <w:pPr>
        <w:pStyle w:val="AllowPageBreak"/>
      </w:pPr>
    </w:p>
    <w:p w:rsidR="00000000" w:rsidRPr="009E6B2D" w:rsidP="009E6B2D">
      <w:pPr>
        <w:pStyle w:val="Heading1"/>
      </w:pPr>
      <w:bookmarkStart w:id="8" w:name="O_976894"/>
      <w:bookmarkEnd w:id="8"/>
      <w:r w:rsidRPr="009E6B2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6B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 w:rsidP="009E6B2D">
            <w:pPr>
              <w:pStyle w:val="BodyText"/>
            </w:pPr>
            <w:r w:rsidRPr="009E6B2D">
              <w:t>Range is restricted to essential operating conditions and any other v</w:t>
            </w:r>
            <w:r w:rsidRPr="009E6B2D">
              <w:t>ariables essential to the work environment.</w:t>
            </w:r>
          </w:p>
        </w:tc>
      </w:tr>
    </w:tbl>
    <w:p w:rsidR="00000000" w:rsidRPr="009E6B2D" w:rsidP="009E6B2D">
      <w:pPr>
        <w:pStyle w:val="NoPaddingFontSize1"/>
      </w:pPr>
    </w:p>
    <w:p w:rsidR="00000000" w:rsidRPr="009E6B2D" w:rsidP="009E6B2D">
      <w:pPr>
        <w:pStyle w:val="AllowPageBreak"/>
      </w:pPr>
    </w:p>
    <w:p w:rsidR="00000000" w:rsidRPr="009E6B2D" w:rsidP="009E6B2D">
      <w:pPr>
        <w:pStyle w:val="Heading1"/>
      </w:pPr>
      <w:bookmarkStart w:id="9" w:name="O_976893"/>
      <w:bookmarkEnd w:id="9"/>
      <w:r w:rsidRPr="009E6B2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6B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B2D" w:rsidP="009E6B2D">
            <w:pPr>
              <w:pStyle w:val="BodyText"/>
            </w:pPr>
            <w:r w:rsidRPr="009E6B2D">
              <w:t>This unit replaces and is equivalent to MARI002 Observe regulations to ensure safe operation of a vessel up to 80 metres.</w:t>
            </w:r>
          </w:p>
        </w:tc>
      </w:tr>
    </w:tbl>
    <w:p w:rsidR="00000000" w:rsidRPr="009E6B2D" w:rsidP="009E6B2D">
      <w:pPr>
        <w:pStyle w:val="NoPaddingFontSize1"/>
      </w:pPr>
    </w:p>
    <w:p w:rsidR="00000000" w:rsidRPr="009E6B2D" w:rsidP="009E6B2D">
      <w:pPr>
        <w:pStyle w:val="AllowPageBreak"/>
      </w:pPr>
    </w:p>
    <w:p w:rsidR="00000000" w:rsidRPr="009E6B2D" w:rsidP="009E6B2D">
      <w:pPr>
        <w:pStyle w:val="Heading1"/>
      </w:pPr>
      <w:bookmarkStart w:id="10" w:name="O_976886"/>
      <w:bookmarkEnd w:id="10"/>
      <w:r w:rsidRPr="009E6B2D">
        <w:t>Links</w:t>
      </w:r>
    </w:p>
    <w:p w:rsidR="00000000" w:rsidRPr="009E6B2D" w:rsidP="00680E98">
      <w:pPr>
        <w:pStyle w:val="BodyText"/>
      </w:pPr>
      <w:r w:rsidRPr="009E6B2D">
        <w:t>Companion Volume impl</w:t>
      </w:r>
      <w:r w:rsidRPr="009E6B2D">
        <w:t xml:space="preserve">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91081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9E6B2D" w:rsidP="009E6B2D"/>
    <w:sectPr w:rsidSect="009E6B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B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B2D" w:rsidRPr="00680E98" w:rsidP="00680E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B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98" w:rsidP="009E6B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0E98" w:rsidP="009E6B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80E98" w:rsidP="009E6B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B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6B2D" w:rsidRPr="00680E98" w:rsidP="00680E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B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98" w:rsidRPr="002D2AF8" w:rsidP="009E6B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MARI004 Observe regulations to ensure safe operation of a vessel up to 80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680E98" w:rsidP="009E6B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20E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2CAC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B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B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B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B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B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B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B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B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B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B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B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B2D"/>
  </w:style>
  <w:style w:type="character" w:customStyle="1" w:styleId="Heading1Char">
    <w:name w:val="Heading 1 Char"/>
    <w:basedOn w:val="DefaultParagraphFont"/>
    <w:link w:val="Heading1"/>
    <w:rsid w:val="009E6B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B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B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6B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6B2D"/>
    <w:rPr>
      <w:b/>
      <w:spacing w:val="0"/>
    </w:rPr>
  </w:style>
  <w:style w:type="paragraph" w:customStyle="1" w:styleId="SuperHeading">
    <w:name w:val="SuperHeading"/>
    <w:basedOn w:val="Normal"/>
    <w:rsid w:val="009E6B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6B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6B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B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B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B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B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B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B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B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B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B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B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B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B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B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6B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6B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6B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B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B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6B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6B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B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B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B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B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B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B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B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B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6B2D"/>
    <w:rPr>
      <w:i/>
    </w:rPr>
  </w:style>
  <w:style w:type="paragraph" w:styleId="Caption">
    <w:name w:val="caption"/>
    <w:basedOn w:val="BodyText"/>
    <w:next w:val="Normal"/>
    <w:qFormat/>
    <w:rsid w:val="009E6B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B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B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B2D"/>
  </w:style>
  <w:style w:type="paragraph" w:styleId="TableofFigures">
    <w:name w:val="table of figures"/>
    <w:basedOn w:val="Normal"/>
    <w:next w:val="Normal"/>
    <w:semiHidden/>
    <w:rsid w:val="009E6B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B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6B2D"/>
    <w:rPr>
      <w:rFonts w:ascii="Wingdings" w:hAnsi="Wingdings"/>
    </w:rPr>
  </w:style>
  <w:style w:type="paragraph" w:customStyle="1" w:styleId="TableHeading">
    <w:name w:val="Table Heading"/>
    <w:basedOn w:val="HeadingBase"/>
    <w:rsid w:val="009E6B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B2D"/>
    <w:rPr>
      <w:color w:val="0033CC"/>
      <w:u w:val="none"/>
    </w:rPr>
  </w:style>
  <w:style w:type="paragraph" w:customStyle="1" w:styleId="BodyTextRight">
    <w:name w:val="Body Text Right"/>
    <w:basedOn w:val="BodyText"/>
    <w:rsid w:val="009E6B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B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B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B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B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B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B2D"/>
    <w:rPr>
      <w:sz w:val="32"/>
    </w:rPr>
  </w:style>
  <w:style w:type="paragraph" w:customStyle="1" w:styleId="HeadingProcedure">
    <w:name w:val="Heading Procedure"/>
    <w:basedOn w:val="HeadingBase"/>
    <w:next w:val="Normal"/>
    <w:rsid w:val="009E6B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B2D"/>
    <w:pPr>
      <w:spacing w:before="60" w:after="60"/>
    </w:pPr>
  </w:style>
  <w:style w:type="paragraph" w:styleId="ListContinue">
    <w:name w:val="List Continue"/>
    <w:basedOn w:val="List"/>
    <w:rsid w:val="009E6B2D"/>
    <w:pPr>
      <w:ind w:firstLine="0"/>
    </w:pPr>
  </w:style>
  <w:style w:type="paragraph" w:customStyle="1" w:styleId="ListNote">
    <w:name w:val="List Note"/>
    <w:basedOn w:val="List"/>
    <w:rsid w:val="009E6B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B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B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B2D"/>
    <w:rPr>
      <w:rFonts w:ascii="Courier New" w:hAnsi="Courier New"/>
    </w:rPr>
  </w:style>
  <w:style w:type="paragraph" w:customStyle="1" w:styleId="NoteBullet">
    <w:name w:val="Note Bullet"/>
    <w:basedOn w:val="Note"/>
    <w:rsid w:val="009E6B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B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B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B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B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6B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B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B2D"/>
    <w:rPr>
      <w:b/>
      <w:smallCaps/>
    </w:rPr>
  </w:style>
  <w:style w:type="paragraph" w:customStyle="1" w:styleId="TableListNumber">
    <w:name w:val="Table List Number"/>
    <w:basedOn w:val="ListNumber"/>
    <w:rsid w:val="009E6B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B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B2D"/>
    <w:pPr>
      <w:numPr>
        <w:numId w:val="8"/>
      </w:numPr>
    </w:pPr>
  </w:style>
  <w:style w:type="paragraph" w:customStyle="1" w:styleId="ListAlpha2">
    <w:name w:val="List Alpha 2"/>
    <w:basedOn w:val="List2"/>
    <w:rsid w:val="009E6B2D"/>
    <w:pPr>
      <w:numPr>
        <w:numId w:val="7"/>
      </w:numPr>
    </w:pPr>
  </w:style>
  <w:style w:type="paragraph" w:styleId="List2">
    <w:name w:val="List 2"/>
    <w:basedOn w:val="BodyText"/>
    <w:rsid w:val="009E6B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B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B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B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B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B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6B2D"/>
    <w:pPr>
      <w:numPr>
        <w:numId w:val="3"/>
      </w:numPr>
    </w:pPr>
  </w:style>
  <w:style w:type="paragraph" w:styleId="ListContinue2">
    <w:name w:val="List Continue 2"/>
    <w:basedOn w:val="List2"/>
    <w:rsid w:val="009E6B2D"/>
    <w:pPr>
      <w:ind w:firstLine="0"/>
    </w:pPr>
  </w:style>
  <w:style w:type="paragraph" w:styleId="ListContinue3">
    <w:name w:val="List Continue 3"/>
    <w:basedOn w:val="List3"/>
    <w:rsid w:val="009E6B2D"/>
    <w:pPr>
      <w:ind w:left="1021" w:firstLine="0"/>
    </w:pPr>
  </w:style>
  <w:style w:type="paragraph" w:styleId="ListContinue4">
    <w:name w:val="List Continue 4"/>
    <w:basedOn w:val="List4"/>
    <w:rsid w:val="009E6B2D"/>
    <w:pPr>
      <w:ind w:firstLine="0"/>
    </w:pPr>
  </w:style>
  <w:style w:type="paragraph" w:styleId="ListContinue5">
    <w:name w:val="List Continue 5"/>
    <w:basedOn w:val="List5"/>
    <w:rsid w:val="009E6B2D"/>
    <w:pPr>
      <w:ind w:firstLine="0"/>
    </w:pPr>
  </w:style>
  <w:style w:type="paragraph" w:styleId="ListNumber3">
    <w:name w:val="List Number 3"/>
    <w:basedOn w:val="List3"/>
    <w:rsid w:val="009E6B2D"/>
    <w:pPr>
      <w:numPr>
        <w:numId w:val="4"/>
      </w:numPr>
    </w:pPr>
  </w:style>
  <w:style w:type="paragraph" w:styleId="ListNumber4">
    <w:name w:val="List Number 4"/>
    <w:basedOn w:val="List4"/>
    <w:rsid w:val="009E6B2D"/>
    <w:pPr>
      <w:numPr>
        <w:numId w:val="5"/>
      </w:numPr>
    </w:pPr>
  </w:style>
  <w:style w:type="paragraph" w:styleId="ListNumber5">
    <w:name w:val="List Number 5"/>
    <w:basedOn w:val="List5"/>
    <w:rsid w:val="009E6B2D"/>
    <w:pPr>
      <w:numPr>
        <w:numId w:val="6"/>
      </w:numPr>
    </w:pPr>
  </w:style>
  <w:style w:type="paragraph" w:styleId="BlockText">
    <w:name w:val="Block Text"/>
    <w:basedOn w:val="Normal"/>
    <w:rsid w:val="009E6B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B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B2D"/>
    <w:rPr>
      <w:sz w:val="16"/>
      <w:vertAlign w:val="superscript"/>
    </w:rPr>
  </w:style>
  <w:style w:type="character" w:customStyle="1" w:styleId="Symbols">
    <w:name w:val="Symbols"/>
    <w:basedOn w:val="DefaultParagraphFont"/>
    <w:rsid w:val="009E6B2D"/>
    <w:rPr>
      <w:rFonts w:ascii="Symbol" w:hAnsi="Symbol"/>
    </w:rPr>
  </w:style>
  <w:style w:type="character" w:customStyle="1" w:styleId="MenuOptions">
    <w:name w:val="Menu Options"/>
    <w:basedOn w:val="DefaultParagraphFont"/>
    <w:rsid w:val="009E6B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B2D"/>
    <w:rPr>
      <w:b/>
    </w:rPr>
  </w:style>
  <w:style w:type="character" w:customStyle="1" w:styleId="Underlined">
    <w:name w:val="Underlined"/>
    <w:basedOn w:val="DefaultParagraphFont"/>
    <w:rsid w:val="009E6B2D"/>
    <w:rPr>
      <w:u w:val="single"/>
    </w:rPr>
  </w:style>
  <w:style w:type="paragraph" w:customStyle="1" w:styleId="TableBodyTextRight">
    <w:name w:val="Table Body Text Right"/>
    <w:basedOn w:val="TableBodyText"/>
    <w:rsid w:val="009E6B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B2D"/>
    <w:rPr>
      <w:sz w:val="18"/>
    </w:rPr>
  </w:style>
  <w:style w:type="paragraph" w:customStyle="1" w:styleId="BodySmallRight">
    <w:name w:val="Body Small Right"/>
    <w:basedOn w:val="BodyTextRight"/>
    <w:rsid w:val="009E6B2D"/>
    <w:rPr>
      <w:sz w:val="18"/>
      <w:szCs w:val="18"/>
    </w:rPr>
  </w:style>
  <w:style w:type="paragraph" w:customStyle="1" w:styleId="MarginEdition">
    <w:name w:val="Margin Edition"/>
    <w:basedOn w:val="MarginNote"/>
    <w:rsid w:val="009E6B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B2D"/>
    <w:rPr>
      <w:sz w:val="2"/>
      <w:szCs w:val="2"/>
    </w:rPr>
  </w:style>
  <w:style w:type="character" w:customStyle="1" w:styleId="Small">
    <w:name w:val="Small"/>
    <w:basedOn w:val="DefaultParagraphFont"/>
    <w:rsid w:val="009E6B2D"/>
    <w:rPr>
      <w:sz w:val="16"/>
    </w:rPr>
  </w:style>
  <w:style w:type="paragraph" w:customStyle="1" w:styleId="WideTable">
    <w:name w:val="Wide Table"/>
    <w:basedOn w:val="Normal"/>
    <w:rsid w:val="009E6B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B2D"/>
  </w:style>
  <w:style w:type="paragraph" w:styleId="Quote">
    <w:name w:val="Quote"/>
    <w:basedOn w:val="Heading1"/>
    <w:link w:val="QuoteChar"/>
    <w:qFormat/>
    <w:rsid w:val="009E6B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B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B2D"/>
    <w:pPr>
      <w:pageBreakBefore/>
    </w:pPr>
  </w:style>
  <w:style w:type="paragraph" w:customStyle="1" w:styleId="Border">
    <w:name w:val="Border"/>
    <w:basedOn w:val="Normal"/>
    <w:qFormat/>
    <w:rsid w:val="009E6B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B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B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B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B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B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B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B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B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B2D"/>
    <w:rPr>
      <w:u w:val="single"/>
    </w:rPr>
  </w:style>
  <w:style w:type="character" w:customStyle="1" w:styleId="BoldandItalics">
    <w:name w:val="Bold and Italics"/>
    <w:qFormat/>
    <w:rsid w:val="009E6B2D"/>
    <w:rPr>
      <w:b/>
      <w:i/>
      <w:u w:val="none"/>
    </w:rPr>
  </w:style>
  <w:style w:type="paragraph" w:styleId="BalloonText">
    <w:name w:val="Balloon Text"/>
    <w:basedOn w:val="Normal"/>
    <w:link w:val="BalloonTextChar"/>
    <w:rsid w:val="009E6B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B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B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B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B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B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6B2D"/>
    <w:pPr>
      <w:spacing w:before="0" w:after="0"/>
    </w:pPr>
  </w:style>
  <w:style w:type="paragraph" w:customStyle="1" w:styleId="BodyTextBold">
    <w:name w:val="Body Text Bold"/>
    <w:basedOn w:val="BodyText"/>
    <w:qFormat/>
    <w:rsid w:val="009E6B2D"/>
    <w:rPr>
      <w:b/>
    </w:rPr>
  </w:style>
  <w:style w:type="character" w:styleId="Hyperlink">
    <w:name w:val="Hyperlink"/>
    <w:basedOn w:val="DefaultParagraphFont"/>
    <w:uiPriority w:val="99"/>
    <w:unhideWhenUsed/>
    <w:rsid w:val="00680E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840</Words>
  <Characters>5083</Characters>
  <Application>Microsoft Office Word</Application>
  <DocSecurity>0</DocSecurity>
  <Lines>221</Lines>
  <Paragraphs>105</Paragraphs>
  <ScaleCrop>false</ScaleCrop>
  <Company>Author-it Software Corporation Ltd.</Company>
  <LinksUpToDate>false</LinksUpToDate>
  <CharactersWithSpaces>5818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MARI004 Observe regulations to ensure safe operation of a vessel up to 80 metres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2022-12-20T02:15:00Z</dcterms:created>
  <dcterms:modified xsi:type="dcterms:W3CDTF">2022-12-20T02:15:00Z</dcterms:modified>
</cp:coreProperties>
</file>