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1E0" w:rsidP="000461E0">
      <w:pPr>
        <w:pStyle w:val="Title"/>
      </w:pPr>
      <w:r>
        <w:fldChar w:fldCharType="begin"/>
      </w:r>
      <w:r>
        <w:instrText xml:space="preserve"> TITLE   \* MERGEFORMAT </w:instrText>
      </w:r>
      <w:r>
        <w:fldChar w:fldCharType="separate"/>
      </w:r>
      <w:r>
        <w:t>MARI003 Comply with regulations to ensure safe operation of a vessel up to 12 metres</w:t>
      </w:r>
      <w:r>
        <w:fldChar w:fldCharType="end"/>
      </w:r>
    </w:p>
    <w:p w:rsidR="000461E0" w:rsidP="000461E0">
      <w:pPr>
        <w:pStyle w:val="Version"/>
        <w:sectPr w:rsidSect="00890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0A1E" w:rsidP="00890A1E">
      <w:pPr>
        <w:pStyle w:val="SuperHeading"/>
      </w:pPr>
      <w:r w:rsidRPr="00890A1E">
        <w:t>MARI003 Comply with regulations to ensure safe operation of a vessel up to 12 metres</w:t>
      </w:r>
    </w:p>
    <w:p w:rsidR="00000000" w:rsidRPr="00890A1E" w:rsidP="00890A1E">
      <w:pPr>
        <w:pStyle w:val="Heading1"/>
      </w:pPr>
      <w:bookmarkStart w:id="1" w:name="O_1285615"/>
      <w:bookmarkEnd w:id="1"/>
      <w:r w:rsidRPr="00890A1E">
        <w:t>Modification History</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Release 2.</w:t>
            </w:r>
            <w:r w:rsidRPr="00890A1E">
              <w:t xml:space="preserve"> This is the second release of this unit of competency in the MAR Maritime Training Package:</w:t>
            </w:r>
          </w:p>
          <w:p w:rsidR="00000000" w:rsidRPr="00890A1E" w:rsidP="00890A1E">
            <w:pPr>
              <w:pStyle w:val="ListBullet"/>
            </w:pPr>
            <w:r w:rsidRPr="00890A1E">
              <w:t>Minor statement changes in unit Application</w:t>
            </w:r>
          </w:p>
          <w:p w:rsidR="00000000" w:rsidRPr="00890A1E" w:rsidP="00890A1E">
            <w:pPr>
              <w:pStyle w:val="ListBullet"/>
            </w:pPr>
            <w:r w:rsidRPr="00890A1E">
              <w:t>Minor statement changes in Knowledge Evidence</w:t>
            </w:r>
          </w:p>
          <w:p w:rsidR="00000000" w:rsidP="00890A1E">
            <w:pPr>
              <w:pStyle w:val="ListBullet"/>
              <w:rPr>
                <w:lang w:val="en-NZ"/>
              </w:rPr>
            </w:pPr>
            <w:r w:rsidRPr="00890A1E">
              <w:t>Minor statement changes in Assessment Conditions.</w:t>
            </w:r>
          </w:p>
        </w:tc>
      </w:tr>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Release 1</w:t>
            </w:r>
            <w:r w:rsidRPr="00890A1E">
              <w:t>. New unit of competency. Licensing/regulatory information has been incorporated in accordance with Regula</w:t>
            </w:r>
            <w:r w:rsidRPr="00890A1E">
              <w:t>tory requirements. Assessment Requirements have been strengthened in accordance with Regulatory requirements.</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2" w:name="O_1285614"/>
      <w:bookmarkEnd w:id="2"/>
      <w:r w:rsidRPr="00890A1E">
        <w:t>Application</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This unit involves the skills and knowledge required to apply current Commonwealth, state and territory Acts, leg</w:t>
            </w:r>
            <w:r w:rsidRPr="00890A1E">
              <w:t xml:space="preserve">islation, codes of practice and other publications pertaining to the safe operation of a vessel up to 12 m in length. </w:t>
            </w:r>
          </w:p>
          <w:p w:rsidR="00000000" w:rsidRPr="00890A1E" w:rsidP="00890A1E">
            <w:pPr>
              <w:pStyle w:val="BodyText"/>
            </w:pPr>
            <w:r w:rsidRPr="00890A1E">
              <w:t>This unit applies to people working in the maritime industry commanding and operating the engines of a commercial vessel:</w:t>
            </w:r>
          </w:p>
          <w:p w:rsidR="00000000" w:rsidRPr="00890A1E" w:rsidP="00890A1E">
            <w:pPr>
              <w:pStyle w:val="ListBullet"/>
            </w:pPr>
            <w:r w:rsidRPr="00890A1E">
              <w:t>Coxswain Grade 1 Near Coastal</w:t>
            </w:r>
          </w:p>
          <w:p w:rsidR="00000000" w:rsidRPr="00890A1E" w:rsidP="00890A1E">
            <w:pPr>
              <w:pStyle w:val="ListBullet"/>
            </w:pPr>
            <w:r w:rsidRPr="00890A1E">
              <w:t>Coxswain Grade 2 Near Coastal</w:t>
            </w:r>
          </w:p>
          <w:p w:rsidR="00000000" w:rsidRPr="00890A1E" w:rsidP="00890A1E">
            <w:pPr>
              <w:pStyle w:val="BodyText"/>
            </w:pPr>
            <w:r w:rsidRPr="00890A1E">
              <w:rPr>
                <w:rStyle w:val="SpecialBold"/>
              </w:rPr>
              <w:t>Licensing/Regulatory Information</w:t>
            </w:r>
          </w:p>
          <w:p w:rsidR="00000000" w:rsidRPr="00890A1E" w:rsidP="00890A1E">
            <w:pPr>
              <w:pStyle w:val="BodyText"/>
            </w:pPr>
            <w:r w:rsidRPr="00890A1E">
              <w:t>Legislative and regulatory requirements are applicable to this unit.</w:t>
            </w:r>
          </w:p>
          <w:p w:rsidR="00000000" w:rsidRPr="00890A1E" w:rsidP="00890A1E">
            <w:pPr>
              <w:pStyle w:val="BodyText"/>
            </w:pPr>
            <w:r w:rsidRPr="00890A1E">
              <w:t>This unit is one of the requirements to obtain Australian Maritime Safety Authority (AMSA) cer</w:t>
            </w:r>
            <w:r w:rsidRPr="00890A1E">
              <w:t>tification as a Coxswain Grade 2 NC and a Coxswain Grade 1 NC as specified in Marine Order 505.</w:t>
            </w:r>
          </w:p>
          <w:p w:rsidR="00000000" w:rsidRPr="00890A1E" w:rsidP="00890A1E">
            <w:pPr>
              <w:pStyle w:val="BodyText"/>
            </w:pPr>
            <w:r w:rsidRPr="00890A1E">
              <w:t>Seafarers seeking certification should check with AMSA.</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3" w:name="O_1285613"/>
      <w:bookmarkEnd w:id="3"/>
      <w:r w:rsidRPr="00890A1E">
        <w:t>Pre-requisite Unit</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Not Applicable.</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4" w:name="O_1285612"/>
      <w:bookmarkEnd w:id="4"/>
      <w:r w:rsidRPr="00890A1E">
        <w:t>Competency Field</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I –</w:t>
            </w:r>
            <w:r w:rsidRPr="00890A1E">
              <w:t xml:space="preserve"> Regulations and Port Operations</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5" w:name="O_1285611"/>
      <w:bookmarkEnd w:id="5"/>
      <w:r w:rsidRPr="00890A1E">
        <w:t>Unit Sector</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Not Applicable.</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6" w:name="O_1285610"/>
      <w:bookmarkEnd w:id="6"/>
      <w:r w:rsidRPr="00890A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90A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PERFORMANCE CRITERIA</w:t>
            </w:r>
          </w:p>
        </w:tc>
      </w:tr>
      <w:tr w:rsidTr="00890A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Performance criteria describe the performance needed to demonstrate achievement of the element.</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Determine relevant rules and regulations impacting on work practices</w:t>
            </w: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International Regulations for Preventing Collisions at Sea are comprehended and imp</w:t>
            </w:r>
            <w:r w:rsidRPr="00890A1E">
              <w:t>lemented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Responsibilities as the person in charge of a vessel are identified and recorded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Relevant Commonwealth, state, territory and local legislation governing the vessel and the passage are comprehended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Comply with industry and professional codes of practice</w:t>
            </w: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Relevant industry and professional codes of practice are sourced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Commitment to comply with industry and professional codes of practice is demonstrated through own behaviour</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Apply legisla</w:t>
            </w:r>
            <w:r w:rsidRPr="00890A1E">
              <w:rPr>
                <w:rStyle w:val="SpecialBold"/>
              </w:rPr>
              <w:t>tive and regulatory requirements to the operation of the vessel</w:t>
            </w: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Regulatory requirements relating to operational aspects of the vessel are recognised and appropriate procedures are developed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Situations where rules must be applied in order to avoid collisions are recognised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Safety requirements are implemented according to legislative and regulatory requirements</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Compliance with all relevant rules and legislation is demonstrated whi</w:t>
            </w:r>
            <w:r w:rsidRPr="00890A1E">
              <w:t>le operating the vessel</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Identify changes in laws and regulations and their implications for vessel operation</w:t>
            </w: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Changed legislation and regulations are accessed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Changes in regulatory requirements are identified and applied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Operational procedures are reviewed to reflect changes in legislation and regulations</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Maintain statutory records</w:t>
            </w: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Copies of relevant records are maintained</w:t>
            </w:r>
          </w:p>
        </w:tc>
      </w:tr>
      <w:tr w:rsidTr="00890A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0A1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Evidence of current authorisation, training and relevant licences is maintained accordi</w:t>
            </w:r>
            <w:r w:rsidRPr="00890A1E">
              <w:t>ng to legislative and regulatory requirements</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7" w:name="O_1285609"/>
      <w:bookmarkEnd w:id="7"/>
      <w:r w:rsidRPr="00890A1E">
        <w:t>Foundation Skills</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Foundation skills essential to performance are explicit in the performance criteria of this unit of competency.</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8" w:name="O_1285608"/>
      <w:bookmarkEnd w:id="8"/>
      <w:r w:rsidRPr="00890A1E">
        <w:t>Range of Conditions</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Range is restricted to essential operating conditions and any other variables essential to the work environment.</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9" w:name="O_1285607"/>
      <w:bookmarkEnd w:id="9"/>
      <w:r w:rsidRPr="00890A1E">
        <w:t>Unit Mapping Information</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 xml:space="preserve">This unit replaces and is equivalent to MARI001 Comply with regulations to ensure safe operation </w:t>
            </w:r>
            <w:r w:rsidRPr="00890A1E">
              <w:t>of a vessel up to 12 metres.</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10" w:name="O_1285616"/>
      <w:bookmarkEnd w:id="10"/>
      <w:r w:rsidRPr="00890A1E">
        <w:t>Links</w:t>
      </w:r>
    </w:p>
    <w:p w:rsidR="00000000" w:rsidRPr="00890A1E" w:rsidP="000461E0">
      <w:pPr>
        <w:pStyle w:val="BodyText"/>
      </w:pPr>
      <w:r w:rsidRPr="00890A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B1D4D">
        <w:rPr>
          <w:rStyle w:val="Hyperlink"/>
        </w:rPr>
        <w:t>https://vetnet.gov.au/Pages/TrainingDocs.aspx?q=772efb7b-4cce-47fe-9bbd-ee3b1d1eb4c2</w:t>
      </w:r>
      <w:r>
        <w:fldChar w:fldCharType="end"/>
      </w:r>
    </w:p>
    <w:p w:rsidR="00000000" w:rsidRPr="00890A1E" w:rsidP="000461E0">
      <w:pPr>
        <w:pStyle w:val="BodyText"/>
        <w:sectPr w:rsidSect="00890A1E">
          <w:headerReference w:type="default" r:id="rId10"/>
          <w:footerReference w:type="default" r:id="rId11"/>
          <w:pgSz w:w="11908" w:h="16833"/>
          <w:pgMar w:top="1702" w:right="1418" w:bottom="1702" w:left="1418" w:header="992" w:footer="992" w:gutter="0"/>
          <w:cols w:space="720"/>
          <w:noEndnote/>
          <w:docGrid w:linePitch="299"/>
        </w:sectPr>
      </w:pPr>
    </w:p>
    <w:p w:rsidR="00000000" w:rsidRPr="00890A1E" w:rsidP="00890A1E">
      <w:pPr>
        <w:pStyle w:val="SuperHeading"/>
      </w:pPr>
      <w:r w:rsidRPr="00890A1E">
        <w:t>Assessm</w:t>
      </w:r>
      <w:r w:rsidRPr="00890A1E">
        <w:t>ent Requirements for MARI003 Comply with regulations to ensure safe operation of a vessel up to 12 metres</w:t>
      </w:r>
    </w:p>
    <w:p w:rsidR="00000000" w:rsidRPr="00890A1E" w:rsidP="00890A1E">
      <w:pPr>
        <w:pStyle w:val="Heading1"/>
      </w:pPr>
      <w:bookmarkStart w:id="11" w:name="O_1285605"/>
      <w:bookmarkEnd w:id="11"/>
      <w:r w:rsidRPr="00890A1E">
        <w:t>Modification History</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Release 2.</w:t>
            </w:r>
            <w:r w:rsidRPr="00890A1E">
              <w:t xml:space="preserve"> This is the second release of this unit of competency in the MAR Maritime Training Package:</w:t>
            </w:r>
          </w:p>
          <w:p w:rsidR="00000000" w:rsidRPr="00890A1E" w:rsidP="00890A1E">
            <w:pPr>
              <w:pStyle w:val="ListBullet"/>
            </w:pPr>
            <w:r w:rsidRPr="00890A1E">
              <w:t>Minor statement changes in unit Application</w:t>
            </w:r>
          </w:p>
          <w:p w:rsidR="00000000" w:rsidRPr="00890A1E" w:rsidP="00890A1E">
            <w:pPr>
              <w:pStyle w:val="ListBullet"/>
            </w:pPr>
            <w:r w:rsidRPr="00890A1E">
              <w:t>Minor statement changes in Knowledge Evidence</w:t>
            </w:r>
          </w:p>
          <w:p w:rsidR="00000000" w:rsidP="00890A1E">
            <w:pPr>
              <w:pStyle w:val="ListBullet"/>
              <w:rPr>
                <w:lang w:val="en-NZ"/>
              </w:rPr>
            </w:pPr>
            <w:r w:rsidRPr="00890A1E">
              <w:t>Minor statement changes in Assessment Conditions.</w:t>
            </w:r>
          </w:p>
        </w:tc>
      </w:tr>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rPr>
                <w:rStyle w:val="SpecialBold"/>
              </w:rPr>
              <w:t>Release 1</w:t>
            </w:r>
            <w:r w:rsidRPr="00890A1E">
              <w:t>. New unit of competency. Licensing/regulatory information has been incorporated in accordance with Regula</w:t>
            </w:r>
            <w:r w:rsidRPr="00890A1E">
              <w:t>tory requirements. Assessment Requirements have been strengthened in accordance with Regulatory requirements.</w:t>
            </w:r>
          </w:p>
        </w:tc>
      </w:tr>
    </w:tbl>
    <w:p w:rsidR="000461E0" w:rsidP="00890A1E">
      <w:pPr>
        <w:pStyle w:val="NoPaddingFontSize1"/>
      </w:pPr>
    </w:p>
    <w:p w:rsidR="000461E0" w:rsidP="00890A1E">
      <w:pPr>
        <w:pStyle w:val="NoPaddingFontSize1"/>
      </w:pPr>
    </w:p>
    <w:p w:rsidR="00000000" w:rsidRPr="00890A1E" w:rsidP="00890A1E">
      <w:pPr>
        <w:pStyle w:val="Heading1"/>
      </w:pPr>
      <w:bookmarkStart w:id="12" w:name="O_1285604"/>
      <w:bookmarkEnd w:id="12"/>
      <w:r w:rsidRPr="00890A1E">
        <w:t>Performance Evidence</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Evidence required to demonstrate competence in this unit must be relevant to and satisfy all of the requirements of the elements and performance criteria on at least one occasion and include:</w:t>
            </w:r>
          </w:p>
        </w:tc>
      </w:tr>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ListBullet"/>
            </w:pPr>
            <w:r w:rsidRPr="00890A1E">
              <w:t>applying regulations pertaining to the safe operation of a vessel</w:t>
            </w:r>
          </w:p>
          <w:p w:rsidR="00000000" w:rsidRPr="00890A1E" w:rsidP="00890A1E">
            <w:pPr>
              <w:pStyle w:val="ListBullet"/>
            </w:pPr>
            <w:r w:rsidRPr="00890A1E">
              <w:t xml:space="preserve">applying safety management plan </w:t>
            </w:r>
          </w:p>
          <w:p w:rsidR="00000000" w:rsidRPr="00890A1E" w:rsidP="00890A1E">
            <w:pPr>
              <w:pStyle w:val="ListBullet"/>
            </w:pPr>
            <w:r w:rsidRPr="00890A1E">
              <w:t xml:space="preserve">conducting inductions for crew </w:t>
            </w:r>
          </w:p>
          <w:p w:rsidR="00000000" w:rsidRPr="00890A1E" w:rsidP="00890A1E">
            <w:pPr>
              <w:pStyle w:val="ListBullet"/>
            </w:pPr>
            <w:r w:rsidRPr="00890A1E">
              <w:t>demonstrating an understanding of the duties and responsibilities of a Coxswain</w:t>
            </w:r>
          </w:p>
          <w:p w:rsidR="00000000" w:rsidRPr="00890A1E" w:rsidP="00890A1E">
            <w:pPr>
              <w:pStyle w:val="ListBullet"/>
            </w:pPr>
            <w:r w:rsidRPr="00890A1E">
              <w:t>obtaining and complying with information from</w:t>
            </w:r>
            <w:r w:rsidRPr="00890A1E">
              <w:t xml:space="preserve"> Commonwealth, state and territory Acts, legislation, codes of practices and other publications relating to the safe navigation of a vessel.</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13" w:name="O_1285603"/>
      <w:bookmarkEnd w:id="13"/>
      <w:r w:rsidRPr="00890A1E">
        <w:t>Knowledge Evidence</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A1E">
            <w:pPr>
              <w:pStyle w:val="BodyText"/>
              <w:rPr>
                <w:lang w:val="en-NZ"/>
              </w:rPr>
            </w:pPr>
            <w:r w:rsidRPr="00890A1E">
              <w:t>Evidence required to demonstrate competence in this unit must be relevant t</w:t>
            </w:r>
            <w:r w:rsidRPr="00890A1E">
              <w:t>o and satisfy all of the requirements of the elements and performance criteria and include knowledge of:</w:t>
            </w:r>
          </w:p>
        </w:tc>
      </w:tr>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ListBullet"/>
            </w:pPr>
            <w:r w:rsidRPr="00890A1E">
              <w:t>actions that must be taken when assisting vessels in distress</w:t>
            </w:r>
          </w:p>
          <w:p w:rsidR="00000000" w:rsidRPr="00890A1E" w:rsidP="00890A1E">
            <w:pPr>
              <w:pStyle w:val="ListBullet"/>
            </w:pPr>
            <w:r w:rsidRPr="00890A1E">
              <w:t>certificates on board a vessel</w:t>
            </w:r>
          </w:p>
          <w:p w:rsidR="00000000" w:rsidRPr="00890A1E" w:rsidP="00890A1E">
            <w:pPr>
              <w:pStyle w:val="ListBullet"/>
            </w:pPr>
            <w:r w:rsidRPr="00890A1E">
              <w:t>contents of marine notices, annual notices to mariners</w:t>
            </w:r>
          </w:p>
          <w:p w:rsidR="00000000" w:rsidRPr="00890A1E" w:rsidP="00890A1E">
            <w:pPr>
              <w:pStyle w:val="ListBullet"/>
            </w:pPr>
            <w:r w:rsidRPr="00890A1E">
              <w:t>distress signals</w:t>
            </w:r>
          </w:p>
          <w:p w:rsidR="00000000" w:rsidRPr="00890A1E" w:rsidP="00890A1E">
            <w:pPr>
              <w:pStyle w:val="ListBullet"/>
            </w:pPr>
            <w:r w:rsidRPr="00890A1E">
              <w:t>duties and responsibilities of a Coxswain</w:t>
            </w:r>
          </w:p>
          <w:p w:rsidR="00000000" w:rsidRPr="00890A1E" w:rsidP="00890A1E">
            <w:pPr>
              <w:pStyle w:val="ListBullet"/>
            </w:pPr>
            <w:r w:rsidRPr="00890A1E">
              <w:t>function of risk assessments</w:t>
            </w:r>
          </w:p>
          <w:p w:rsidR="00000000" w:rsidRPr="00890A1E" w:rsidP="00890A1E">
            <w:pPr>
              <w:pStyle w:val="ListBullet"/>
            </w:pPr>
            <w:r w:rsidRPr="00890A1E">
              <w:t>International Association of Lighthouse Authorities (IALA) Buoyage System A</w:t>
            </w:r>
          </w:p>
          <w:p w:rsidR="00000000" w:rsidRPr="00890A1E" w:rsidP="00890A1E">
            <w:pPr>
              <w:pStyle w:val="ListBullet"/>
            </w:pPr>
            <w:r w:rsidRPr="00890A1E">
              <w:t>International Regulations for Preventing Collisions at Sea, including:</w:t>
            </w:r>
          </w:p>
          <w:p w:rsidR="00000000" w:rsidRPr="00890A1E" w:rsidP="00890A1E">
            <w:pPr>
              <w:pStyle w:val="ListBullet2"/>
            </w:pPr>
            <w:r w:rsidRPr="00890A1E">
              <w:t>large commercial tra</w:t>
            </w:r>
            <w:r w:rsidRPr="00890A1E">
              <w:t>ffic</w:t>
            </w:r>
          </w:p>
          <w:p w:rsidR="00000000" w:rsidRPr="00890A1E" w:rsidP="00890A1E">
            <w:pPr>
              <w:pStyle w:val="ListBullet"/>
            </w:pPr>
            <w:r w:rsidRPr="00890A1E">
              <w:t>lifesaving and firefighting appliances</w:t>
            </w:r>
          </w:p>
          <w:p w:rsidR="00000000" w:rsidRPr="00890A1E" w:rsidP="00890A1E">
            <w:pPr>
              <w:pStyle w:val="ListBullet"/>
            </w:pPr>
            <w:r w:rsidRPr="00890A1E">
              <w:t>logbook or vessel record book</w:t>
            </w:r>
          </w:p>
          <w:p w:rsidR="00000000" w:rsidRPr="00890A1E" w:rsidP="00890A1E">
            <w:pPr>
              <w:pStyle w:val="ListBullet"/>
            </w:pPr>
            <w:r w:rsidRPr="00890A1E">
              <w:t>marine pollution prevention</w:t>
            </w:r>
          </w:p>
          <w:p w:rsidR="00000000" w:rsidRPr="00890A1E" w:rsidP="00890A1E">
            <w:pPr>
              <w:pStyle w:val="ListBullet"/>
            </w:pPr>
            <w:r w:rsidRPr="00890A1E">
              <w:t>Marine Safety (Domestic Commercial Vessel) National Law Act 2012, Marine Safety (Domestic Commercial Vessel) National Law Regulation 2013 and marine orde</w:t>
            </w:r>
            <w:r w:rsidRPr="00890A1E">
              <w:t xml:space="preserve">rs </w:t>
            </w:r>
          </w:p>
          <w:p w:rsidR="00000000" w:rsidRPr="00890A1E" w:rsidP="00890A1E">
            <w:pPr>
              <w:pStyle w:val="ListBullet"/>
            </w:pPr>
            <w:r w:rsidRPr="00890A1E">
              <w:t>Marine Order 505</w:t>
            </w:r>
          </w:p>
          <w:p w:rsidR="00000000" w:rsidRPr="00890A1E" w:rsidP="00890A1E">
            <w:pPr>
              <w:pStyle w:val="ListBullet"/>
            </w:pPr>
            <w:r w:rsidRPr="00890A1E">
              <w:t>operational areas and classifications of vessels</w:t>
            </w:r>
          </w:p>
          <w:p w:rsidR="00000000" w:rsidRPr="00890A1E" w:rsidP="00890A1E">
            <w:pPr>
              <w:pStyle w:val="ListBullet"/>
            </w:pPr>
            <w:r w:rsidRPr="00890A1E">
              <w:t xml:space="preserve">safety management systems </w:t>
            </w:r>
          </w:p>
          <w:p w:rsidR="00000000" w:rsidRPr="00890A1E" w:rsidP="00890A1E">
            <w:pPr>
              <w:pStyle w:val="ListBullet"/>
            </w:pPr>
            <w:r w:rsidRPr="00890A1E">
              <w:t>state and territory marine legislation</w:t>
            </w:r>
          </w:p>
          <w:p w:rsidR="00000000" w:rsidRPr="00890A1E" w:rsidP="00890A1E">
            <w:pPr>
              <w:pStyle w:val="ListBullet"/>
            </w:pPr>
            <w:r w:rsidRPr="00890A1E">
              <w:t>work health and safety (WHS)/occupational health and safety (OHS) legislation.</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14" w:name="O_1285602"/>
      <w:bookmarkEnd w:id="14"/>
      <w:r w:rsidRPr="00890A1E">
        <w:t>Assessment Conditions</w:t>
      </w:r>
    </w:p>
    <w:tbl>
      <w:tblPr>
        <w:tblW w:w="9497" w:type="dxa"/>
        <w:tblLayout w:type="fixed"/>
        <w:tblCellMar>
          <w:left w:w="62" w:type="dxa"/>
          <w:right w:w="62" w:type="dxa"/>
        </w:tblCellMar>
        <w:tblLook w:val="0000"/>
      </w:tblPr>
      <w:tblGrid>
        <w:gridCol w:w="9497"/>
      </w:tblGrid>
      <w:tr w:rsidTr="00890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A1E" w:rsidP="00890A1E">
            <w:pPr>
              <w:pStyle w:val="BodyText"/>
            </w:pPr>
            <w:r w:rsidRPr="00890A1E">
              <w:t>Assessors must hold credentials specified within the Standards for Registered Training Organisations current at the time of assessment.</w:t>
            </w:r>
          </w:p>
          <w:p w:rsidR="00000000" w:rsidRPr="00890A1E" w:rsidP="00890A1E">
            <w:pPr>
              <w:pStyle w:val="BodyText"/>
            </w:pPr>
            <w:r w:rsidRPr="00890A1E">
              <w:t>Assessment must satisfy the Principles of Assessment and Rules of Evidence and all regulatory requ</w:t>
            </w:r>
            <w:r w:rsidRPr="00890A1E">
              <w:t>irements included within the Standards for Registered Training Organisations current at the time of assessment.</w:t>
            </w:r>
          </w:p>
          <w:p w:rsidR="00000000" w:rsidRPr="00890A1E" w:rsidP="00890A1E">
            <w:pPr>
              <w:pStyle w:val="BodyText"/>
            </w:pPr>
            <w:r w:rsidRPr="00890A1E">
              <w:t xml:space="preserve">Assessment processes and techniques must be appropriate to the language, literacy and numeracy requirements of the work being performed and the </w:t>
            </w:r>
            <w:r w:rsidRPr="00890A1E">
              <w:t>needs of the candidate.</w:t>
            </w:r>
          </w:p>
          <w:p w:rsidR="00000000" w:rsidRPr="00890A1E" w:rsidP="00890A1E">
            <w:pPr>
              <w:pStyle w:val="BodyText"/>
            </w:pPr>
            <w:r w:rsidRPr="00890A1E">
              <w:t>Practical assessment must occur in a workplace, or realistic simulated workplace, under the normal range of workplace conditions.</w:t>
            </w:r>
          </w:p>
          <w:p w:rsidR="00000000" w:rsidRPr="00890A1E" w:rsidP="00890A1E">
            <w:pPr>
              <w:pStyle w:val="BodyText"/>
            </w:pPr>
            <w:r w:rsidRPr="00890A1E">
              <w:t>Simulations and scenarios may be used where situations cannot be provided in the workplace or may occu</w:t>
            </w:r>
            <w:r w:rsidRPr="00890A1E">
              <w:t>r only rarely, in particular for situations relating to emergency procedures and adverse weather conditions where assessment would be unsafe, impractical or may lead to environmental damage.</w:t>
            </w:r>
          </w:p>
          <w:p w:rsidR="00000000" w:rsidRPr="00890A1E" w:rsidP="00890A1E">
            <w:pPr>
              <w:pStyle w:val="BodyText"/>
            </w:pPr>
            <w:r w:rsidRPr="00890A1E">
              <w:t>Resources for assessment must include access to:</w:t>
            </w:r>
          </w:p>
          <w:p w:rsidR="00000000" w:rsidRPr="00890A1E" w:rsidP="00890A1E">
            <w:pPr>
              <w:pStyle w:val="ListBullet"/>
            </w:pPr>
            <w:r w:rsidRPr="00890A1E">
              <w:t>applicable documentation such as legislation, regulations, codes of practice, workplace procedures and operational manuals including:</w:t>
            </w:r>
          </w:p>
          <w:p w:rsidR="00000000" w:rsidRPr="00890A1E" w:rsidP="00890A1E">
            <w:pPr>
              <w:pStyle w:val="ListBullet2"/>
            </w:pPr>
            <w:r w:rsidRPr="00890A1E">
              <w:t>International Regulations for Preventing Collisions at Sea</w:t>
            </w:r>
          </w:p>
          <w:p w:rsidR="00000000" w:rsidRPr="00890A1E" w:rsidP="00890A1E">
            <w:pPr>
              <w:pStyle w:val="ListBullet2"/>
            </w:pPr>
            <w:r w:rsidRPr="00890A1E">
              <w:t xml:space="preserve">Marine orders 500 series </w:t>
            </w:r>
          </w:p>
          <w:p w:rsidR="00000000" w:rsidRPr="00890A1E" w:rsidP="00890A1E">
            <w:pPr>
              <w:pStyle w:val="ListBullet2"/>
            </w:pPr>
            <w:r w:rsidRPr="00890A1E">
              <w:t>Marine Safety (Domestic Commercial V</w:t>
            </w:r>
            <w:r w:rsidRPr="00890A1E">
              <w:t>essel) National Law Act 2012</w:t>
            </w:r>
          </w:p>
          <w:p w:rsidR="00000000" w:rsidRPr="00890A1E" w:rsidP="00890A1E">
            <w:pPr>
              <w:pStyle w:val="ListBullet2"/>
            </w:pPr>
            <w:r w:rsidRPr="00890A1E">
              <w:t>Marine Safety (Domestic Commercial Vessel) National Law Regulation 2013</w:t>
            </w:r>
          </w:p>
          <w:p w:rsidR="00000000" w:rsidRPr="00890A1E" w:rsidP="00890A1E">
            <w:pPr>
              <w:pStyle w:val="ListBullet"/>
            </w:pPr>
            <w:r w:rsidRPr="00890A1E">
              <w:t>tools, equipment, machinery, materials and relevant personal protective equipment (PPE) currently used in industry.</w:t>
            </w:r>
          </w:p>
        </w:tc>
      </w:tr>
    </w:tbl>
    <w:p w:rsidR="00000000" w:rsidRPr="00890A1E" w:rsidP="00890A1E">
      <w:pPr>
        <w:pStyle w:val="NoPaddingFontSize1"/>
      </w:pPr>
    </w:p>
    <w:p w:rsidR="00000000" w:rsidRPr="00890A1E" w:rsidP="00890A1E">
      <w:pPr>
        <w:pStyle w:val="AllowPageBreak"/>
      </w:pPr>
    </w:p>
    <w:p w:rsidR="00000000" w:rsidRPr="00890A1E" w:rsidP="00890A1E">
      <w:pPr>
        <w:pStyle w:val="Heading1"/>
      </w:pPr>
      <w:bookmarkStart w:id="15" w:name="O_1285617"/>
      <w:bookmarkEnd w:id="15"/>
      <w:r w:rsidRPr="00890A1E">
        <w:t>Links</w:t>
      </w:r>
    </w:p>
    <w:p w:rsidR="00000000" w:rsidRPr="00890A1E" w:rsidP="000461E0">
      <w:pPr>
        <w:pStyle w:val="BodyText"/>
      </w:pPr>
      <w:r w:rsidRPr="00890A1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B1D4D">
        <w:rPr>
          <w:rStyle w:val="Hyperlink"/>
        </w:rPr>
        <w:t>https://vetnet.gov.au/Pages/TrainingDocs.aspx?q=772efb7b-4cce-47fe-9bbd-ee3b1d1eb4c2</w:t>
      </w:r>
      <w:r>
        <w:fldChar w:fldCharType="end"/>
      </w:r>
    </w:p>
    <w:p w:rsidR="00000000" w:rsidRPr="00890A1E" w:rsidP="00890A1E"/>
    <w:sectPr w:rsidSect="00890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rsidRPr="000461E0" w:rsidP="00046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E0" w:rsidP="00890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1E0" w:rsidP="00890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461E0" w:rsidP="00890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rsidP="00890A1E">
    <w:pPr>
      <w:pStyle w:val="Footer"/>
      <w:framePr w:wrap="around"/>
    </w:pPr>
    <w:r>
      <w:fldChar w:fldCharType="begin"/>
    </w:r>
    <w:r>
      <w:instrText xml:space="preserve"> DOCPROPERTY  Subject  \* MERGEFORMAT </w:instrText>
    </w:r>
    <w:r>
      <w:fldChar w:fldCharType="separate"/>
    </w:r>
    <w:r w:rsidR="000461E0">
      <w:t>Approved</w:t>
    </w:r>
    <w:r w:rsidR="000461E0">
      <w:fldChar w:fldCharType="end"/>
    </w:r>
    <w:r>
      <w:tab/>
      <w:t xml:space="preserve">Page </w:t>
    </w:r>
    <w:r>
      <w:fldChar w:fldCharType="begin"/>
    </w:r>
    <w:r>
      <w:instrText xml:space="preserve"> PAGE  \* Arabic  \* MERGEFORMAT </w:instrText>
    </w:r>
    <w:r>
      <w:fldChar w:fldCharType="separate"/>
    </w:r>
    <w:r w:rsidR="000461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61E0">
      <w:rPr>
        <w:noProof/>
      </w:rPr>
      <w:t>4</w:t>
    </w:r>
    <w:r>
      <w:rPr>
        <w:noProof/>
      </w:rPr>
      <w:fldChar w:fldCharType="end"/>
    </w:r>
  </w:p>
  <w:p w:rsidR="00890A1E" w:rsidP="00890A1E">
    <w:pPr>
      <w:pStyle w:val="Footer"/>
      <w:framePr w:wrap="around"/>
    </w:pPr>
    <w:r>
      <w:t xml:space="preserve">© Commonwealth of Australia, </w:t>
    </w:r>
    <w:r>
      <w:fldChar w:fldCharType="begin"/>
    </w:r>
    <w:r>
      <w:instrText xml:space="preserve"> DATE  \@ "yyyy"  \* MERGEFORMAT </w:instrText>
    </w:r>
    <w:r>
      <w:fldChar w:fldCharType="separate"/>
    </w:r>
    <w:r w:rsidR="000461E0">
      <w:rPr>
        <w:noProof/>
      </w:rPr>
      <w:t>2025</w:t>
    </w:r>
    <w:r>
      <w:fldChar w:fldCharType="end"/>
    </w:r>
    <w:r>
      <w:tab/>
    </w:r>
    <w:r>
      <w:fldChar w:fldCharType="begin"/>
    </w:r>
    <w:r>
      <w:instrText xml:space="preserve"> DOCPROPERTY  Author  \* MERGEFORMAT </w:instrText>
    </w:r>
    <w:r>
      <w:fldChar w:fldCharType="separate"/>
    </w:r>
    <w:r w:rsidR="000461E0">
      <w:t>Industry Skills Australia</w:t>
    </w:r>
    <w:r w:rsidR="000461E0">
      <w:fldChar w:fldCharType="end"/>
    </w:r>
  </w:p>
  <w:p w:rsidR="00890A1E" w:rsidP="00890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A1E" w:rsidRPr="000461E0" w:rsidP="00046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1E0" w:rsidRPr="002D2AF8" w:rsidP="00890A1E">
    <w:pPr>
      <w:pStyle w:val="Header"/>
      <w:framePr w:wrap="around"/>
    </w:pPr>
    <w:r>
      <w:fldChar w:fldCharType="begin"/>
    </w:r>
    <w:r>
      <w:instrText xml:space="preserve"> TITLE   \* MERGEFORMAT </w:instrText>
    </w:r>
    <w:r>
      <w:fldChar w:fldCharType="separate"/>
    </w:r>
    <w:r>
      <w:t>MARI003 Comply with regulations to ensure safe operation of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61E0" w:rsidP="00890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A1E" w:rsidRPr="002D2AF8" w:rsidP="00890A1E">
    <w:pPr>
      <w:pStyle w:val="Header"/>
      <w:framePr w:wrap="around"/>
    </w:pPr>
    <w:r>
      <w:fldChar w:fldCharType="begin"/>
    </w:r>
    <w:r>
      <w:instrText xml:space="preserve"> TITLE   \* MERGEFORMAT </w:instrText>
    </w:r>
    <w:r>
      <w:fldChar w:fldCharType="separate"/>
    </w:r>
    <w:r w:rsidR="000461E0">
      <w:t>MARI003 Comply with regulations to ensure safe operation of a vessel up to 12 metres</w:t>
    </w:r>
    <w:r w:rsidR="000461E0">
      <w:fldChar w:fldCharType="end"/>
    </w:r>
    <w:r>
      <w:tab/>
      <w:t xml:space="preserve">Date this document was generated: </w:t>
    </w:r>
    <w:r>
      <w:fldChar w:fldCharType="begin"/>
    </w:r>
    <w:r>
      <w:instrText xml:space="preserve"> CREATEDATE  \@ "d MMMM yyyy"  \* MERGEFORMAT </w:instrText>
    </w:r>
    <w:r>
      <w:fldChar w:fldCharType="separate"/>
    </w:r>
    <w:r w:rsidR="000461E0">
      <w:rPr>
        <w:noProof/>
      </w:rPr>
      <w:t>2 March 2025</w:t>
    </w:r>
    <w:r>
      <w:fldChar w:fldCharType="end"/>
    </w:r>
  </w:p>
  <w:p w:rsidR="00890A1E" w:rsidP="00890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EF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C01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BE9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A1E"/>
    <w:pPr>
      <w:spacing w:before="360" w:after="60"/>
      <w:outlineLvl w:val="0"/>
    </w:pPr>
    <w:rPr>
      <w:sz w:val="32"/>
    </w:rPr>
  </w:style>
  <w:style w:type="paragraph" w:styleId="Heading2">
    <w:name w:val="heading 2"/>
    <w:basedOn w:val="HeadingBase"/>
    <w:next w:val="BodyText"/>
    <w:link w:val="Heading2Char"/>
    <w:qFormat/>
    <w:rsid w:val="00890A1E"/>
    <w:pPr>
      <w:keepLines/>
      <w:spacing w:before="240" w:after="120"/>
      <w:outlineLvl w:val="1"/>
    </w:pPr>
    <w:rPr>
      <w:sz w:val="28"/>
      <w:szCs w:val="40"/>
    </w:rPr>
  </w:style>
  <w:style w:type="paragraph" w:styleId="Heading3">
    <w:name w:val="heading 3"/>
    <w:basedOn w:val="HeadingBase"/>
    <w:next w:val="BodyText"/>
    <w:link w:val="Heading3Char"/>
    <w:qFormat/>
    <w:rsid w:val="00890A1E"/>
    <w:pPr>
      <w:spacing w:before="180" w:after="120"/>
      <w:outlineLvl w:val="2"/>
    </w:pPr>
    <w:rPr>
      <w:spacing w:val="-10"/>
      <w:kern w:val="32"/>
    </w:rPr>
  </w:style>
  <w:style w:type="paragraph" w:styleId="Heading4">
    <w:name w:val="heading 4"/>
    <w:basedOn w:val="HeadingBase"/>
    <w:next w:val="BodyText"/>
    <w:link w:val="Heading4Char"/>
    <w:qFormat/>
    <w:rsid w:val="00890A1E"/>
    <w:pPr>
      <w:spacing w:before="160" w:after="120"/>
      <w:outlineLvl w:val="3"/>
    </w:pPr>
    <w:rPr>
      <w:sz w:val="22"/>
    </w:rPr>
  </w:style>
  <w:style w:type="paragraph" w:styleId="Heading5">
    <w:name w:val="heading 5"/>
    <w:basedOn w:val="HeadingBase"/>
    <w:next w:val="Normal"/>
    <w:link w:val="Heading5Char"/>
    <w:qFormat/>
    <w:rsid w:val="00890A1E"/>
    <w:pPr>
      <w:spacing w:before="80"/>
      <w:outlineLvl w:val="4"/>
    </w:pPr>
    <w:rPr>
      <w:color w:val="918585"/>
      <w:sz w:val="20"/>
    </w:rPr>
  </w:style>
  <w:style w:type="paragraph" w:styleId="Heading6">
    <w:name w:val="heading 6"/>
    <w:basedOn w:val="HeadingBase"/>
    <w:next w:val="Normal"/>
    <w:link w:val="Heading6Char"/>
    <w:qFormat/>
    <w:rsid w:val="00890A1E"/>
    <w:pPr>
      <w:spacing w:before="60"/>
      <w:outlineLvl w:val="5"/>
    </w:pPr>
    <w:rPr>
      <w:color w:val="918585"/>
      <w:sz w:val="20"/>
    </w:rPr>
  </w:style>
  <w:style w:type="paragraph" w:styleId="Heading7">
    <w:name w:val="heading 7"/>
    <w:basedOn w:val="Normal"/>
    <w:next w:val="Normal"/>
    <w:link w:val="Heading7Char"/>
    <w:qFormat/>
    <w:rsid w:val="00890A1E"/>
    <w:pPr>
      <w:ind w:left="720"/>
      <w:outlineLvl w:val="6"/>
    </w:pPr>
    <w:rPr>
      <w:i/>
    </w:rPr>
  </w:style>
  <w:style w:type="paragraph" w:styleId="Heading8">
    <w:name w:val="heading 8"/>
    <w:basedOn w:val="Normal"/>
    <w:next w:val="Normal"/>
    <w:link w:val="Heading8Char"/>
    <w:qFormat/>
    <w:rsid w:val="00890A1E"/>
    <w:pPr>
      <w:ind w:left="720"/>
      <w:outlineLvl w:val="7"/>
    </w:pPr>
    <w:rPr>
      <w:i/>
    </w:rPr>
  </w:style>
  <w:style w:type="paragraph" w:styleId="Heading9">
    <w:name w:val="heading 9"/>
    <w:basedOn w:val="Normal"/>
    <w:next w:val="Normal"/>
    <w:link w:val="Heading9Char"/>
    <w:qFormat/>
    <w:rsid w:val="00890A1E"/>
    <w:pPr>
      <w:ind w:left="720"/>
      <w:outlineLvl w:val="8"/>
    </w:pPr>
    <w:rPr>
      <w:i/>
    </w:rPr>
  </w:style>
  <w:style w:type="character" w:default="1" w:styleId="DefaultParagraphFont">
    <w:name w:val="Default Paragraph Font"/>
    <w:uiPriority w:val="1"/>
    <w:unhideWhenUsed/>
    <w:rsid w:val="00890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A1E"/>
  </w:style>
  <w:style w:type="character" w:customStyle="1" w:styleId="Heading1Char">
    <w:name w:val="Heading 1 Char"/>
    <w:basedOn w:val="DefaultParagraphFont"/>
    <w:link w:val="Heading1"/>
    <w:rsid w:val="00890A1E"/>
    <w:rPr>
      <w:rFonts w:ascii="Times New Roman" w:eastAsia="Times New Roman" w:hAnsi="Times New Roman" w:cs="Times New Roman"/>
      <w:b/>
      <w:sz w:val="32"/>
      <w:szCs w:val="20"/>
      <w:lang w:eastAsia="en-US"/>
    </w:rPr>
  </w:style>
  <w:style w:type="paragraph" w:styleId="BodyText">
    <w:name w:val="Body Text"/>
    <w:basedOn w:val="Normal"/>
    <w:link w:val="BodyTextChar"/>
    <w:rsid w:val="00890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A1E"/>
    <w:rPr>
      <w:rFonts w:ascii="Times New Roman" w:eastAsia="Times New Roman" w:hAnsi="Times New Roman" w:cs="Times New Roman"/>
      <w:sz w:val="24"/>
      <w:lang w:eastAsia="en-US"/>
    </w:rPr>
  </w:style>
  <w:style w:type="paragraph" w:styleId="ListBullet">
    <w:name w:val="List Bullet"/>
    <w:basedOn w:val="List"/>
    <w:rsid w:val="00890A1E"/>
    <w:pPr>
      <w:numPr>
        <w:numId w:val="12"/>
      </w:numPr>
      <w:tabs>
        <w:tab w:val="clear" w:pos="340"/>
      </w:tabs>
      <w:spacing w:before="40" w:after="40"/>
    </w:pPr>
  </w:style>
  <w:style w:type="character" w:customStyle="1" w:styleId="SpecialBold">
    <w:name w:val="Special Bold"/>
    <w:basedOn w:val="DefaultParagraphFont"/>
    <w:rsid w:val="00890A1E"/>
    <w:rPr>
      <w:b/>
      <w:spacing w:val="0"/>
    </w:rPr>
  </w:style>
  <w:style w:type="paragraph" w:styleId="ListBullet2">
    <w:name w:val="List Bullet 2"/>
    <w:basedOn w:val="List2"/>
    <w:rsid w:val="00890A1E"/>
    <w:pPr>
      <w:numPr>
        <w:numId w:val="13"/>
      </w:numPr>
      <w:tabs>
        <w:tab w:val="clear" w:pos="680"/>
      </w:tabs>
    </w:pPr>
  </w:style>
  <w:style w:type="paragraph" w:customStyle="1" w:styleId="SuperHeading">
    <w:name w:val="SuperHeading"/>
    <w:basedOn w:val="Normal"/>
    <w:rsid w:val="00890A1E"/>
    <w:pPr>
      <w:spacing w:before="240" w:after="120"/>
      <w:outlineLvl w:val="0"/>
    </w:pPr>
    <w:rPr>
      <w:rFonts w:ascii="Times New Roman" w:hAnsi="Times New Roman"/>
      <w:b/>
      <w:sz w:val="32"/>
    </w:rPr>
  </w:style>
  <w:style w:type="paragraph" w:customStyle="1" w:styleId="AllowPageBreak">
    <w:name w:val="AllowPageBreak"/>
    <w:rsid w:val="00890A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0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A1E"/>
    <w:rPr>
      <w:rFonts w:ascii="Courier New" w:eastAsia="Times New Roman" w:hAnsi="Courier New" w:cs="Times New Roman"/>
      <w:i/>
      <w:szCs w:val="20"/>
      <w:lang w:eastAsia="en-US"/>
    </w:rPr>
  </w:style>
  <w:style w:type="paragraph" w:customStyle="1" w:styleId="HeadingBase">
    <w:name w:val="Heading Base"/>
    <w:rsid w:val="00890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A1E"/>
    <w:pPr>
      <w:tabs>
        <w:tab w:val="right" w:leader="dot" w:pos="9072"/>
      </w:tabs>
      <w:ind w:left="567"/>
    </w:pPr>
    <w:rPr>
      <w:szCs w:val="22"/>
    </w:rPr>
  </w:style>
  <w:style w:type="paragraph" w:customStyle="1" w:styleId="TOCBase">
    <w:name w:val="TOC Base"/>
    <w:rsid w:val="00890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A1E"/>
    <w:pPr>
      <w:tabs>
        <w:tab w:val="right" w:leader="dot" w:pos="9072"/>
      </w:tabs>
      <w:spacing w:before="40" w:after="40"/>
      <w:ind w:left="284"/>
    </w:pPr>
    <w:rPr>
      <w:rFonts w:ascii="Times New Roman" w:hAnsi="Times New Roman"/>
    </w:rPr>
  </w:style>
  <w:style w:type="paragraph" w:styleId="TOC1">
    <w:name w:val="toc 1"/>
    <w:basedOn w:val="TOCBase"/>
    <w:next w:val="Normal"/>
    <w:rsid w:val="00890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A1E"/>
    <w:rPr>
      <w:rFonts w:ascii="Times New Roman" w:eastAsia="Times New Roman" w:hAnsi="Times New Roman" w:cs="Times New Roman"/>
      <w:sz w:val="16"/>
      <w:lang w:eastAsia="en-US"/>
    </w:rPr>
  </w:style>
  <w:style w:type="paragraph" w:styleId="Title">
    <w:name w:val="Title"/>
    <w:basedOn w:val="HeadingBase"/>
    <w:link w:val="TitleChar"/>
    <w:qFormat/>
    <w:rsid w:val="00890A1E"/>
    <w:pPr>
      <w:spacing w:before="5040"/>
      <w:jc w:val="center"/>
    </w:pPr>
    <w:rPr>
      <w:sz w:val="48"/>
      <w:szCs w:val="72"/>
      <w:lang w:val="en-US"/>
    </w:rPr>
  </w:style>
  <w:style w:type="character" w:customStyle="1" w:styleId="TitleChar">
    <w:name w:val="Title Char"/>
    <w:basedOn w:val="DefaultParagraphFont"/>
    <w:link w:val="Title"/>
    <w:rsid w:val="00890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A1E"/>
    <w:pPr>
      <w:tabs>
        <w:tab w:val="left" w:pos="3600"/>
        <w:tab w:val="left" w:pos="3958"/>
      </w:tabs>
    </w:pPr>
  </w:style>
  <w:style w:type="paragraph" w:styleId="List">
    <w:name w:val="List"/>
    <w:basedOn w:val="BodyText"/>
    <w:next w:val="BodyText"/>
    <w:rsid w:val="00890A1E"/>
    <w:pPr>
      <w:tabs>
        <w:tab w:val="left" w:pos="340"/>
      </w:tabs>
      <w:spacing w:before="60" w:after="60"/>
      <w:ind w:left="340" w:hanging="340"/>
    </w:pPr>
  </w:style>
  <w:style w:type="paragraph" w:customStyle="1" w:styleId="Note">
    <w:name w:val="Note"/>
    <w:basedOn w:val="BodyText"/>
    <w:rsid w:val="00890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A1E"/>
    <w:pPr>
      <w:framePr w:wrap="auto" w:hAnchor="text" w:y="6049"/>
    </w:pPr>
    <w:rPr>
      <w:color w:val="000000"/>
      <w:sz w:val="40"/>
    </w:rPr>
  </w:style>
  <w:style w:type="paragraph" w:customStyle="1" w:styleId="TOCTitle">
    <w:name w:val="TOCTitle"/>
    <w:basedOn w:val="Heading1"/>
    <w:rsid w:val="00890A1E"/>
    <w:pPr>
      <w:spacing w:after="240"/>
      <w:jc w:val="center"/>
      <w:outlineLvl w:val="9"/>
    </w:pPr>
    <w:rPr>
      <w:caps/>
    </w:rPr>
  </w:style>
  <w:style w:type="paragraph" w:customStyle="1" w:styleId="Version">
    <w:name w:val="Version"/>
    <w:rsid w:val="00890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A1E"/>
    <w:pPr>
      <w:keepNext w:val="0"/>
      <w:tabs>
        <w:tab w:val="right" w:pos="4176"/>
      </w:tabs>
      <w:ind w:left="198" w:hanging="198"/>
    </w:pPr>
    <w:rPr>
      <w:rFonts w:ascii="Garamond" w:hAnsi="Garamond"/>
    </w:rPr>
  </w:style>
  <w:style w:type="paragraph" w:styleId="IndexHeading">
    <w:name w:val="index heading"/>
    <w:basedOn w:val="Normal"/>
    <w:next w:val="Index1"/>
    <w:semiHidden/>
    <w:rsid w:val="00890A1E"/>
    <w:pPr>
      <w:spacing w:before="120" w:after="120"/>
    </w:pPr>
    <w:rPr>
      <w:rFonts w:ascii="Arial" w:hAnsi="Arial"/>
      <w:b/>
      <w:color w:val="918585"/>
      <w:sz w:val="24"/>
    </w:rPr>
  </w:style>
  <w:style w:type="paragraph" w:styleId="Header">
    <w:name w:val="header"/>
    <w:basedOn w:val="Normal"/>
    <w:link w:val="HeaderChar"/>
    <w:rsid w:val="00890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A1E"/>
    <w:rPr>
      <w:rFonts w:ascii="Times New Roman" w:eastAsia="Times New Roman" w:hAnsi="Times New Roman" w:cs="Times New Roman"/>
      <w:sz w:val="16"/>
      <w:szCs w:val="20"/>
      <w:lang w:val="en-GB" w:eastAsia="en-US"/>
    </w:rPr>
  </w:style>
  <w:style w:type="paragraph" w:customStyle="1" w:styleId="Chapter">
    <w:name w:val="Chapter"/>
    <w:basedOn w:val="Normal"/>
    <w:rsid w:val="00890A1E"/>
    <w:pPr>
      <w:spacing w:before="240"/>
    </w:pPr>
    <w:rPr>
      <w:rFonts w:ascii="Times New Roman" w:hAnsi="Times New Roman"/>
      <w:smallCaps/>
      <w:spacing w:val="80"/>
      <w:sz w:val="28"/>
    </w:rPr>
  </w:style>
  <w:style w:type="paragraph" w:customStyle="1" w:styleId="InChapter">
    <w:name w:val="InChapter"/>
    <w:basedOn w:val="Heading3"/>
    <w:rsid w:val="00890A1E"/>
    <w:pPr>
      <w:spacing w:after="240"/>
      <w:outlineLvl w:val="9"/>
    </w:pPr>
    <w:rPr>
      <w:noProof/>
    </w:rPr>
  </w:style>
  <w:style w:type="paragraph" w:styleId="Index2">
    <w:name w:val="index 2"/>
    <w:basedOn w:val="Normal"/>
    <w:next w:val="Normal"/>
    <w:semiHidden/>
    <w:rsid w:val="00890A1E"/>
    <w:pPr>
      <w:tabs>
        <w:tab w:val="right" w:pos="4176"/>
      </w:tabs>
      <w:ind w:left="568" w:hanging="284"/>
    </w:pPr>
    <w:rPr>
      <w:rFonts w:ascii="Garamond" w:hAnsi="Garamond"/>
    </w:rPr>
  </w:style>
  <w:style w:type="paragraph" w:customStyle="1" w:styleId="Byline">
    <w:name w:val="Byline"/>
    <w:rsid w:val="00890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A1E"/>
    <w:pPr>
      <w:tabs>
        <w:tab w:val="clear" w:pos="3600"/>
        <w:tab w:val="clear" w:pos="3958"/>
      </w:tabs>
      <w:jc w:val="right"/>
    </w:pPr>
  </w:style>
  <w:style w:type="character" w:styleId="Emphasis">
    <w:name w:val="Emphasis"/>
    <w:basedOn w:val="DefaultParagraphFont"/>
    <w:qFormat/>
    <w:rsid w:val="00890A1E"/>
    <w:rPr>
      <w:i/>
    </w:rPr>
  </w:style>
  <w:style w:type="paragraph" w:styleId="Caption">
    <w:name w:val="caption"/>
    <w:basedOn w:val="BodyText"/>
    <w:next w:val="Normal"/>
    <w:qFormat/>
    <w:rsid w:val="00890A1E"/>
    <w:pPr>
      <w:framePr w:w="2268" w:hSpace="181" w:vSpace="181" w:wrap="around" w:vAnchor="text" w:hAnchor="page" w:x="1135" w:y="285" w:anchorLock="1"/>
    </w:pPr>
    <w:rPr>
      <w:i/>
    </w:rPr>
  </w:style>
  <w:style w:type="paragraph" w:customStyle="1" w:styleId="MiniTOCTitle">
    <w:name w:val="MiniTOCTitle"/>
    <w:basedOn w:val="Heading4"/>
    <w:rsid w:val="00890A1E"/>
    <w:pPr>
      <w:spacing w:before="240"/>
      <w:outlineLvl w:val="9"/>
    </w:pPr>
    <w:rPr>
      <w:noProof/>
      <w:sz w:val="24"/>
    </w:rPr>
  </w:style>
  <w:style w:type="paragraph" w:customStyle="1" w:styleId="MiniTOCItem">
    <w:name w:val="MiniTOCItem"/>
    <w:basedOn w:val="ListBullet"/>
    <w:rsid w:val="00890A1E"/>
    <w:pPr>
      <w:numPr>
        <w:numId w:val="0"/>
      </w:numPr>
      <w:tabs>
        <w:tab w:val="right" w:leader="dot" w:pos="6521"/>
      </w:tabs>
      <w:spacing w:before="0" w:after="0"/>
    </w:pPr>
  </w:style>
  <w:style w:type="paragraph" w:customStyle="1" w:styleId="TOFTitle">
    <w:name w:val="TOFTitle"/>
    <w:basedOn w:val="TOCTitle"/>
    <w:rsid w:val="00890A1E"/>
  </w:style>
  <w:style w:type="paragraph" w:styleId="TableofFigures">
    <w:name w:val="table of figures"/>
    <w:basedOn w:val="Normal"/>
    <w:next w:val="Normal"/>
    <w:semiHidden/>
    <w:rsid w:val="00890A1E"/>
    <w:pPr>
      <w:tabs>
        <w:tab w:val="right" w:leader="dot" w:pos="9072"/>
      </w:tabs>
      <w:ind w:left="970" w:hanging="403"/>
    </w:pPr>
    <w:rPr>
      <w:rFonts w:ascii="Times New Roman" w:hAnsi="Times New Roman"/>
      <w:b/>
    </w:rPr>
  </w:style>
  <w:style w:type="paragraph" w:styleId="ListNumber">
    <w:name w:val="List Number"/>
    <w:basedOn w:val="List"/>
    <w:rsid w:val="00890A1E"/>
    <w:pPr>
      <w:numPr>
        <w:numId w:val="15"/>
      </w:numPr>
      <w:tabs>
        <w:tab w:val="clear" w:pos="340"/>
      </w:tabs>
    </w:pPr>
  </w:style>
  <w:style w:type="character" w:customStyle="1" w:styleId="WingdingSymbols">
    <w:name w:val="Wingding Symbols"/>
    <w:rsid w:val="00890A1E"/>
    <w:rPr>
      <w:rFonts w:ascii="Wingdings" w:hAnsi="Wingdings"/>
    </w:rPr>
  </w:style>
  <w:style w:type="paragraph" w:customStyle="1" w:styleId="TableHeading">
    <w:name w:val="Table Heading"/>
    <w:basedOn w:val="HeadingBase"/>
    <w:rsid w:val="00890A1E"/>
    <w:pPr>
      <w:keepLines/>
      <w:pBdr>
        <w:bottom w:val="single" w:sz="6" w:space="1" w:color="918585"/>
      </w:pBdr>
      <w:spacing w:before="240"/>
    </w:pPr>
  </w:style>
  <w:style w:type="character" w:customStyle="1" w:styleId="HotSpot">
    <w:name w:val="HotSpot"/>
    <w:rsid w:val="00890A1E"/>
    <w:rPr>
      <w:color w:val="0033CC"/>
      <w:u w:val="none"/>
    </w:rPr>
  </w:style>
  <w:style w:type="paragraph" w:customStyle="1" w:styleId="BodyTextRight">
    <w:name w:val="Body Text Right"/>
    <w:basedOn w:val="BodyText"/>
    <w:rsid w:val="00890A1E"/>
    <w:pPr>
      <w:spacing w:before="0" w:after="0"/>
      <w:jc w:val="right"/>
    </w:pPr>
  </w:style>
  <w:style w:type="paragraph" w:styleId="Index3">
    <w:name w:val="index 3"/>
    <w:basedOn w:val="ListNumber2"/>
    <w:next w:val="Normal"/>
    <w:semiHidden/>
    <w:rsid w:val="00890A1E"/>
    <w:pPr>
      <w:numPr>
        <w:numId w:val="0"/>
      </w:numPr>
      <w:tabs>
        <w:tab w:val="right" w:leader="dot" w:pos="4176"/>
      </w:tabs>
    </w:pPr>
  </w:style>
  <w:style w:type="paragraph" w:styleId="ListNumber2">
    <w:name w:val="List Number 2"/>
    <w:basedOn w:val="List2"/>
    <w:rsid w:val="00890A1E"/>
    <w:pPr>
      <w:numPr>
        <w:numId w:val="10"/>
      </w:numPr>
      <w:tabs>
        <w:tab w:val="clear" w:pos="1060"/>
      </w:tabs>
    </w:pPr>
  </w:style>
  <w:style w:type="paragraph" w:customStyle="1" w:styleId="MarginNote">
    <w:name w:val="Margin Note"/>
    <w:basedOn w:val="BodyText"/>
    <w:rsid w:val="00890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A1E"/>
    <w:rPr>
      <w:sz w:val="32"/>
    </w:rPr>
  </w:style>
  <w:style w:type="paragraph" w:customStyle="1" w:styleId="HeadingProcedure">
    <w:name w:val="Heading Procedure"/>
    <w:basedOn w:val="HeadingBase"/>
    <w:next w:val="Normal"/>
    <w:rsid w:val="00890A1E"/>
    <w:pPr>
      <w:tabs>
        <w:tab w:val="left" w:pos="0"/>
      </w:tabs>
      <w:spacing w:before="120" w:after="60"/>
    </w:pPr>
    <w:rPr>
      <w:i/>
      <w:color w:val="918585"/>
      <w:sz w:val="22"/>
    </w:rPr>
  </w:style>
  <w:style w:type="paragraph" w:customStyle="1" w:styleId="TableBodyText">
    <w:name w:val="Table Body Text"/>
    <w:basedOn w:val="BodyText"/>
    <w:rsid w:val="00890A1E"/>
    <w:pPr>
      <w:spacing w:before="60" w:after="60"/>
    </w:pPr>
  </w:style>
  <w:style w:type="paragraph" w:styleId="ListContinue">
    <w:name w:val="List Continue"/>
    <w:basedOn w:val="List"/>
    <w:rsid w:val="00890A1E"/>
    <w:pPr>
      <w:ind w:firstLine="0"/>
    </w:pPr>
  </w:style>
  <w:style w:type="paragraph" w:customStyle="1" w:styleId="ListNote">
    <w:name w:val="List Note"/>
    <w:basedOn w:val="List"/>
    <w:rsid w:val="00890A1E"/>
    <w:pPr>
      <w:pBdr>
        <w:top w:val="single" w:sz="6" w:space="2" w:color="918585"/>
        <w:bottom w:val="single" w:sz="6" w:space="2" w:color="918585"/>
      </w:pBdr>
      <w:tabs>
        <w:tab w:val="left" w:pos="1021"/>
      </w:tabs>
      <w:ind w:firstLine="0"/>
    </w:pPr>
  </w:style>
  <w:style w:type="paragraph" w:customStyle="1" w:styleId="Warning">
    <w:name w:val="Warning"/>
    <w:basedOn w:val="BodyText"/>
    <w:rsid w:val="00890A1E"/>
    <w:pPr>
      <w:shd w:val="clear" w:color="auto" w:fill="D9D9D9"/>
      <w:tabs>
        <w:tab w:val="left" w:pos="992"/>
      </w:tabs>
      <w:ind w:left="119" w:right="119"/>
    </w:pPr>
    <w:rPr>
      <w:sz w:val="20"/>
    </w:rPr>
  </w:style>
  <w:style w:type="paragraph" w:customStyle="1" w:styleId="MarginIcons">
    <w:name w:val="Margin Icons"/>
    <w:basedOn w:val="BodyText"/>
    <w:rsid w:val="00890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A1E"/>
    <w:rPr>
      <w:rFonts w:ascii="Courier New" w:hAnsi="Courier New"/>
    </w:rPr>
  </w:style>
  <w:style w:type="paragraph" w:customStyle="1" w:styleId="NoteBullet">
    <w:name w:val="Note Bullet"/>
    <w:basedOn w:val="Note"/>
    <w:rsid w:val="00890A1E"/>
    <w:pPr>
      <w:tabs>
        <w:tab w:val="clear" w:pos="680"/>
      </w:tabs>
      <w:spacing w:before="60" w:after="60"/>
    </w:pPr>
  </w:style>
  <w:style w:type="paragraph" w:customStyle="1" w:styleId="SubHeading2">
    <w:name w:val="SubHeading2"/>
    <w:basedOn w:val="HeadingBase"/>
    <w:rsid w:val="00890A1E"/>
    <w:pPr>
      <w:spacing w:before="240" w:after="60"/>
    </w:pPr>
    <w:rPr>
      <w:sz w:val="20"/>
    </w:rPr>
  </w:style>
  <w:style w:type="paragraph" w:customStyle="1" w:styleId="SubHeading1">
    <w:name w:val="SubHeading1"/>
    <w:basedOn w:val="HeadingBase"/>
    <w:rsid w:val="00890A1E"/>
    <w:pPr>
      <w:spacing w:before="240" w:after="60"/>
    </w:pPr>
    <w:rPr>
      <w:color w:val="918585"/>
      <w:sz w:val="22"/>
    </w:rPr>
  </w:style>
  <w:style w:type="paragraph" w:customStyle="1" w:styleId="SideHeading">
    <w:name w:val="Side Heading"/>
    <w:basedOn w:val="HeadingBase"/>
    <w:rsid w:val="00890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A1E"/>
    <w:pPr>
      <w:tabs>
        <w:tab w:val="num" w:pos="360"/>
      </w:tabs>
    </w:pPr>
  </w:style>
  <w:style w:type="paragraph" w:styleId="PlainText">
    <w:name w:val="Plain Text"/>
    <w:basedOn w:val="Normal"/>
    <w:link w:val="PlainTextChar"/>
    <w:rsid w:val="00890A1E"/>
    <w:rPr>
      <w:sz w:val="20"/>
    </w:rPr>
  </w:style>
  <w:style w:type="character" w:customStyle="1" w:styleId="PlainTextChar">
    <w:name w:val="Plain Text Char"/>
    <w:basedOn w:val="DefaultParagraphFont"/>
    <w:link w:val="PlainText"/>
    <w:rsid w:val="00890A1E"/>
    <w:rPr>
      <w:rFonts w:ascii="Courier New" w:eastAsia="Times New Roman" w:hAnsi="Courier New" w:cs="Times New Roman"/>
      <w:sz w:val="20"/>
      <w:szCs w:val="20"/>
      <w:lang w:eastAsia="en-US"/>
    </w:rPr>
  </w:style>
  <w:style w:type="character" w:customStyle="1" w:styleId="MenuOption">
    <w:name w:val="Menu Option"/>
    <w:basedOn w:val="DefaultParagraphFont"/>
    <w:rsid w:val="00890A1E"/>
    <w:rPr>
      <w:b/>
      <w:smallCaps/>
    </w:rPr>
  </w:style>
  <w:style w:type="paragraph" w:customStyle="1" w:styleId="TableListNumber">
    <w:name w:val="Table List Number"/>
    <w:basedOn w:val="ListNumber"/>
    <w:rsid w:val="00890A1E"/>
    <w:pPr>
      <w:numPr>
        <w:numId w:val="0"/>
      </w:numPr>
    </w:pPr>
  </w:style>
  <w:style w:type="paragraph" w:styleId="TOC4">
    <w:name w:val="toc 4"/>
    <w:basedOn w:val="TOCBase"/>
    <w:next w:val="Normal"/>
    <w:semiHidden/>
    <w:rsid w:val="00890A1E"/>
    <w:pPr>
      <w:tabs>
        <w:tab w:val="right" w:leader="dot" w:pos="9071"/>
      </w:tabs>
      <w:ind w:left="1701"/>
    </w:pPr>
  </w:style>
  <w:style w:type="paragraph" w:customStyle="1" w:styleId="ListAlpha">
    <w:name w:val="List Alpha"/>
    <w:basedOn w:val="List"/>
    <w:rsid w:val="00890A1E"/>
    <w:pPr>
      <w:numPr>
        <w:numId w:val="9"/>
      </w:numPr>
    </w:pPr>
  </w:style>
  <w:style w:type="paragraph" w:customStyle="1" w:styleId="ListAlpha2">
    <w:name w:val="List Alpha 2"/>
    <w:basedOn w:val="List2"/>
    <w:rsid w:val="00890A1E"/>
    <w:pPr>
      <w:numPr>
        <w:numId w:val="8"/>
      </w:numPr>
    </w:pPr>
  </w:style>
  <w:style w:type="paragraph" w:styleId="List2">
    <w:name w:val="List 2"/>
    <w:basedOn w:val="BodyText"/>
    <w:rsid w:val="00890A1E"/>
    <w:pPr>
      <w:tabs>
        <w:tab w:val="left" w:pos="680"/>
      </w:tabs>
      <w:spacing w:before="60" w:after="60"/>
      <w:ind w:left="680" w:hanging="340"/>
    </w:pPr>
  </w:style>
  <w:style w:type="paragraph" w:styleId="List3">
    <w:name w:val="List 3"/>
    <w:basedOn w:val="BodyText"/>
    <w:rsid w:val="00890A1E"/>
    <w:pPr>
      <w:tabs>
        <w:tab w:val="left" w:pos="1021"/>
      </w:tabs>
      <w:spacing w:before="60" w:after="60"/>
      <w:ind w:left="1020" w:hanging="340"/>
    </w:pPr>
  </w:style>
  <w:style w:type="paragraph" w:styleId="List4">
    <w:name w:val="List 4"/>
    <w:basedOn w:val="BodyText"/>
    <w:rsid w:val="00890A1E"/>
    <w:pPr>
      <w:tabs>
        <w:tab w:val="left" w:pos="1361"/>
      </w:tabs>
      <w:spacing w:before="60" w:after="60"/>
      <w:ind w:left="1361" w:hanging="340"/>
    </w:pPr>
  </w:style>
  <w:style w:type="paragraph" w:styleId="List5">
    <w:name w:val="List 5"/>
    <w:basedOn w:val="BodyText"/>
    <w:rsid w:val="00890A1E"/>
    <w:pPr>
      <w:tabs>
        <w:tab w:val="left" w:pos="1701"/>
      </w:tabs>
      <w:spacing w:before="60" w:after="60"/>
      <w:ind w:left="1701" w:hanging="340"/>
    </w:pPr>
  </w:style>
  <w:style w:type="paragraph" w:styleId="ListBullet3">
    <w:name w:val="List Bullet 3"/>
    <w:basedOn w:val="List3"/>
    <w:rsid w:val="00890A1E"/>
    <w:pPr>
      <w:numPr>
        <w:numId w:val="14"/>
      </w:numPr>
      <w:tabs>
        <w:tab w:val="clear" w:pos="1021"/>
      </w:tabs>
      <w:ind w:left="1037" w:hanging="357"/>
    </w:pPr>
  </w:style>
  <w:style w:type="paragraph" w:styleId="ListBullet4">
    <w:name w:val="List Bullet 4"/>
    <w:basedOn w:val="List4"/>
    <w:rsid w:val="00890A1E"/>
    <w:pPr>
      <w:numPr>
        <w:numId w:val="3"/>
      </w:numPr>
      <w:tabs>
        <w:tab w:val="clear" w:pos="1361"/>
      </w:tabs>
    </w:pPr>
  </w:style>
  <w:style w:type="paragraph" w:styleId="ListBullet5">
    <w:name w:val="List Bullet 5"/>
    <w:basedOn w:val="List5"/>
    <w:rsid w:val="00890A1E"/>
    <w:pPr>
      <w:numPr>
        <w:numId w:val="4"/>
      </w:numPr>
    </w:pPr>
  </w:style>
  <w:style w:type="paragraph" w:styleId="ListContinue2">
    <w:name w:val="List Continue 2"/>
    <w:basedOn w:val="List2"/>
    <w:rsid w:val="00890A1E"/>
    <w:pPr>
      <w:ind w:firstLine="0"/>
    </w:pPr>
  </w:style>
  <w:style w:type="paragraph" w:styleId="ListContinue3">
    <w:name w:val="List Continue 3"/>
    <w:basedOn w:val="List3"/>
    <w:rsid w:val="00890A1E"/>
    <w:pPr>
      <w:ind w:left="1021" w:firstLine="0"/>
    </w:pPr>
  </w:style>
  <w:style w:type="paragraph" w:styleId="ListContinue4">
    <w:name w:val="List Continue 4"/>
    <w:basedOn w:val="List4"/>
    <w:rsid w:val="00890A1E"/>
    <w:pPr>
      <w:ind w:firstLine="0"/>
    </w:pPr>
  </w:style>
  <w:style w:type="paragraph" w:styleId="ListContinue5">
    <w:name w:val="List Continue 5"/>
    <w:basedOn w:val="List5"/>
    <w:rsid w:val="00890A1E"/>
    <w:pPr>
      <w:ind w:firstLine="0"/>
    </w:pPr>
  </w:style>
  <w:style w:type="paragraph" w:styleId="ListNumber3">
    <w:name w:val="List Number 3"/>
    <w:basedOn w:val="List3"/>
    <w:rsid w:val="00890A1E"/>
    <w:pPr>
      <w:numPr>
        <w:numId w:val="5"/>
      </w:numPr>
    </w:pPr>
  </w:style>
  <w:style w:type="paragraph" w:styleId="ListNumber4">
    <w:name w:val="List Number 4"/>
    <w:basedOn w:val="List4"/>
    <w:rsid w:val="00890A1E"/>
    <w:pPr>
      <w:numPr>
        <w:numId w:val="6"/>
      </w:numPr>
    </w:pPr>
  </w:style>
  <w:style w:type="paragraph" w:styleId="ListNumber5">
    <w:name w:val="List Number 5"/>
    <w:basedOn w:val="List5"/>
    <w:rsid w:val="00890A1E"/>
    <w:pPr>
      <w:numPr>
        <w:numId w:val="7"/>
      </w:numPr>
    </w:pPr>
  </w:style>
  <w:style w:type="paragraph" w:styleId="BlockText">
    <w:name w:val="Block Text"/>
    <w:basedOn w:val="Normal"/>
    <w:rsid w:val="00890A1E"/>
    <w:pPr>
      <w:spacing w:after="120"/>
      <w:ind w:left="1440" w:right="1440"/>
    </w:pPr>
  </w:style>
  <w:style w:type="character" w:customStyle="1" w:styleId="Subscript">
    <w:name w:val="Subscript"/>
    <w:basedOn w:val="DefaultParagraphFont"/>
    <w:rsid w:val="00890A1E"/>
    <w:rPr>
      <w:sz w:val="16"/>
      <w:vertAlign w:val="subscript"/>
    </w:rPr>
  </w:style>
  <w:style w:type="character" w:customStyle="1" w:styleId="Superscript">
    <w:name w:val="Superscript"/>
    <w:basedOn w:val="DefaultParagraphFont"/>
    <w:rsid w:val="00890A1E"/>
    <w:rPr>
      <w:sz w:val="16"/>
      <w:vertAlign w:val="superscript"/>
    </w:rPr>
  </w:style>
  <w:style w:type="character" w:customStyle="1" w:styleId="Symbols">
    <w:name w:val="Symbols"/>
    <w:basedOn w:val="DefaultParagraphFont"/>
    <w:rsid w:val="00890A1E"/>
    <w:rPr>
      <w:rFonts w:ascii="Symbol" w:hAnsi="Symbol"/>
    </w:rPr>
  </w:style>
  <w:style w:type="character" w:customStyle="1" w:styleId="MenuOptions">
    <w:name w:val="Menu Options"/>
    <w:basedOn w:val="DefaultParagraphFont"/>
    <w:rsid w:val="00890A1E"/>
    <w:rPr>
      <w:rFonts w:ascii="Arial Narrow" w:hAnsi="Arial Narrow"/>
      <w:smallCaps/>
    </w:rPr>
  </w:style>
  <w:style w:type="character" w:customStyle="1" w:styleId="Buttons">
    <w:name w:val="Buttons"/>
    <w:basedOn w:val="DefaultParagraphFont"/>
    <w:rsid w:val="00890A1E"/>
    <w:rPr>
      <w:b/>
    </w:rPr>
  </w:style>
  <w:style w:type="character" w:customStyle="1" w:styleId="Underlined">
    <w:name w:val="Underlined"/>
    <w:basedOn w:val="DefaultParagraphFont"/>
    <w:rsid w:val="00890A1E"/>
    <w:rPr>
      <w:u w:val="single"/>
    </w:rPr>
  </w:style>
  <w:style w:type="paragraph" w:customStyle="1" w:styleId="TableBodyTextRight">
    <w:name w:val="Table Body Text Right"/>
    <w:basedOn w:val="TableBodyText"/>
    <w:rsid w:val="00890A1E"/>
    <w:pPr>
      <w:widowControl w:val="0"/>
      <w:autoSpaceDE w:val="0"/>
      <w:autoSpaceDN w:val="0"/>
      <w:adjustRightInd w:val="0"/>
      <w:jc w:val="right"/>
    </w:pPr>
    <w:rPr>
      <w:rFonts w:cs="Arial"/>
      <w:szCs w:val="18"/>
    </w:rPr>
  </w:style>
  <w:style w:type="paragraph" w:customStyle="1" w:styleId="CopyrightText">
    <w:name w:val="Copyright Text"/>
    <w:basedOn w:val="BodyText"/>
    <w:rsid w:val="00890A1E"/>
    <w:rPr>
      <w:sz w:val="18"/>
    </w:rPr>
  </w:style>
  <w:style w:type="paragraph" w:customStyle="1" w:styleId="BodySmallRight">
    <w:name w:val="Body Small Right"/>
    <w:basedOn w:val="BodyTextRight"/>
    <w:rsid w:val="00890A1E"/>
    <w:rPr>
      <w:sz w:val="18"/>
      <w:szCs w:val="18"/>
    </w:rPr>
  </w:style>
  <w:style w:type="paragraph" w:customStyle="1" w:styleId="MarginEdition">
    <w:name w:val="Margin Edition"/>
    <w:basedOn w:val="MarginNote"/>
    <w:rsid w:val="00890A1E"/>
    <w:pPr>
      <w:spacing w:before="0" w:after="0"/>
    </w:pPr>
    <w:rPr>
      <w:rFonts w:ascii="Times New Roman" w:hAnsi="Times New Roman"/>
      <w:color w:val="999999"/>
    </w:rPr>
  </w:style>
  <w:style w:type="paragraph" w:customStyle="1" w:styleId="Spacer">
    <w:name w:val="Spacer"/>
    <w:basedOn w:val="Normal"/>
    <w:rsid w:val="00890A1E"/>
    <w:rPr>
      <w:sz w:val="2"/>
      <w:szCs w:val="2"/>
    </w:rPr>
  </w:style>
  <w:style w:type="character" w:customStyle="1" w:styleId="Small">
    <w:name w:val="Small"/>
    <w:basedOn w:val="DefaultParagraphFont"/>
    <w:rsid w:val="00890A1E"/>
    <w:rPr>
      <w:sz w:val="16"/>
    </w:rPr>
  </w:style>
  <w:style w:type="paragraph" w:customStyle="1" w:styleId="WideTable">
    <w:name w:val="Wide Table"/>
    <w:basedOn w:val="Normal"/>
    <w:rsid w:val="00890A1E"/>
    <w:pPr>
      <w:ind w:left="-1418"/>
    </w:pPr>
    <w:rPr>
      <w:sz w:val="2"/>
      <w:szCs w:val="2"/>
    </w:rPr>
  </w:style>
  <w:style w:type="character" w:styleId="PageNumber">
    <w:name w:val="page number"/>
    <w:basedOn w:val="DefaultParagraphFont"/>
    <w:rsid w:val="00890A1E"/>
  </w:style>
  <w:style w:type="paragraph" w:styleId="Quote">
    <w:name w:val="Quote"/>
    <w:basedOn w:val="Heading1"/>
    <w:link w:val="QuoteChar"/>
    <w:qFormat/>
    <w:rsid w:val="00890A1E"/>
    <w:rPr>
      <w:b w:val="0"/>
      <w:sz w:val="72"/>
      <w:szCs w:val="72"/>
      <w:lang w:val="en-NZ"/>
    </w:rPr>
  </w:style>
  <w:style w:type="character" w:customStyle="1" w:styleId="QuoteChar">
    <w:name w:val="Quote Char"/>
    <w:basedOn w:val="DefaultParagraphFont"/>
    <w:link w:val="Quote"/>
    <w:rsid w:val="00890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A1E"/>
    <w:pPr>
      <w:pageBreakBefore/>
    </w:pPr>
  </w:style>
  <w:style w:type="paragraph" w:customStyle="1" w:styleId="Border">
    <w:name w:val="Border"/>
    <w:basedOn w:val="Normal"/>
    <w:qFormat/>
    <w:rsid w:val="00890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A1E"/>
    <w:rPr>
      <w:b/>
      <w:bCs/>
      <w:i/>
      <w:iCs/>
      <w:color w:val="auto"/>
    </w:rPr>
  </w:style>
  <w:style w:type="paragraph" w:styleId="IntenseQuote">
    <w:name w:val="Intense Quote"/>
    <w:basedOn w:val="Normal"/>
    <w:next w:val="Normal"/>
    <w:link w:val="IntenseQuoteChar"/>
    <w:uiPriority w:val="30"/>
    <w:qFormat/>
    <w:rsid w:val="00890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A1E"/>
    <w:rPr>
      <w:smallCaps/>
      <w:color w:val="auto"/>
      <w:u w:val="single"/>
    </w:rPr>
  </w:style>
  <w:style w:type="character" w:styleId="IntenseReference">
    <w:name w:val="Intense Reference"/>
    <w:basedOn w:val="DefaultParagraphFont"/>
    <w:uiPriority w:val="32"/>
    <w:qFormat/>
    <w:rsid w:val="00890A1E"/>
    <w:rPr>
      <w:b/>
      <w:bCs/>
      <w:smallCaps/>
      <w:color w:val="auto"/>
      <w:spacing w:val="5"/>
      <w:u w:val="single"/>
    </w:rPr>
  </w:style>
  <w:style w:type="paragraph" w:customStyle="1" w:styleId="2ColumnHeading">
    <w:name w:val="2Column Heading"/>
    <w:basedOn w:val="BodyText"/>
    <w:qFormat/>
    <w:rsid w:val="00890A1E"/>
    <w:pPr>
      <w:spacing w:after="60"/>
      <w:ind w:left="-2268"/>
    </w:pPr>
    <w:rPr>
      <w:b/>
    </w:rPr>
  </w:style>
  <w:style w:type="paragraph" w:customStyle="1" w:styleId="Heading1TOC">
    <w:name w:val="Heading1 TOC"/>
    <w:basedOn w:val="Normal"/>
    <w:qFormat/>
    <w:rsid w:val="00890A1E"/>
    <w:pPr>
      <w:spacing w:before="240" w:after="120"/>
    </w:pPr>
    <w:rPr>
      <w:rFonts w:ascii="Times New Roman" w:hAnsi="Times New Roman"/>
      <w:b/>
      <w:sz w:val="32"/>
    </w:rPr>
  </w:style>
  <w:style w:type="paragraph" w:customStyle="1" w:styleId="Heading2TOC">
    <w:name w:val="Heading2 TOC"/>
    <w:basedOn w:val="Normal"/>
    <w:qFormat/>
    <w:rsid w:val="00890A1E"/>
    <w:pPr>
      <w:spacing w:before="240" w:after="60"/>
    </w:pPr>
    <w:rPr>
      <w:rFonts w:ascii="Times New Roman" w:hAnsi="Times New Roman"/>
      <w:b/>
      <w:sz w:val="28"/>
    </w:rPr>
  </w:style>
  <w:style w:type="character" w:customStyle="1" w:styleId="Underline">
    <w:name w:val="Underline"/>
    <w:basedOn w:val="DefaultParagraphFont"/>
    <w:qFormat/>
    <w:rsid w:val="00890A1E"/>
    <w:rPr>
      <w:u w:val="single"/>
    </w:rPr>
  </w:style>
  <w:style w:type="character" w:customStyle="1" w:styleId="BoldandItalics">
    <w:name w:val="Bold and Italics"/>
    <w:qFormat/>
    <w:rsid w:val="00890A1E"/>
    <w:rPr>
      <w:b/>
      <w:i/>
      <w:u w:val="none"/>
    </w:rPr>
  </w:style>
  <w:style w:type="paragraph" w:styleId="BalloonText">
    <w:name w:val="Balloon Text"/>
    <w:basedOn w:val="Normal"/>
    <w:link w:val="BalloonTextChar"/>
    <w:rsid w:val="00890A1E"/>
    <w:rPr>
      <w:rFonts w:ascii="Tahoma" w:hAnsi="Tahoma" w:cs="Tahoma"/>
      <w:sz w:val="16"/>
      <w:szCs w:val="16"/>
    </w:rPr>
  </w:style>
  <w:style w:type="character" w:customStyle="1" w:styleId="BalloonTextChar">
    <w:name w:val="Balloon Text Char"/>
    <w:basedOn w:val="DefaultParagraphFont"/>
    <w:link w:val="BalloonText"/>
    <w:rsid w:val="00890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A1E"/>
    <w:rPr>
      <w:b/>
      <w:color w:val="660033"/>
      <w:spacing w:val="0"/>
    </w:rPr>
  </w:style>
  <w:style w:type="paragraph" w:customStyle="1" w:styleId="Nameditemlist">
    <w:name w:val="Named item list"/>
    <w:basedOn w:val="BodyText"/>
    <w:qFormat/>
    <w:rsid w:val="00890A1E"/>
    <w:pPr>
      <w:tabs>
        <w:tab w:val="left" w:pos="2835"/>
      </w:tabs>
      <w:ind w:left="2835" w:hanging="2835"/>
    </w:pPr>
  </w:style>
  <w:style w:type="paragraph" w:customStyle="1" w:styleId="BodyTextnopadding">
    <w:name w:val="Body Text no padding"/>
    <w:basedOn w:val="BodyText"/>
    <w:qFormat/>
    <w:rsid w:val="00890A1E"/>
    <w:pPr>
      <w:spacing w:before="0" w:after="0"/>
    </w:pPr>
  </w:style>
  <w:style w:type="paragraph" w:customStyle="1" w:styleId="BodyTextBold">
    <w:name w:val="Body Text Bold"/>
    <w:basedOn w:val="BodyText"/>
    <w:qFormat/>
    <w:rsid w:val="00890A1E"/>
    <w:rPr>
      <w:b/>
    </w:rPr>
  </w:style>
  <w:style w:type="character" w:styleId="Hyperlink">
    <w:name w:val="Hyperlink"/>
    <w:basedOn w:val="DefaultParagraphFont"/>
    <w:uiPriority w:val="99"/>
    <w:unhideWhenUsed/>
    <w:rsid w:val="00046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7079</Characters>
  <Application>Microsoft Office Word</Application>
  <DocSecurity>0</DocSecurity>
  <Lines>252</Lines>
  <Paragraphs>149</Paragraphs>
  <ScaleCrop>false</ScaleCrop>
  <Company>Author-it Software Corporation Ltd.</Company>
  <LinksUpToDate>false</LinksUpToDate>
  <CharactersWithSpaces>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MARI003 Comply with regulations to ensure safe operation of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