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8BD" w:rsidP="006C28BD">
      <w:pPr>
        <w:pStyle w:val="Title"/>
      </w:pPr>
      <w:r>
        <w:fldChar w:fldCharType="begin"/>
      </w:r>
      <w:r>
        <w:instrText xml:space="preserve"> TITLE   \* MERGEFORMAT </w:instrText>
      </w:r>
      <w:r>
        <w:fldChar w:fldCharType="separate"/>
      </w:r>
      <w:r>
        <w:t>Assessment Requirements for MARH032 Conduct advanced Autonomous Underwater Vehicles (AUV) operations</w:t>
      </w:r>
      <w:r>
        <w:fldChar w:fldCharType="end"/>
      </w:r>
    </w:p>
    <w:p w:rsidR="006C28BD" w:rsidP="006C28BD">
      <w:pPr>
        <w:pStyle w:val="Version"/>
        <w:sectPr w:rsidSect="00AD56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6E0" w:rsidP="00AD56E0">
      <w:pPr>
        <w:pStyle w:val="SuperHeading"/>
      </w:pPr>
      <w:r w:rsidRPr="00AD56E0">
        <w:t>Assessment Requirements for MARH032 Conduct advanced Autonomous Underwater Vehicles (AUV) operations</w:t>
      </w:r>
    </w:p>
    <w:p w:rsidR="00000000" w:rsidRPr="00AD56E0" w:rsidP="00AD56E0">
      <w:pPr>
        <w:pStyle w:val="Heading1"/>
      </w:pPr>
      <w:bookmarkStart w:id="1" w:name="O_1256215"/>
      <w:bookmarkEnd w:id="1"/>
      <w:r w:rsidRPr="00AD56E0">
        <w:t>Modification History</w:t>
      </w:r>
    </w:p>
    <w:tbl>
      <w:tblPr>
        <w:tblW w:w="9497" w:type="dxa"/>
        <w:tblLayout w:type="fixed"/>
        <w:tblCellMar>
          <w:left w:w="62" w:type="dxa"/>
          <w:right w:w="62" w:type="dxa"/>
        </w:tblCellMar>
        <w:tblLook w:val="0000"/>
      </w:tblPr>
      <w:tblGrid>
        <w:gridCol w:w="9497"/>
      </w:tblGrid>
      <w:tr w:rsidTr="00AD5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6E0" w:rsidP="00AD56E0">
            <w:pPr>
              <w:pStyle w:val="BodyText"/>
            </w:pPr>
            <w:r w:rsidRPr="00AD56E0">
              <w:rPr>
                <w:rStyle w:val="SpecialBold"/>
              </w:rPr>
              <w:t>Release 1.</w:t>
            </w:r>
            <w:r w:rsidRPr="00AD56E0">
              <w:t xml:space="preserve"> This is the first release of this unit of competency in the MAR Maritime Training Package.</w:t>
            </w:r>
          </w:p>
        </w:tc>
      </w:tr>
    </w:tbl>
    <w:p w:rsidR="00000000" w:rsidRPr="00AD56E0" w:rsidP="00AD56E0">
      <w:pPr>
        <w:pStyle w:val="NoPaddingFontSize1"/>
      </w:pPr>
    </w:p>
    <w:p w:rsidR="00000000" w:rsidRPr="00AD56E0" w:rsidP="00AD56E0">
      <w:pPr>
        <w:pStyle w:val="AllowPageBreak"/>
      </w:pPr>
    </w:p>
    <w:p w:rsidR="00000000" w:rsidRPr="00AD56E0" w:rsidP="00AD56E0">
      <w:pPr>
        <w:pStyle w:val="Heading1"/>
      </w:pPr>
      <w:bookmarkStart w:id="2" w:name="O_1256216"/>
      <w:bookmarkEnd w:id="2"/>
      <w:r w:rsidRPr="00AD56E0">
        <w:t>Performance Evidence</w:t>
      </w:r>
    </w:p>
    <w:tbl>
      <w:tblPr>
        <w:tblW w:w="9497" w:type="dxa"/>
        <w:tblLayout w:type="fixed"/>
        <w:tblCellMar>
          <w:left w:w="62" w:type="dxa"/>
          <w:right w:w="62" w:type="dxa"/>
        </w:tblCellMar>
        <w:tblLook w:val="0000"/>
      </w:tblPr>
      <w:tblGrid>
        <w:gridCol w:w="9497"/>
      </w:tblGrid>
      <w:tr w:rsidTr="00AD5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56E0">
            <w:pPr>
              <w:pStyle w:val="BodyText"/>
              <w:rPr>
                <w:lang w:val="en-NZ"/>
              </w:rPr>
            </w:pPr>
            <w:r w:rsidRPr="00AD56E0">
              <w:t xml:space="preserve">Evidence required to demonstrate competence in this unit must be relevant to and satisfy all of the requirements of the elements and performance criteria and include: </w:t>
            </w:r>
          </w:p>
        </w:tc>
      </w:tr>
      <w:tr w:rsidTr="00AD5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6E0" w:rsidP="00AD56E0">
            <w:pPr>
              <w:pStyle w:val="ListBullet"/>
            </w:pPr>
            <w:r w:rsidRPr="00AD56E0">
              <w:t xml:space="preserve">analysing numerical and graphical Autonomous Underwater </w:t>
            </w:r>
            <w:r w:rsidRPr="00AD56E0">
              <w:t>Vehicles (AUV) engineering and sensor data to assess performance against AUV benchmarks</w:t>
            </w:r>
          </w:p>
          <w:p w:rsidR="00000000" w:rsidRPr="00AD56E0" w:rsidP="00AD56E0">
            <w:pPr>
              <w:pStyle w:val="ListBullet"/>
            </w:pPr>
            <w:r w:rsidRPr="00AD56E0">
              <w:t xml:space="preserve">conducting an advanced AUV search and rescue operation with homing and a remotely operated vehicle </w:t>
            </w:r>
          </w:p>
          <w:p w:rsidR="00000000" w:rsidRPr="00AD56E0" w:rsidP="00AD56E0">
            <w:pPr>
              <w:pStyle w:val="ListBullet"/>
            </w:pPr>
            <w:r w:rsidRPr="00AD56E0">
              <w:t xml:space="preserve">conducting 10 AUV missions in Near Coastal (NC) waters, including a </w:t>
            </w:r>
            <w:r w:rsidRPr="00AD56E0">
              <w:t>minimum of:</w:t>
            </w:r>
          </w:p>
          <w:p w:rsidR="00000000" w:rsidRPr="00AD56E0" w:rsidP="00AD56E0">
            <w:pPr>
              <w:pStyle w:val="ListBullet2"/>
            </w:pPr>
            <w:r w:rsidRPr="00AD56E0">
              <w:t>one mission in a highly stratified marine environment</w:t>
            </w:r>
          </w:p>
          <w:p w:rsidR="00000000" w:rsidRPr="00AD56E0" w:rsidP="00AD56E0">
            <w:pPr>
              <w:pStyle w:val="ListBullet2"/>
            </w:pPr>
            <w:r w:rsidRPr="00AD56E0">
              <w:t>one mission in water depth greater than 100 meters</w:t>
            </w:r>
          </w:p>
          <w:p w:rsidR="00000000" w:rsidRPr="00AD56E0" w:rsidP="00AD56E0">
            <w:pPr>
              <w:pStyle w:val="ListBullet2"/>
            </w:pPr>
            <w:r w:rsidRPr="00AD56E0">
              <w:t>one mission that demonstrates inertial navigation system (INS) drift with doppler velocity logger (DVL) off</w:t>
            </w:r>
          </w:p>
          <w:p w:rsidR="00000000" w:rsidRPr="00AD56E0" w:rsidP="00AD56E0">
            <w:pPr>
              <w:pStyle w:val="ListBullet2"/>
            </w:pPr>
            <w:r w:rsidRPr="00AD56E0">
              <w:t>con</w:t>
            </w:r>
            <w:r w:rsidRPr="00AD56E0">
              <w:t>secutive AUV missions that build upon collected knowledge to improve a bathymetry survey</w:t>
            </w:r>
          </w:p>
          <w:p w:rsidR="00000000" w:rsidRPr="00AD56E0" w:rsidP="00AD56E0">
            <w:pPr>
              <w:pStyle w:val="ListBullet2"/>
            </w:pPr>
            <w:r w:rsidRPr="00AD56E0">
              <w:t>conducting consecutive AUV missions to collect and analyse vehicle engineering performance data</w:t>
            </w:r>
          </w:p>
          <w:p w:rsidR="00000000" w:rsidRPr="00AD56E0" w:rsidP="00AD56E0">
            <w:pPr>
              <w:pStyle w:val="ListBullet2"/>
            </w:pPr>
            <w:r w:rsidRPr="00AD56E0">
              <w:t>completing an AUV logbook for 10 missions</w:t>
            </w:r>
          </w:p>
          <w:p w:rsidR="00000000" w:rsidRPr="00AD56E0" w:rsidP="00AD56E0">
            <w:pPr>
              <w:pStyle w:val="ListBullet"/>
            </w:pPr>
            <w:r w:rsidRPr="00AD56E0">
              <w:t>producing and executing data</w:t>
            </w:r>
            <w:r w:rsidRPr="00AD56E0">
              <w:t xml:space="preserve"> workflow according to operational procedures</w:t>
            </w:r>
          </w:p>
          <w:p w:rsidR="00000000" w:rsidRPr="00AD56E0" w:rsidP="00AD56E0">
            <w:pPr>
              <w:pStyle w:val="ListBullet"/>
            </w:pPr>
            <w:r w:rsidRPr="00AD56E0">
              <w:t>producing a metadata record for one vehicle data parameter and one sensor data parameter.</w:t>
            </w:r>
          </w:p>
        </w:tc>
      </w:tr>
    </w:tbl>
    <w:p w:rsidR="00000000" w:rsidRPr="00AD56E0" w:rsidP="00AD56E0">
      <w:pPr>
        <w:pStyle w:val="NoPaddingFontSize1"/>
      </w:pPr>
    </w:p>
    <w:p w:rsidR="00000000" w:rsidRPr="00AD56E0" w:rsidP="00AD56E0">
      <w:pPr>
        <w:pStyle w:val="AllowPageBreak"/>
      </w:pPr>
    </w:p>
    <w:p w:rsidR="00000000" w:rsidRPr="00AD56E0" w:rsidP="00AD56E0">
      <w:pPr>
        <w:pStyle w:val="Heading1"/>
      </w:pPr>
      <w:bookmarkStart w:id="3" w:name="O_1256217"/>
      <w:bookmarkEnd w:id="3"/>
      <w:r w:rsidRPr="00AD56E0">
        <w:t>Knowledge Evidence</w:t>
      </w:r>
    </w:p>
    <w:tbl>
      <w:tblPr>
        <w:tblW w:w="9497" w:type="dxa"/>
        <w:tblLayout w:type="fixed"/>
        <w:tblCellMar>
          <w:left w:w="62" w:type="dxa"/>
          <w:right w:w="62" w:type="dxa"/>
        </w:tblCellMar>
        <w:tblLook w:val="0000"/>
      </w:tblPr>
      <w:tblGrid>
        <w:gridCol w:w="9497"/>
      </w:tblGrid>
      <w:tr w:rsidTr="00AD5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56E0">
            <w:pPr>
              <w:pStyle w:val="BodyText"/>
              <w:rPr>
                <w:lang w:val="en-NZ"/>
              </w:rPr>
            </w:pPr>
            <w:r w:rsidRPr="00AD56E0">
              <w:t xml:space="preserve">Evidence required to demonstrate competence in this unit must be relevant to and satisfy all of the requirements of the elements and performance criteria and include knowledge of: </w:t>
            </w:r>
          </w:p>
        </w:tc>
      </w:tr>
      <w:tr w:rsidTr="00AD5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6E0" w:rsidP="00AD56E0">
            <w:pPr>
              <w:pStyle w:val="ListBullet"/>
            </w:pPr>
            <w:r w:rsidRPr="00AD56E0">
              <w:t>acoustic communication. including:</w:t>
            </w:r>
          </w:p>
          <w:p w:rsidR="00000000" w:rsidRPr="00AD56E0" w:rsidP="00AD56E0">
            <w:pPr>
              <w:pStyle w:val="ListBullet2"/>
            </w:pPr>
            <w:r w:rsidRPr="00AD56E0">
              <w:t>amplitude-shift keying (ASK), frequen</w:t>
            </w:r>
            <w:r w:rsidRPr="00AD56E0">
              <w:t>cy-shift keying (FSK) and phase-shift keying (PSK) data transfer</w:t>
            </w:r>
          </w:p>
          <w:p w:rsidR="00000000" w:rsidRPr="00AD56E0" w:rsidP="00AD56E0">
            <w:pPr>
              <w:pStyle w:val="ListBullet2"/>
            </w:pPr>
            <w:r w:rsidRPr="00AD56E0">
              <w:t>decibels</w:t>
            </w:r>
          </w:p>
          <w:p w:rsidR="00000000" w:rsidRPr="00AD56E0" w:rsidP="00AD56E0">
            <w:pPr>
              <w:pStyle w:val="ListBullet2"/>
            </w:pPr>
            <w:r w:rsidRPr="00AD56E0">
              <w:t>frequency, wavelength and amplitude</w:t>
            </w:r>
          </w:p>
          <w:p w:rsidR="00000000" w:rsidRPr="00AD56E0" w:rsidP="00AD56E0">
            <w:pPr>
              <w:pStyle w:val="ListBullet2"/>
            </w:pPr>
            <w:r w:rsidRPr="00AD56E0">
              <w:t>power usage</w:t>
            </w:r>
          </w:p>
          <w:p w:rsidR="00000000" w:rsidRPr="00AD56E0" w:rsidP="00AD56E0">
            <w:pPr>
              <w:pStyle w:val="ListBullet2"/>
            </w:pPr>
            <w:r w:rsidRPr="00AD56E0">
              <w:t>speed of sound in air and water</w:t>
            </w:r>
          </w:p>
          <w:p w:rsidR="00000000" w:rsidRPr="00AD56E0" w:rsidP="00AD56E0">
            <w:pPr>
              <w:pStyle w:val="ListBullet2"/>
            </w:pPr>
            <w:r w:rsidRPr="00AD56E0">
              <w:t>the trade-off between range, bandwidth and frequency</w:t>
            </w:r>
          </w:p>
          <w:p w:rsidR="00000000" w:rsidRPr="00AD56E0" w:rsidP="00AD56E0">
            <w:pPr>
              <w:pStyle w:val="ListBullet2"/>
            </w:pPr>
            <w:r w:rsidRPr="00AD56E0">
              <w:t>wave speed</w:t>
            </w:r>
          </w:p>
          <w:p w:rsidR="00000000" w:rsidRPr="00AD56E0" w:rsidP="00AD56E0">
            <w:pPr>
              <w:pStyle w:val="ListBullet2"/>
            </w:pPr>
            <w:r w:rsidRPr="00AD56E0">
              <w:t>Pythagoras</w:t>
            </w:r>
            <w:r>
              <w:t>’</w:t>
            </w:r>
            <w:r w:rsidRPr="00AD56E0">
              <w:t xml:space="preserve"> theorem and fundamental trigonometry</w:t>
            </w:r>
          </w:p>
          <w:p w:rsidR="00000000" w:rsidRPr="00AD56E0" w:rsidP="00AD56E0">
            <w:pPr>
              <w:pStyle w:val="ListBullet"/>
            </w:pPr>
            <w:r w:rsidRPr="00AD56E0">
              <w:t>advanced AUV mission operations, including:</w:t>
            </w:r>
          </w:p>
          <w:p w:rsidR="00000000" w:rsidRPr="00AD56E0" w:rsidP="00AD56E0">
            <w:pPr>
              <w:pStyle w:val="ListBullet2"/>
            </w:pPr>
            <w:r w:rsidRPr="00AD56E0">
              <w:t>advanced target identification</w:t>
            </w:r>
          </w:p>
          <w:p w:rsidR="00000000" w:rsidRPr="00AD56E0" w:rsidP="00AD56E0">
            <w:pPr>
              <w:pStyle w:val="ListBullet2"/>
            </w:pPr>
            <w:r w:rsidRPr="00AD56E0">
              <w:t>bathymetry mission using sonar and bottom imaging</w:t>
            </w:r>
          </w:p>
          <w:p w:rsidR="00000000" w:rsidRPr="00AD56E0" w:rsidP="00AD56E0">
            <w:pPr>
              <w:pStyle w:val="ListBullet2"/>
            </w:pPr>
            <w:r w:rsidRPr="00AD56E0">
              <w:t>operating requirements when water depth is greater than 100 m</w:t>
            </w:r>
          </w:p>
          <w:p w:rsidR="00000000" w:rsidRPr="00AD56E0" w:rsidP="00AD56E0">
            <w:pPr>
              <w:pStyle w:val="ListBullet2"/>
            </w:pPr>
            <w:r w:rsidRPr="00AD56E0">
              <w:t>use of acoustic na</w:t>
            </w:r>
            <w:r w:rsidRPr="00AD56E0">
              <w:t>vigation with long baseline (LBL)</w:t>
            </w:r>
          </w:p>
          <w:p w:rsidR="00000000" w:rsidRPr="00AD56E0" w:rsidP="00AD56E0">
            <w:pPr>
              <w:pStyle w:val="ListBullet2"/>
            </w:pPr>
            <w:r w:rsidRPr="00AD56E0">
              <w:t>use of ballasting for a stratified water column</w:t>
            </w:r>
          </w:p>
          <w:p w:rsidR="00000000" w:rsidRPr="00AD56E0" w:rsidP="00AD56E0">
            <w:pPr>
              <w:pStyle w:val="ListBullet2"/>
            </w:pPr>
            <w:r w:rsidRPr="00AD56E0">
              <w:t>vertical and horizontal positioning</w:t>
            </w:r>
          </w:p>
          <w:p w:rsidR="00000000" w:rsidRPr="00AD56E0" w:rsidP="00AD56E0">
            <w:pPr>
              <w:pStyle w:val="ListBullet"/>
            </w:pPr>
            <w:r w:rsidRPr="00AD56E0">
              <w:t>AUV data management, including:</w:t>
            </w:r>
          </w:p>
          <w:p w:rsidR="00000000" w:rsidRPr="00AD56E0" w:rsidP="00AD56E0">
            <w:pPr>
              <w:pStyle w:val="ListBullet2"/>
            </w:pPr>
            <w:r w:rsidRPr="00AD56E0">
              <w:t>data redundancy</w:t>
            </w:r>
          </w:p>
          <w:p w:rsidR="00000000" w:rsidRPr="00AD56E0" w:rsidP="00AD56E0">
            <w:pPr>
              <w:pStyle w:val="ListBullet2"/>
            </w:pPr>
            <w:r w:rsidRPr="00AD56E0">
              <w:t>data security</w:t>
            </w:r>
          </w:p>
          <w:p w:rsidR="00000000" w:rsidRPr="00AD56E0" w:rsidP="00AD56E0">
            <w:pPr>
              <w:pStyle w:val="ListBullet2"/>
            </w:pPr>
            <w:r w:rsidRPr="00AD56E0">
              <w:t>data plan</w:t>
            </w:r>
          </w:p>
          <w:p w:rsidR="00000000" w:rsidRPr="00AD56E0" w:rsidP="00AD56E0">
            <w:pPr>
              <w:pStyle w:val="ListBullet2"/>
            </w:pPr>
            <w:r w:rsidRPr="00AD56E0">
              <w:t>data workflow</w:t>
            </w:r>
          </w:p>
          <w:p w:rsidR="00000000" w:rsidRPr="00AD56E0" w:rsidP="00AD56E0">
            <w:pPr>
              <w:pStyle w:val="ListBullet2"/>
            </w:pPr>
            <w:r w:rsidRPr="00AD56E0">
              <w:t>fundamental units of data</w:t>
            </w:r>
          </w:p>
          <w:p w:rsidR="00000000" w:rsidRPr="00AD56E0" w:rsidP="00AD56E0">
            <w:pPr>
              <w:pStyle w:val="ListBullet2"/>
            </w:pPr>
            <w:r w:rsidRPr="00AD56E0">
              <w:t>metadata</w:t>
            </w:r>
          </w:p>
          <w:p w:rsidR="00000000" w:rsidRPr="00AD56E0" w:rsidP="00AD56E0">
            <w:pPr>
              <w:pStyle w:val="ListBullet2"/>
            </w:pPr>
            <w:r>
              <w:t>‘</w:t>
            </w:r>
            <w:r w:rsidRPr="00AD56E0">
              <w:t>raw</w:t>
            </w:r>
            <w:r>
              <w:t>’</w:t>
            </w:r>
            <w:r w:rsidRPr="00AD56E0">
              <w:t xml:space="preserve"> and </w:t>
            </w:r>
            <w:r>
              <w:t>‘</w:t>
            </w:r>
            <w:r w:rsidRPr="00AD56E0">
              <w:t>working</w:t>
            </w:r>
            <w:r>
              <w:t>’</w:t>
            </w:r>
            <w:r w:rsidRPr="00AD56E0">
              <w:t xml:space="preserve"> data </w:t>
            </w:r>
          </w:p>
          <w:p w:rsidR="00000000" w:rsidRPr="00AD56E0" w:rsidP="00AD56E0">
            <w:pPr>
              <w:pStyle w:val="ListBullet"/>
            </w:pPr>
            <w:r w:rsidRPr="00AD56E0">
              <w:t>AUV performance benchmarks, including:</w:t>
            </w:r>
          </w:p>
          <w:p w:rsidR="00000000" w:rsidRPr="00AD56E0" w:rsidP="00AD56E0">
            <w:pPr>
              <w:pStyle w:val="ListBullet2"/>
            </w:pPr>
            <w:r w:rsidRPr="00AD56E0">
              <w:t>acoustic doppler current profilers (ADCP) rejection rate</w:t>
            </w:r>
          </w:p>
          <w:p w:rsidR="00000000" w:rsidRPr="00AD56E0" w:rsidP="00AD56E0">
            <w:pPr>
              <w:pStyle w:val="ListBullet2"/>
            </w:pPr>
            <w:r w:rsidRPr="00AD56E0">
              <w:t>INS horizontal error</w:t>
            </w:r>
          </w:p>
          <w:p w:rsidR="00000000" w:rsidRPr="00AD56E0" w:rsidP="00AD56E0">
            <w:pPr>
              <w:pStyle w:val="ListBullet2"/>
            </w:pPr>
            <w:r w:rsidRPr="00AD56E0">
              <w:t>maximum climb angle</w:t>
            </w:r>
          </w:p>
          <w:p w:rsidR="00000000" w:rsidRPr="00AD56E0" w:rsidP="00AD56E0">
            <w:pPr>
              <w:pStyle w:val="ListBullet2"/>
            </w:pPr>
            <w:r w:rsidRPr="00AD56E0">
              <w:t xml:space="preserve">maximum dive angle </w:t>
            </w:r>
          </w:p>
          <w:p w:rsidR="00000000" w:rsidRPr="00AD56E0" w:rsidP="00AD56E0">
            <w:pPr>
              <w:pStyle w:val="ListBullet2"/>
            </w:pPr>
            <w:r w:rsidRPr="00AD56E0">
              <w:t>maximum revolutions per minute (RPM) and speed</w:t>
            </w:r>
          </w:p>
          <w:p w:rsidR="00000000" w:rsidRPr="00AD56E0" w:rsidP="00AD56E0">
            <w:pPr>
              <w:pStyle w:val="ListBullet2"/>
            </w:pPr>
            <w:r w:rsidRPr="00AD56E0">
              <w:t>minimum turn radius</w:t>
            </w:r>
          </w:p>
          <w:p w:rsidR="00000000" w:rsidRPr="00AD56E0" w:rsidP="00AD56E0">
            <w:pPr>
              <w:pStyle w:val="ListBullet2"/>
            </w:pPr>
            <w:r w:rsidRPr="00AD56E0">
              <w:t>position error</w:t>
            </w:r>
          </w:p>
          <w:p w:rsidR="00000000" w:rsidRPr="00AD56E0" w:rsidP="00AD56E0">
            <w:pPr>
              <w:pStyle w:val="ListBullet"/>
            </w:pPr>
            <w:r w:rsidRPr="00AD56E0">
              <w:t>environmental ocean dynamics and operational risks when conducting AUV operations, including:</w:t>
            </w:r>
          </w:p>
          <w:p w:rsidR="00000000" w:rsidRPr="00AD56E0" w:rsidP="00AD56E0">
            <w:pPr>
              <w:pStyle w:val="ListBullet2"/>
            </w:pPr>
            <w:r w:rsidRPr="00AD56E0">
              <w:t>coriolis, ekman transport and wind stress curl</w:t>
            </w:r>
          </w:p>
          <w:p w:rsidR="00000000" w:rsidRPr="00AD56E0" w:rsidP="00AD56E0">
            <w:pPr>
              <w:pStyle w:val="ListBullet2"/>
            </w:pPr>
            <w:r w:rsidRPr="00AD56E0">
              <w:t>estuary dynamics</w:t>
            </w:r>
          </w:p>
          <w:p w:rsidR="00000000" w:rsidRPr="00AD56E0" w:rsidP="00AD56E0">
            <w:pPr>
              <w:pStyle w:val="ListBullet2"/>
            </w:pPr>
            <w:r w:rsidRPr="00AD56E0">
              <w:t>langmuir circulations</w:t>
            </w:r>
          </w:p>
          <w:p w:rsidR="00000000" w:rsidRPr="00AD56E0" w:rsidP="00AD56E0">
            <w:pPr>
              <w:pStyle w:val="ListBullet2"/>
            </w:pPr>
            <w:r w:rsidRPr="00AD56E0">
              <w:t>ocean currents and tides</w:t>
            </w:r>
          </w:p>
          <w:p w:rsidR="00000000" w:rsidRPr="00AD56E0" w:rsidP="00AD56E0">
            <w:pPr>
              <w:pStyle w:val="ListBullet2"/>
            </w:pPr>
            <w:r w:rsidRPr="00AD56E0">
              <w:t>turbulent and laminar flows</w:t>
            </w:r>
          </w:p>
          <w:p w:rsidR="00000000" w:rsidRPr="00AD56E0" w:rsidP="00AD56E0">
            <w:pPr>
              <w:pStyle w:val="ListBullet2"/>
            </w:pPr>
            <w:r w:rsidRPr="00AD56E0">
              <w:t>upwell</w:t>
            </w:r>
            <w:r w:rsidRPr="00AD56E0">
              <w:t>ing and downwelling associated with fronts</w:t>
            </w:r>
          </w:p>
          <w:p w:rsidR="00000000" w:rsidRPr="00AD56E0" w:rsidP="00AD56E0">
            <w:pPr>
              <w:pStyle w:val="ListBullet2"/>
            </w:pPr>
            <w:r w:rsidRPr="00AD56E0">
              <w:t>waves</w:t>
            </w:r>
          </w:p>
          <w:p w:rsidR="00000000" w:rsidRPr="00AD56E0" w:rsidP="00AD56E0">
            <w:pPr>
              <w:pStyle w:val="ListBullet"/>
            </w:pPr>
            <w:r w:rsidRPr="00AD56E0">
              <w:t>methods and techniques used to determine AUV performance against standard benchmarks, including:</w:t>
            </w:r>
          </w:p>
          <w:p w:rsidR="00000000" w:rsidRPr="00AD56E0" w:rsidP="00AD56E0">
            <w:pPr>
              <w:pStyle w:val="ListBullet3"/>
            </w:pPr>
            <w:r w:rsidRPr="00AD56E0">
              <w:t>process for identifying anomalies in AUV sensor data</w:t>
            </w:r>
          </w:p>
          <w:p w:rsidR="00000000" w:rsidRPr="00AD56E0" w:rsidP="00AD56E0">
            <w:pPr>
              <w:pStyle w:val="ListBullet3"/>
            </w:pPr>
            <w:r w:rsidRPr="00AD56E0">
              <w:t>quality of AUV sensor data</w:t>
            </w:r>
          </w:p>
          <w:p w:rsidR="00000000" w:rsidRPr="00AD56E0" w:rsidP="00AD56E0">
            <w:pPr>
              <w:pStyle w:val="ListBullet3"/>
            </w:pPr>
            <w:r w:rsidRPr="00AD56E0">
              <w:t xml:space="preserve">vehicle performance analysis </w:t>
            </w:r>
          </w:p>
          <w:p w:rsidR="00000000" w:rsidRPr="00AD56E0" w:rsidP="00AD56E0">
            <w:pPr>
              <w:pStyle w:val="ListBullet"/>
            </w:pPr>
            <w:r w:rsidRPr="00AD56E0">
              <w:t>methods used to analyse data, including:</w:t>
            </w:r>
          </w:p>
          <w:p w:rsidR="00000000" w:rsidRPr="00AD56E0" w:rsidP="00AD56E0">
            <w:pPr>
              <w:pStyle w:val="ListBullet2"/>
            </w:pPr>
            <w:r w:rsidRPr="00AD56E0">
              <w:t>use of software packages</w:t>
            </w:r>
          </w:p>
          <w:p w:rsidR="00000000" w:rsidRPr="00AD56E0" w:rsidP="00AD56E0">
            <w:pPr>
              <w:pStyle w:val="ListBullet2"/>
            </w:pPr>
            <w:r w:rsidRPr="00AD56E0">
              <w:t>mean values, rates of change, turning points, minimum and maximum values</w:t>
            </w:r>
          </w:p>
          <w:p w:rsidR="00000000" w:rsidRPr="00AD56E0" w:rsidP="00AD56E0">
            <w:pPr>
              <w:pStyle w:val="ListBullet"/>
            </w:pPr>
            <w:r w:rsidRPr="00AD56E0">
              <w:t>operational data units and conversions, including:</w:t>
            </w:r>
          </w:p>
          <w:p w:rsidR="00000000" w:rsidRPr="00AD56E0" w:rsidP="00AD56E0">
            <w:pPr>
              <w:pStyle w:val="ListBullet2"/>
            </w:pPr>
            <w:r w:rsidRPr="00AD56E0">
              <w:t>distance in metres and nautical miles</w:t>
            </w:r>
          </w:p>
          <w:p w:rsidR="00000000" w:rsidRPr="00AD56E0" w:rsidP="00AD56E0">
            <w:pPr>
              <w:pStyle w:val="ListBullet2"/>
            </w:pPr>
            <w:r w:rsidRPr="00AD56E0">
              <w:t>speed in knots and metres per second</w:t>
            </w:r>
          </w:p>
          <w:p w:rsidR="00000000" w:rsidRPr="00AD56E0" w:rsidP="00AD56E0">
            <w:pPr>
              <w:pStyle w:val="ListBullet"/>
            </w:pPr>
            <w:r w:rsidRPr="00AD56E0">
              <w:t>process for conducting advanced search and rescue operations, including:</w:t>
            </w:r>
          </w:p>
          <w:p w:rsidR="00000000" w:rsidRPr="00AD56E0" w:rsidP="00AD56E0">
            <w:pPr>
              <w:pStyle w:val="ListBullet2"/>
            </w:pPr>
            <w:r w:rsidRPr="00AD56E0">
              <w:t>homing</w:t>
            </w:r>
          </w:p>
          <w:p w:rsidR="00000000" w:rsidRPr="00AD56E0" w:rsidP="00AD56E0">
            <w:pPr>
              <w:pStyle w:val="ListBullet2"/>
            </w:pPr>
            <w:r w:rsidRPr="00AD56E0">
              <w:t>remotely operated vehicle</w:t>
            </w:r>
          </w:p>
          <w:p w:rsidR="00000000" w:rsidRPr="00AD56E0" w:rsidP="00AD56E0">
            <w:pPr>
              <w:pStyle w:val="ListBullet"/>
            </w:pPr>
            <w:r w:rsidRPr="00AD56E0">
              <w:t>processes used to handle and store data, including:</w:t>
            </w:r>
          </w:p>
          <w:p w:rsidR="00000000" w:rsidRPr="00AD56E0" w:rsidP="00AD56E0">
            <w:pPr>
              <w:pStyle w:val="ListBullet2"/>
            </w:pPr>
            <w:r w:rsidRPr="00AD56E0">
              <w:t>completing AUV logb</w:t>
            </w:r>
            <w:r w:rsidRPr="00AD56E0">
              <w:t>ooks and metadata records</w:t>
            </w:r>
          </w:p>
          <w:p w:rsidR="00000000" w:rsidRPr="00AD56E0" w:rsidP="00AD56E0">
            <w:pPr>
              <w:pStyle w:val="ListBullet2"/>
            </w:pPr>
            <w:r w:rsidRPr="00AD56E0">
              <w:t>extraction and storage of AUV engineering data</w:t>
            </w:r>
          </w:p>
          <w:p w:rsidR="00000000" w:rsidRPr="00AD56E0" w:rsidP="00AD56E0">
            <w:pPr>
              <w:pStyle w:val="ListBullet2"/>
            </w:pPr>
            <w:r w:rsidRPr="00AD56E0">
              <w:t>extraction and storage of sensor payload</w:t>
            </w:r>
          </w:p>
          <w:p w:rsidR="00000000" w:rsidRPr="00AD56E0" w:rsidP="00AD56E0">
            <w:pPr>
              <w:pStyle w:val="ListBullet2"/>
            </w:pPr>
            <w:r w:rsidRPr="00AD56E0">
              <w:t>producing a data plan and data workflow.</w:t>
            </w:r>
          </w:p>
        </w:tc>
      </w:tr>
    </w:tbl>
    <w:p w:rsidR="00000000" w:rsidRPr="00AD56E0" w:rsidP="00AD56E0">
      <w:pPr>
        <w:pStyle w:val="NoPaddingFontSize1"/>
      </w:pPr>
    </w:p>
    <w:p w:rsidR="00000000" w:rsidRPr="00AD56E0" w:rsidP="00AD56E0">
      <w:pPr>
        <w:pStyle w:val="AllowPageBreak"/>
      </w:pPr>
    </w:p>
    <w:p w:rsidR="00000000" w:rsidRPr="00AD56E0" w:rsidP="00AD56E0">
      <w:pPr>
        <w:pStyle w:val="Heading1"/>
      </w:pPr>
      <w:bookmarkStart w:id="4" w:name="O_1256218"/>
      <w:bookmarkEnd w:id="4"/>
      <w:r w:rsidRPr="00AD56E0">
        <w:t>Assessment Conditions</w:t>
      </w:r>
    </w:p>
    <w:tbl>
      <w:tblPr>
        <w:tblW w:w="9497" w:type="dxa"/>
        <w:tblLayout w:type="fixed"/>
        <w:tblCellMar>
          <w:left w:w="62" w:type="dxa"/>
          <w:right w:w="62" w:type="dxa"/>
        </w:tblCellMar>
        <w:tblLook w:val="0000"/>
      </w:tblPr>
      <w:tblGrid>
        <w:gridCol w:w="9497"/>
      </w:tblGrid>
      <w:tr w:rsidTr="00AD5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56E0" w:rsidP="00AD56E0">
            <w:pPr>
              <w:pStyle w:val="BodyText"/>
            </w:pPr>
            <w:r w:rsidRPr="00AD56E0">
              <w:t>Assessor</w:t>
            </w:r>
            <w:r w:rsidRPr="00AD56E0">
              <w:t xml:space="preserve">s must hold credentials specified within the Standards for Registered Training Organisations current at the time of assessment. </w:t>
            </w:r>
          </w:p>
          <w:p w:rsidR="00000000" w:rsidRPr="00AD56E0" w:rsidP="00AD56E0">
            <w:pPr>
              <w:pStyle w:val="BodyText"/>
            </w:pPr>
            <w:r w:rsidRPr="00AD56E0">
              <w:t xml:space="preserve">Assessment must satisfy the Principles of Assessment and Rules of Evidence and all regulatory requirements included within the </w:t>
            </w:r>
            <w:r w:rsidRPr="00AD56E0">
              <w:t>Standards for Registered Training Organisations current at the time of assessment.</w:t>
            </w:r>
          </w:p>
          <w:p w:rsidR="00000000" w:rsidRPr="00AD56E0" w:rsidP="00AD56E0">
            <w:pPr>
              <w:pStyle w:val="BodyText"/>
            </w:pPr>
            <w:r w:rsidRPr="00AD56E0">
              <w:t>Assessment processes and techniques must be appropriate to the language, literacy and numeracy requirements of the work being performed and the needs of the candidate.</w:t>
            </w:r>
          </w:p>
          <w:p w:rsidR="00000000" w:rsidRPr="00AD56E0" w:rsidP="00AD56E0">
            <w:pPr>
              <w:pStyle w:val="BodyText"/>
            </w:pPr>
            <w:r w:rsidRPr="00AD56E0">
              <w:t>Asses</w:t>
            </w:r>
            <w:r w:rsidRPr="00AD56E0">
              <w:t xml:space="preserve">sment must occur in workplace operational situations, and where this is not appropriate, assessment must occur in simulated workplace operational situations that replicate workplace conditions.  </w:t>
            </w:r>
          </w:p>
          <w:p w:rsidR="00000000" w:rsidRPr="00AD56E0" w:rsidP="00AD56E0">
            <w:pPr>
              <w:pStyle w:val="BodyText"/>
            </w:pPr>
            <w:r w:rsidRPr="00AD56E0">
              <w:t>Simulated workplace may be used to augment real-world operat</w:t>
            </w:r>
            <w:r w:rsidRPr="00AD56E0">
              <w:t>ional situations and does not replace real-world operations in prescribed water conditions.</w:t>
            </w:r>
          </w:p>
          <w:p w:rsidR="00000000" w:rsidRPr="00AD56E0" w:rsidP="00AD56E0">
            <w:pPr>
              <w:pStyle w:val="BodyText"/>
            </w:pPr>
            <w:r w:rsidRPr="00AD56E0">
              <w:t>Resources for assessment must include access to:</w:t>
            </w:r>
          </w:p>
          <w:p w:rsidR="00000000" w:rsidRPr="00AD56E0" w:rsidP="00AD56E0">
            <w:pPr>
              <w:pStyle w:val="ListBullet"/>
            </w:pPr>
            <w:r w:rsidRPr="00AD56E0">
              <w:t>applicable documentation such as workplace procedures, regulations, codes of practice, operation manuals, manufact</w:t>
            </w:r>
            <w:r w:rsidRPr="00AD56E0">
              <w:t>urer instructions and procedures</w:t>
            </w:r>
          </w:p>
          <w:p w:rsidR="00000000" w:rsidRPr="00AD56E0" w:rsidP="00AD56E0">
            <w:pPr>
              <w:pStyle w:val="ListBullet"/>
            </w:pPr>
            <w:r w:rsidRPr="00AD56E0">
              <w:t>tools, equipment, machinery, materials and relevant personal protective equipment (PPE) currently used in industry, including:</w:t>
            </w:r>
          </w:p>
          <w:p w:rsidR="00000000" w:rsidRPr="00AD56E0" w:rsidP="00AD56E0">
            <w:pPr>
              <w:pStyle w:val="ListBullet2"/>
            </w:pPr>
            <w:r w:rsidRPr="00AD56E0">
              <w:t>AUV aligned with the required size and class that a seafarer will need to operate</w:t>
            </w:r>
          </w:p>
          <w:p w:rsidR="00000000" w:rsidRPr="00AD56E0" w:rsidP="00AD56E0">
            <w:pPr>
              <w:pStyle w:val="ListBullet2"/>
            </w:pPr>
            <w:r w:rsidRPr="00AD56E0">
              <w:t>AUV with minimum depth rating of 100 m and INS</w:t>
            </w:r>
          </w:p>
          <w:p w:rsidR="00000000" w:rsidRPr="00AD56E0" w:rsidP="00AD56E0">
            <w:pPr>
              <w:pStyle w:val="ListBullet2"/>
            </w:pPr>
            <w:r w:rsidRPr="00AD56E0">
              <w:t>water conditions consistent with mission requirements as outlined in this unit of competency and must include access to water in excess of 100 m, high energy tidal waters and permanently stratified waters.</w:t>
            </w:r>
          </w:p>
        </w:tc>
      </w:tr>
    </w:tbl>
    <w:p w:rsidR="00000000" w:rsidRPr="00AD56E0" w:rsidP="00AD56E0">
      <w:pPr>
        <w:pStyle w:val="NoPaddingFontSize1"/>
      </w:pPr>
    </w:p>
    <w:p w:rsidR="00000000" w:rsidRPr="00AD56E0" w:rsidP="00AD56E0">
      <w:pPr>
        <w:pStyle w:val="AllowPageBreak"/>
      </w:pPr>
    </w:p>
    <w:p w:rsidR="00000000" w:rsidRPr="00AD56E0" w:rsidP="00AD56E0">
      <w:pPr>
        <w:pStyle w:val="Heading1"/>
      </w:pPr>
      <w:bookmarkStart w:id="5" w:name="O_1256221"/>
      <w:bookmarkEnd w:id="5"/>
      <w:r w:rsidRPr="00AD56E0">
        <w:t>Links</w:t>
      </w:r>
    </w:p>
    <w:p w:rsidR="00000000" w:rsidRPr="00AD56E0" w:rsidP="006C28BD">
      <w:pPr>
        <w:pStyle w:val="BodyText"/>
      </w:pPr>
      <w:r w:rsidRPr="00AD56E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D668C">
        <w:rPr>
          <w:rStyle w:val="Hyperlink"/>
        </w:rPr>
        <w:t>https://vetnet.gov.au/Pages/TrainingDocs.aspx?q=772efb7b-4cce-47fe-9bbd-ee3b1d1eb4c2</w:t>
      </w:r>
      <w:r>
        <w:fldChar w:fldCharType="end"/>
      </w:r>
    </w:p>
    <w:p w:rsidR="00000000" w:rsidRPr="00AD56E0" w:rsidP="00AD56E0"/>
    <w:sectPr w:rsidSect="00AD56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E0" w:rsidRPr="006C28BD" w:rsidP="006C2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BD" w:rsidP="00AD5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28BD" w:rsidP="00AD56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C28BD" w:rsidP="00AD5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6E0" w:rsidRPr="006C28BD" w:rsidP="006C28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BD" w:rsidRPr="002D2AF8" w:rsidP="00AD56E0">
    <w:pPr>
      <w:pStyle w:val="Header"/>
      <w:framePr w:wrap="around"/>
    </w:pPr>
    <w:r>
      <w:fldChar w:fldCharType="begin"/>
    </w:r>
    <w:r>
      <w:instrText xml:space="preserve"> TITLE   \* MERGEFORMAT </w:instrText>
    </w:r>
    <w:r>
      <w:fldChar w:fldCharType="separate"/>
    </w:r>
    <w:r>
      <w:t>Assessment Requirements for MARH032 Conduct advanced Autonomous Underwater Vehicles (AUV)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C28BD" w:rsidP="00AD5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E1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D66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CF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6E0"/>
    <w:pPr>
      <w:spacing w:before="360" w:after="60"/>
      <w:outlineLvl w:val="0"/>
    </w:pPr>
    <w:rPr>
      <w:sz w:val="32"/>
    </w:rPr>
  </w:style>
  <w:style w:type="paragraph" w:styleId="Heading2">
    <w:name w:val="heading 2"/>
    <w:basedOn w:val="HeadingBase"/>
    <w:next w:val="BodyText"/>
    <w:link w:val="Heading2Char"/>
    <w:qFormat/>
    <w:rsid w:val="00AD56E0"/>
    <w:pPr>
      <w:keepLines/>
      <w:spacing w:before="240" w:after="120"/>
      <w:outlineLvl w:val="1"/>
    </w:pPr>
    <w:rPr>
      <w:sz w:val="28"/>
      <w:szCs w:val="40"/>
    </w:rPr>
  </w:style>
  <w:style w:type="paragraph" w:styleId="Heading3">
    <w:name w:val="heading 3"/>
    <w:basedOn w:val="HeadingBase"/>
    <w:next w:val="BodyText"/>
    <w:link w:val="Heading3Char"/>
    <w:qFormat/>
    <w:rsid w:val="00AD56E0"/>
    <w:pPr>
      <w:spacing w:before="180" w:after="120"/>
      <w:outlineLvl w:val="2"/>
    </w:pPr>
    <w:rPr>
      <w:spacing w:val="-10"/>
      <w:kern w:val="32"/>
    </w:rPr>
  </w:style>
  <w:style w:type="paragraph" w:styleId="Heading4">
    <w:name w:val="heading 4"/>
    <w:basedOn w:val="HeadingBase"/>
    <w:next w:val="BodyText"/>
    <w:link w:val="Heading4Char"/>
    <w:qFormat/>
    <w:rsid w:val="00AD56E0"/>
    <w:pPr>
      <w:spacing w:before="160" w:after="120"/>
      <w:outlineLvl w:val="3"/>
    </w:pPr>
    <w:rPr>
      <w:sz w:val="22"/>
    </w:rPr>
  </w:style>
  <w:style w:type="paragraph" w:styleId="Heading5">
    <w:name w:val="heading 5"/>
    <w:basedOn w:val="HeadingBase"/>
    <w:next w:val="Normal"/>
    <w:link w:val="Heading5Char"/>
    <w:qFormat/>
    <w:rsid w:val="00AD56E0"/>
    <w:pPr>
      <w:spacing w:before="80"/>
      <w:outlineLvl w:val="4"/>
    </w:pPr>
    <w:rPr>
      <w:color w:val="918585"/>
      <w:sz w:val="20"/>
    </w:rPr>
  </w:style>
  <w:style w:type="paragraph" w:styleId="Heading6">
    <w:name w:val="heading 6"/>
    <w:basedOn w:val="HeadingBase"/>
    <w:next w:val="Normal"/>
    <w:link w:val="Heading6Char"/>
    <w:qFormat/>
    <w:rsid w:val="00AD56E0"/>
    <w:pPr>
      <w:spacing w:before="60"/>
      <w:outlineLvl w:val="5"/>
    </w:pPr>
    <w:rPr>
      <w:color w:val="918585"/>
      <w:sz w:val="20"/>
    </w:rPr>
  </w:style>
  <w:style w:type="paragraph" w:styleId="Heading7">
    <w:name w:val="heading 7"/>
    <w:basedOn w:val="Normal"/>
    <w:next w:val="Normal"/>
    <w:link w:val="Heading7Char"/>
    <w:qFormat/>
    <w:rsid w:val="00AD56E0"/>
    <w:pPr>
      <w:ind w:left="720"/>
      <w:outlineLvl w:val="6"/>
    </w:pPr>
    <w:rPr>
      <w:i/>
    </w:rPr>
  </w:style>
  <w:style w:type="paragraph" w:styleId="Heading8">
    <w:name w:val="heading 8"/>
    <w:basedOn w:val="Normal"/>
    <w:next w:val="Normal"/>
    <w:link w:val="Heading8Char"/>
    <w:qFormat/>
    <w:rsid w:val="00AD56E0"/>
    <w:pPr>
      <w:ind w:left="720"/>
      <w:outlineLvl w:val="7"/>
    </w:pPr>
    <w:rPr>
      <w:i/>
    </w:rPr>
  </w:style>
  <w:style w:type="paragraph" w:styleId="Heading9">
    <w:name w:val="heading 9"/>
    <w:basedOn w:val="Normal"/>
    <w:next w:val="Normal"/>
    <w:link w:val="Heading9Char"/>
    <w:qFormat/>
    <w:rsid w:val="00AD56E0"/>
    <w:pPr>
      <w:ind w:left="720"/>
      <w:outlineLvl w:val="8"/>
    </w:pPr>
    <w:rPr>
      <w:i/>
    </w:rPr>
  </w:style>
  <w:style w:type="character" w:default="1" w:styleId="DefaultParagraphFont">
    <w:name w:val="Default Paragraph Font"/>
    <w:uiPriority w:val="1"/>
    <w:unhideWhenUsed/>
    <w:rsid w:val="00AD5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6E0"/>
  </w:style>
  <w:style w:type="character" w:customStyle="1" w:styleId="Heading1Char">
    <w:name w:val="Heading 1 Char"/>
    <w:basedOn w:val="DefaultParagraphFont"/>
    <w:link w:val="Heading1"/>
    <w:rsid w:val="00AD56E0"/>
    <w:rPr>
      <w:rFonts w:ascii="Times New Roman" w:eastAsia="Times New Roman" w:hAnsi="Times New Roman" w:cs="Times New Roman"/>
      <w:b/>
      <w:sz w:val="32"/>
      <w:szCs w:val="20"/>
      <w:lang w:eastAsia="en-US"/>
    </w:rPr>
  </w:style>
  <w:style w:type="paragraph" w:styleId="BodyText">
    <w:name w:val="Body Text"/>
    <w:basedOn w:val="Normal"/>
    <w:link w:val="BodyTextChar"/>
    <w:rsid w:val="00AD5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6E0"/>
    <w:rPr>
      <w:rFonts w:ascii="Times New Roman" w:eastAsia="Times New Roman" w:hAnsi="Times New Roman" w:cs="Times New Roman"/>
      <w:sz w:val="24"/>
      <w:lang w:eastAsia="en-US"/>
    </w:rPr>
  </w:style>
  <w:style w:type="paragraph" w:styleId="ListBullet">
    <w:name w:val="List Bullet"/>
    <w:basedOn w:val="List"/>
    <w:rsid w:val="00AD56E0"/>
    <w:pPr>
      <w:numPr>
        <w:numId w:val="13"/>
      </w:numPr>
      <w:tabs>
        <w:tab w:val="clear" w:pos="340"/>
      </w:tabs>
      <w:spacing w:before="40" w:after="40"/>
    </w:pPr>
  </w:style>
  <w:style w:type="character" w:customStyle="1" w:styleId="SpecialBold">
    <w:name w:val="Special Bold"/>
    <w:basedOn w:val="DefaultParagraphFont"/>
    <w:rsid w:val="00AD56E0"/>
    <w:rPr>
      <w:b/>
      <w:spacing w:val="0"/>
    </w:rPr>
  </w:style>
  <w:style w:type="paragraph" w:styleId="ListBullet2">
    <w:name w:val="List Bullet 2"/>
    <w:basedOn w:val="List2"/>
    <w:rsid w:val="00AD56E0"/>
    <w:pPr>
      <w:numPr>
        <w:numId w:val="14"/>
      </w:numPr>
      <w:tabs>
        <w:tab w:val="clear" w:pos="680"/>
      </w:tabs>
    </w:pPr>
  </w:style>
  <w:style w:type="paragraph" w:customStyle="1" w:styleId="SuperHeading">
    <w:name w:val="SuperHeading"/>
    <w:basedOn w:val="Normal"/>
    <w:rsid w:val="00AD56E0"/>
    <w:pPr>
      <w:spacing w:before="240" w:after="120"/>
      <w:outlineLvl w:val="0"/>
    </w:pPr>
    <w:rPr>
      <w:rFonts w:ascii="Times New Roman" w:hAnsi="Times New Roman"/>
      <w:b/>
      <w:sz w:val="32"/>
    </w:rPr>
  </w:style>
  <w:style w:type="paragraph" w:customStyle="1" w:styleId="AllowPageBreak">
    <w:name w:val="AllowPageBreak"/>
    <w:rsid w:val="00AD56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56E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5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6E0"/>
    <w:rPr>
      <w:rFonts w:ascii="Courier New" w:eastAsia="Times New Roman" w:hAnsi="Courier New" w:cs="Times New Roman"/>
      <w:i/>
      <w:szCs w:val="20"/>
      <w:lang w:eastAsia="en-US"/>
    </w:rPr>
  </w:style>
  <w:style w:type="paragraph" w:customStyle="1" w:styleId="HeadingBase">
    <w:name w:val="Heading Base"/>
    <w:rsid w:val="00AD5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6E0"/>
    <w:pPr>
      <w:tabs>
        <w:tab w:val="right" w:leader="dot" w:pos="9072"/>
      </w:tabs>
      <w:ind w:left="567"/>
    </w:pPr>
    <w:rPr>
      <w:szCs w:val="22"/>
    </w:rPr>
  </w:style>
  <w:style w:type="paragraph" w:customStyle="1" w:styleId="TOCBase">
    <w:name w:val="TOC Base"/>
    <w:rsid w:val="00AD5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6E0"/>
    <w:pPr>
      <w:tabs>
        <w:tab w:val="right" w:leader="dot" w:pos="9072"/>
      </w:tabs>
      <w:spacing w:before="40" w:after="40"/>
      <w:ind w:left="284"/>
    </w:pPr>
    <w:rPr>
      <w:rFonts w:ascii="Times New Roman" w:hAnsi="Times New Roman"/>
    </w:rPr>
  </w:style>
  <w:style w:type="paragraph" w:styleId="TOC1">
    <w:name w:val="toc 1"/>
    <w:basedOn w:val="TOCBase"/>
    <w:next w:val="Normal"/>
    <w:rsid w:val="00AD5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6E0"/>
    <w:rPr>
      <w:rFonts w:ascii="Times New Roman" w:eastAsia="Times New Roman" w:hAnsi="Times New Roman" w:cs="Times New Roman"/>
      <w:sz w:val="16"/>
      <w:lang w:eastAsia="en-US"/>
    </w:rPr>
  </w:style>
  <w:style w:type="paragraph" w:styleId="Title">
    <w:name w:val="Title"/>
    <w:basedOn w:val="HeadingBase"/>
    <w:link w:val="TitleChar"/>
    <w:qFormat/>
    <w:rsid w:val="00AD56E0"/>
    <w:pPr>
      <w:spacing w:before="5040"/>
      <w:jc w:val="center"/>
    </w:pPr>
    <w:rPr>
      <w:sz w:val="48"/>
      <w:szCs w:val="72"/>
      <w:lang w:val="en-US"/>
    </w:rPr>
  </w:style>
  <w:style w:type="character" w:customStyle="1" w:styleId="TitleChar">
    <w:name w:val="Title Char"/>
    <w:basedOn w:val="DefaultParagraphFont"/>
    <w:link w:val="Title"/>
    <w:rsid w:val="00AD5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6E0"/>
    <w:pPr>
      <w:tabs>
        <w:tab w:val="left" w:pos="3600"/>
        <w:tab w:val="left" w:pos="3958"/>
      </w:tabs>
    </w:pPr>
  </w:style>
  <w:style w:type="paragraph" w:styleId="List">
    <w:name w:val="List"/>
    <w:basedOn w:val="BodyText"/>
    <w:next w:val="BodyText"/>
    <w:rsid w:val="00AD56E0"/>
    <w:pPr>
      <w:tabs>
        <w:tab w:val="left" w:pos="340"/>
      </w:tabs>
      <w:spacing w:before="60" w:after="60"/>
      <w:ind w:left="340" w:hanging="340"/>
    </w:pPr>
  </w:style>
  <w:style w:type="paragraph" w:customStyle="1" w:styleId="Note">
    <w:name w:val="Note"/>
    <w:basedOn w:val="BodyText"/>
    <w:rsid w:val="00AD5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6E0"/>
    <w:pPr>
      <w:framePr w:wrap="auto" w:hAnchor="text" w:y="6049"/>
    </w:pPr>
    <w:rPr>
      <w:color w:val="000000"/>
      <w:sz w:val="40"/>
    </w:rPr>
  </w:style>
  <w:style w:type="paragraph" w:customStyle="1" w:styleId="TOCTitle">
    <w:name w:val="TOCTitle"/>
    <w:basedOn w:val="Heading1"/>
    <w:rsid w:val="00AD56E0"/>
    <w:pPr>
      <w:spacing w:after="240"/>
      <w:jc w:val="center"/>
      <w:outlineLvl w:val="9"/>
    </w:pPr>
    <w:rPr>
      <w:caps/>
    </w:rPr>
  </w:style>
  <w:style w:type="paragraph" w:customStyle="1" w:styleId="Version">
    <w:name w:val="Version"/>
    <w:rsid w:val="00AD5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56E0"/>
    <w:pPr>
      <w:keepNext w:val="0"/>
      <w:tabs>
        <w:tab w:val="right" w:pos="4176"/>
      </w:tabs>
      <w:ind w:left="198" w:hanging="198"/>
    </w:pPr>
    <w:rPr>
      <w:rFonts w:ascii="Garamond" w:hAnsi="Garamond"/>
    </w:rPr>
  </w:style>
  <w:style w:type="paragraph" w:styleId="IndexHeading">
    <w:name w:val="index heading"/>
    <w:basedOn w:val="Normal"/>
    <w:next w:val="Index1"/>
    <w:semiHidden/>
    <w:rsid w:val="00AD56E0"/>
    <w:pPr>
      <w:spacing w:before="120" w:after="120"/>
    </w:pPr>
    <w:rPr>
      <w:rFonts w:ascii="Arial" w:hAnsi="Arial"/>
      <w:b/>
      <w:color w:val="918585"/>
      <w:sz w:val="24"/>
    </w:rPr>
  </w:style>
  <w:style w:type="paragraph" w:styleId="Header">
    <w:name w:val="header"/>
    <w:basedOn w:val="Normal"/>
    <w:link w:val="HeaderChar"/>
    <w:rsid w:val="00AD5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6E0"/>
    <w:rPr>
      <w:rFonts w:ascii="Times New Roman" w:eastAsia="Times New Roman" w:hAnsi="Times New Roman" w:cs="Times New Roman"/>
      <w:sz w:val="16"/>
      <w:szCs w:val="20"/>
      <w:lang w:val="en-GB" w:eastAsia="en-US"/>
    </w:rPr>
  </w:style>
  <w:style w:type="paragraph" w:customStyle="1" w:styleId="Chapter">
    <w:name w:val="Chapter"/>
    <w:basedOn w:val="Normal"/>
    <w:rsid w:val="00AD56E0"/>
    <w:pPr>
      <w:spacing w:before="240"/>
    </w:pPr>
    <w:rPr>
      <w:rFonts w:ascii="Times New Roman" w:hAnsi="Times New Roman"/>
      <w:smallCaps/>
      <w:spacing w:val="80"/>
      <w:sz w:val="28"/>
    </w:rPr>
  </w:style>
  <w:style w:type="paragraph" w:customStyle="1" w:styleId="InChapter">
    <w:name w:val="InChapter"/>
    <w:basedOn w:val="Heading3"/>
    <w:rsid w:val="00AD56E0"/>
    <w:pPr>
      <w:spacing w:after="240"/>
      <w:outlineLvl w:val="9"/>
    </w:pPr>
    <w:rPr>
      <w:noProof/>
    </w:rPr>
  </w:style>
  <w:style w:type="paragraph" w:styleId="Index2">
    <w:name w:val="index 2"/>
    <w:basedOn w:val="Normal"/>
    <w:next w:val="Normal"/>
    <w:semiHidden/>
    <w:rsid w:val="00AD56E0"/>
    <w:pPr>
      <w:tabs>
        <w:tab w:val="right" w:pos="4176"/>
      </w:tabs>
      <w:ind w:left="568" w:hanging="284"/>
    </w:pPr>
    <w:rPr>
      <w:rFonts w:ascii="Garamond" w:hAnsi="Garamond"/>
    </w:rPr>
  </w:style>
  <w:style w:type="paragraph" w:customStyle="1" w:styleId="Byline">
    <w:name w:val="Byline"/>
    <w:rsid w:val="00AD5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6E0"/>
    <w:pPr>
      <w:tabs>
        <w:tab w:val="clear" w:pos="3600"/>
        <w:tab w:val="clear" w:pos="3958"/>
      </w:tabs>
      <w:jc w:val="right"/>
    </w:pPr>
  </w:style>
  <w:style w:type="character" w:styleId="Emphasis">
    <w:name w:val="Emphasis"/>
    <w:basedOn w:val="DefaultParagraphFont"/>
    <w:qFormat/>
    <w:rsid w:val="00AD56E0"/>
    <w:rPr>
      <w:i/>
    </w:rPr>
  </w:style>
  <w:style w:type="paragraph" w:styleId="Caption">
    <w:name w:val="caption"/>
    <w:basedOn w:val="BodyText"/>
    <w:next w:val="Normal"/>
    <w:qFormat/>
    <w:rsid w:val="00AD56E0"/>
    <w:pPr>
      <w:framePr w:w="2268" w:hSpace="181" w:vSpace="181" w:wrap="around" w:vAnchor="text" w:hAnchor="page" w:x="1135" w:y="285" w:anchorLock="1"/>
    </w:pPr>
    <w:rPr>
      <w:i/>
    </w:rPr>
  </w:style>
  <w:style w:type="paragraph" w:customStyle="1" w:styleId="MiniTOCTitle">
    <w:name w:val="MiniTOCTitle"/>
    <w:basedOn w:val="Heading4"/>
    <w:rsid w:val="00AD56E0"/>
    <w:pPr>
      <w:spacing w:before="240"/>
      <w:outlineLvl w:val="9"/>
    </w:pPr>
    <w:rPr>
      <w:noProof/>
      <w:sz w:val="24"/>
    </w:rPr>
  </w:style>
  <w:style w:type="paragraph" w:customStyle="1" w:styleId="MiniTOCItem">
    <w:name w:val="MiniTOCItem"/>
    <w:basedOn w:val="ListBullet"/>
    <w:rsid w:val="00AD56E0"/>
    <w:pPr>
      <w:numPr>
        <w:numId w:val="0"/>
      </w:numPr>
      <w:tabs>
        <w:tab w:val="right" w:leader="dot" w:pos="6521"/>
      </w:tabs>
      <w:spacing w:before="0" w:after="0"/>
    </w:pPr>
  </w:style>
  <w:style w:type="paragraph" w:customStyle="1" w:styleId="TOFTitle">
    <w:name w:val="TOFTitle"/>
    <w:basedOn w:val="TOCTitle"/>
    <w:rsid w:val="00AD56E0"/>
  </w:style>
  <w:style w:type="paragraph" w:styleId="TableofFigures">
    <w:name w:val="table of figures"/>
    <w:basedOn w:val="Normal"/>
    <w:next w:val="Normal"/>
    <w:semiHidden/>
    <w:rsid w:val="00AD56E0"/>
    <w:pPr>
      <w:tabs>
        <w:tab w:val="right" w:leader="dot" w:pos="9072"/>
      </w:tabs>
      <w:ind w:left="970" w:hanging="403"/>
    </w:pPr>
    <w:rPr>
      <w:rFonts w:ascii="Times New Roman" w:hAnsi="Times New Roman"/>
      <w:b/>
    </w:rPr>
  </w:style>
  <w:style w:type="paragraph" w:styleId="ListNumber">
    <w:name w:val="List Number"/>
    <w:basedOn w:val="List"/>
    <w:rsid w:val="00AD56E0"/>
    <w:pPr>
      <w:numPr>
        <w:numId w:val="16"/>
      </w:numPr>
      <w:tabs>
        <w:tab w:val="clear" w:pos="340"/>
      </w:tabs>
    </w:pPr>
  </w:style>
  <w:style w:type="character" w:customStyle="1" w:styleId="WingdingSymbols">
    <w:name w:val="Wingding Symbols"/>
    <w:rsid w:val="00AD56E0"/>
    <w:rPr>
      <w:rFonts w:ascii="Wingdings" w:hAnsi="Wingdings"/>
    </w:rPr>
  </w:style>
  <w:style w:type="paragraph" w:customStyle="1" w:styleId="TableHeading">
    <w:name w:val="Table Heading"/>
    <w:basedOn w:val="HeadingBase"/>
    <w:rsid w:val="00AD56E0"/>
    <w:pPr>
      <w:keepLines/>
      <w:pBdr>
        <w:bottom w:val="single" w:sz="6" w:space="1" w:color="918585"/>
      </w:pBdr>
      <w:spacing w:before="240"/>
    </w:pPr>
  </w:style>
  <w:style w:type="character" w:customStyle="1" w:styleId="HotSpot">
    <w:name w:val="HotSpot"/>
    <w:rsid w:val="00AD56E0"/>
    <w:rPr>
      <w:color w:val="0033CC"/>
      <w:u w:val="none"/>
    </w:rPr>
  </w:style>
  <w:style w:type="paragraph" w:customStyle="1" w:styleId="BodyTextRight">
    <w:name w:val="Body Text Right"/>
    <w:basedOn w:val="BodyText"/>
    <w:rsid w:val="00AD56E0"/>
    <w:pPr>
      <w:spacing w:before="0" w:after="0"/>
      <w:jc w:val="right"/>
    </w:pPr>
  </w:style>
  <w:style w:type="paragraph" w:styleId="Index3">
    <w:name w:val="index 3"/>
    <w:basedOn w:val="ListNumber2"/>
    <w:next w:val="Normal"/>
    <w:semiHidden/>
    <w:rsid w:val="00AD56E0"/>
    <w:pPr>
      <w:numPr>
        <w:numId w:val="0"/>
      </w:numPr>
      <w:tabs>
        <w:tab w:val="right" w:leader="dot" w:pos="4176"/>
      </w:tabs>
    </w:pPr>
  </w:style>
  <w:style w:type="paragraph" w:styleId="ListNumber2">
    <w:name w:val="List Number 2"/>
    <w:basedOn w:val="List2"/>
    <w:rsid w:val="00AD56E0"/>
    <w:pPr>
      <w:numPr>
        <w:numId w:val="11"/>
      </w:numPr>
      <w:tabs>
        <w:tab w:val="clear" w:pos="1060"/>
      </w:tabs>
    </w:pPr>
  </w:style>
  <w:style w:type="paragraph" w:customStyle="1" w:styleId="MarginNote">
    <w:name w:val="Margin Note"/>
    <w:basedOn w:val="BodyText"/>
    <w:rsid w:val="00AD5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6E0"/>
    <w:rPr>
      <w:sz w:val="32"/>
    </w:rPr>
  </w:style>
  <w:style w:type="paragraph" w:customStyle="1" w:styleId="HeadingProcedure">
    <w:name w:val="Heading Procedure"/>
    <w:basedOn w:val="HeadingBase"/>
    <w:next w:val="Normal"/>
    <w:rsid w:val="00AD56E0"/>
    <w:pPr>
      <w:tabs>
        <w:tab w:val="left" w:pos="0"/>
      </w:tabs>
      <w:spacing w:before="120" w:after="60"/>
    </w:pPr>
    <w:rPr>
      <w:i/>
      <w:color w:val="918585"/>
      <w:sz w:val="22"/>
    </w:rPr>
  </w:style>
  <w:style w:type="paragraph" w:customStyle="1" w:styleId="TableBodyText">
    <w:name w:val="Table Body Text"/>
    <w:basedOn w:val="BodyText"/>
    <w:rsid w:val="00AD56E0"/>
    <w:pPr>
      <w:spacing w:before="60" w:after="60"/>
    </w:pPr>
  </w:style>
  <w:style w:type="paragraph" w:styleId="ListContinue">
    <w:name w:val="List Continue"/>
    <w:basedOn w:val="List"/>
    <w:rsid w:val="00AD56E0"/>
    <w:pPr>
      <w:ind w:firstLine="0"/>
    </w:pPr>
  </w:style>
  <w:style w:type="paragraph" w:customStyle="1" w:styleId="ListNote">
    <w:name w:val="List Note"/>
    <w:basedOn w:val="List"/>
    <w:rsid w:val="00AD56E0"/>
    <w:pPr>
      <w:pBdr>
        <w:top w:val="single" w:sz="6" w:space="2" w:color="918585"/>
        <w:bottom w:val="single" w:sz="6" w:space="2" w:color="918585"/>
      </w:pBdr>
      <w:tabs>
        <w:tab w:val="left" w:pos="1021"/>
      </w:tabs>
      <w:ind w:firstLine="0"/>
    </w:pPr>
  </w:style>
  <w:style w:type="paragraph" w:customStyle="1" w:styleId="Warning">
    <w:name w:val="Warning"/>
    <w:basedOn w:val="BodyText"/>
    <w:rsid w:val="00AD56E0"/>
    <w:pPr>
      <w:shd w:val="clear" w:color="auto" w:fill="D9D9D9"/>
      <w:tabs>
        <w:tab w:val="left" w:pos="992"/>
      </w:tabs>
      <w:ind w:left="119" w:right="119"/>
    </w:pPr>
    <w:rPr>
      <w:sz w:val="20"/>
    </w:rPr>
  </w:style>
  <w:style w:type="paragraph" w:customStyle="1" w:styleId="MarginIcons">
    <w:name w:val="Margin Icons"/>
    <w:basedOn w:val="BodyText"/>
    <w:rsid w:val="00AD5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6E0"/>
    <w:rPr>
      <w:rFonts w:ascii="Courier New" w:hAnsi="Courier New"/>
    </w:rPr>
  </w:style>
  <w:style w:type="paragraph" w:customStyle="1" w:styleId="NoteBullet">
    <w:name w:val="Note Bullet"/>
    <w:basedOn w:val="Note"/>
    <w:rsid w:val="00AD56E0"/>
    <w:pPr>
      <w:tabs>
        <w:tab w:val="clear" w:pos="680"/>
      </w:tabs>
      <w:spacing w:before="60" w:after="60"/>
    </w:pPr>
  </w:style>
  <w:style w:type="paragraph" w:customStyle="1" w:styleId="SubHeading2">
    <w:name w:val="SubHeading2"/>
    <w:basedOn w:val="HeadingBase"/>
    <w:rsid w:val="00AD56E0"/>
    <w:pPr>
      <w:spacing w:before="240" w:after="60"/>
    </w:pPr>
    <w:rPr>
      <w:sz w:val="20"/>
    </w:rPr>
  </w:style>
  <w:style w:type="paragraph" w:customStyle="1" w:styleId="SubHeading1">
    <w:name w:val="SubHeading1"/>
    <w:basedOn w:val="HeadingBase"/>
    <w:rsid w:val="00AD56E0"/>
    <w:pPr>
      <w:spacing w:before="240" w:after="60"/>
    </w:pPr>
    <w:rPr>
      <w:color w:val="918585"/>
      <w:sz w:val="22"/>
    </w:rPr>
  </w:style>
  <w:style w:type="paragraph" w:customStyle="1" w:styleId="SideHeading">
    <w:name w:val="Side Heading"/>
    <w:basedOn w:val="HeadingBase"/>
    <w:rsid w:val="00AD5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6E0"/>
    <w:pPr>
      <w:numPr>
        <w:numId w:val="12"/>
      </w:numPr>
    </w:pPr>
  </w:style>
  <w:style w:type="paragraph" w:styleId="PlainText">
    <w:name w:val="Plain Text"/>
    <w:basedOn w:val="Normal"/>
    <w:link w:val="PlainTextChar"/>
    <w:rsid w:val="00AD56E0"/>
    <w:rPr>
      <w:sz w:val="20"/>
    </w:rPr>
  </w:style>
  <w:style w:type="character" w:customStyle="1" w:styleId="PlainTextChar">
    <w:name w:val="Plain Text Char"/>
    <w:basedOn w:val="DefaultParagraphFont"/>
    <w:link w:val="PlainText"/>
    <w:rsid w:val="00AD56E0"/>
    <w:rPr>
      <w:rFonts w:ascii="Courier New" w:eastAsia="Times New Roman" w:hAnsi="Courier New" w:cs="Times New Roman"/>
      <w:sz w:val="20"/>
      <w:szCs w:val="20"/>
      <w:lang w:eastAsia="en-US"/>
    </w:rPr>
  </w:style>
  <w:style w:type="character" w:customStyle="1" w:styleId="MenuOption">
    <w:name w:val="Menu Option"/>
    <w:basedOn w:val="DefaultParagraphFont"/>
    <w:rsid w:val="00AD56E0"/>
    <w:rPr>
      <w:b/>
      <w:smallCaps/>
    </w:rPr>
  </w:style>
  <w:style w:type="paragraph" w:customStyle="1" w:styleId="TableListNumber">
    <w:name w:val="Table List Number"/>
    <w:basedOn w:val="ListNumber"/>
    <w:rsid w:val="00AD56E0"/>
    <w:pPr>
      <w:numPr>
        <w:numId w:val="0"/>
      </w:numPr>
    </w:pPr>
  </w:style>
  <w:style w:type="paragraph" w:styleId="TOC4">
    <w:name w:val="toc 4"/>
    <w:basedOn w:val="TOCBase"/>
    <w:next w:val="Normal"/>
    <w:semiHidden/>
    <w:rsid w:val="00AD56E0"/>
    <w:pPr>
      <w:tabs>
        <w:tab w:val="right" w:leader="dot" w:pos="9071"/>
      </w:tabs>
      <w:ind w:left="1701"/>
    </w:pPr>
  </w:style>
  <w:style w:type="paragraph" w:customStyle="1" w:styleId="ListAlpha">
    <w:name w:val="List Alpha"/>
    <w:basedOn w:val="List"/>
    <w:rsid w:val="00AD56E0"/>
    <w:pPr>
      <w:numPr>
        <w:numId w:val="10"/>
      </w:numPr>
    </w:pPr>
  </w:style>
  <w:style w:type="paragraph" w:customStyle="1" w:styleId="ListAlpha2">
    <w:name w:val="List Alpha 2"/>
    <w:basedOn w:val="List2"/>
    <w:rsid w:val="00AD56E0"/>
    <w:pPr>
      <w:numPr>
        <w:numId w:val="9"/>
      </w:numPr>
    </w:pPr>
  </w:style>
  <w:style w:type="paragraph" w:styleId="List2">
    <w:name w:val="List 2"/>
    <w:basedOn w:val="BodyText"/>
    <w:rsid w:val="00AD56E0"/>
    <w:pPr>
      <w:tabs>
        <w:tab w:val="left" w:pos="680"/>
      </w:tabs>
      <w:spacing w:before="60" w:after="60"/>
      <w:ind w:left="680" w:hanging="340"/>
    </w:pPr>
  </w:style>
  <w:style w:type="paragraph" w:styleId="List3">
    <w:name w:val="List 3"/>
    <w:basedOn w:val="BodyText"/>
    <w:rsid w:val="00AD56E0"/>
    <w:pPr>
      <w:tabs>
        <w:tab w:val="left" w:pos="1021"/>
      </w:tabs>
      <w:spacing w:before="60" w:after="60"/>
      <w:ind w:left="1020" w:hanging="340"/>
    </w:pPr>
  </w:style>
  <w:style w:type="paragraph" w:styleId="List4">
    <w:name w:val="List 4"/>
    <w:basedOn w:val="BodyText"/>
    <w:rsid w:val="00AD56E0"/>
    <w:pPr>
      <w:tabs>
        <w:tab w:val="left" w:pos="1361"/>
      </w:tabs>
      <w:spacing w:before="60" w:after="60"/>
      <w:ind w:left="1361" w:hanging="340"/>
    </w:pPr>
  </w:style>
  <w:style w:type="paragraph" w:styleId="List5">
    <w:name w:val="List 5"/>
    <w:basedOn w:val="BodyText"/>
    <w:rsid w:val="00AD56E0"/>
    <w:pPr>
      <w:tabs>
        <w:tab w:val="left" w:pos="1701"/>
      </w:tabs>
      <w:spacing w:before="60" w:after="60"/>
      <w:ind w:left="1701" w:hanging="340"/>
    </w:pPr>
  </w:style>
  <w:style w:type="paragraph" w:styleId="ListBullet4">
    <w:name w:val="List Bullet 4"/>
    <w:basedOn w:val="List4"/>
    <w:rsid w:val="00AD56E0"/>
    <w:pPr>
      <w:numPr>
        <w:numId w:val="4"/>
      </w:numPr>
      <w:tabs>
        <w:tab w:val="clear" w:pos="1361"/>
      </w:tabs>
    </w:pPr>
  </w:style>
  <w:style w:type="paragraph" w:styleId="ListBullet5">
    <w:name w:val="List Bullet 5"/>
    <w:basedOn w:val="List5"/>
    <w:rsid w:val="00AD56E0"/>
    <w:pPr>
      <w:numPr>
        <w:numId w:val="5"/>
      </w:numPr>
    </w:pPr>
  </w:style>
  <w:style w:type="paragraph" w:styleId="ListContinue2">
    <w:name w:val="List Continue 2"/>
    <w:basedOn w:val="List2"/>
    <w:rsid w:val="00AD56E0"/>
    <w:pPr>
      <w:ind w:firstLine="0"/>
    </w:pPr>
  </w:style>
  <w:style w:type="paragraph" w:styleId="ListContinue3">
    <w:name w:val="List Continue 3"/>
    <w:basedOn w:val="List3"/>
    <w:rsid w:val="00AD56E0"/>
    <w:pPr>
      <w:ind w:left="1021" w:firstLine="0"/>
    </w:pPr>
  </w:style>
  <w:style w:type="paragraph" w:styleId="ListContinue4">
    <w:name w:val="List Continue 4"/>
    <w:basedOn w:val="List4"/>
    <w:rsid w:val="00AD56E0"/>
    <w:pPr>
      <w:ind w:firstLine="0"/>
    </w:pPr>
  </w:style>
  <w:style w:type="paragraph" w:styleId="ListContinue5">
    <w:name w:val="List Continue 5"/>
    <w:basedOn w:val="List5"/>
    <w:rsid w:val="00AD56E0"/>
    <w:pPr>
      <w:ind w:firstLine="0"/>
    </w:pPr>
  </w:style>
  <w:style w:type="paragraph" w:styleId="ListNumber3">
    <w:name w:val="List Number 3"/>
    <w:basedOn w:val="List3"/>
    <w:rsid w:val="00AD56E0"/>
    <w:pPr>
      <w:numPr>
        <w:numId w:val="6"/>
      </w:numPr>
    </w:pPr>
  </w:style>
  <w:style w:type="paragraph" w:styleId="ListNumber4">
    <w:name w:val="List Number 4"/>
    <w:basedOn w:val="List4"/>
    <w:rsid w:val="00AD56E0"/>
    <w:pPr>
      <w:numPr>
        <w:numId w:val="7"/>
      </w:numPr>
    </w:pPr>
  </w:style>
  <w:style w:type="paragraph" w:styleId="ListNumber5">
    <w:name w:val="List Number 5"/>
    <w:basedOn w:val="List5"/>
    <w:rsid w:val="00AD56E0"/>
    <w:pPr>
      <w:numPr>
        <w:numId w:val="8"/>
      </w:numPr>
    </w:pPr>
  </w:style>
  <w:style w:type="paragraph" w:styleId="BlockText">
    <w:name w:val="Block Text"/>
    <w:basedOn w:val="Normal"/>
    <w:rsid w:val="00AD56E0"/>
    <w:pPr>
      <w:spacing w:after="120"/>
      <w:ind w:left="1440" w:right="1440"/>
    </w:pPr>
  </w:style>
  <w:style w:type="character" w:customStyle="1" w:styleId="Subscript">
    <w:name w:val="Subscript"/>
    <w:basedOn w:val="DefaultParagraphFont"/>
    <w:rsid w:val="00AD56E0"/>
    <w:rPr>
      <w:sz w:val="16"/>
      <w:vertAlign w:val="subscript"/>
    </w:rPr>
  </w:style>
  <w:style w:type="character" w:customStyle="1" w:styleId="Superscript">
    <w:name w:val="Superscript"/>
    <w:basedOn w:val="DefaultParagraphFont"/>
    <w:rsid w:val="00AD56E0"/>
    <w:rPr>
      <w:sz w:val="16"/>
      <w:vertAlign w:val="superscript"/>
    </w:rPr>
  </w:style>
  <w:style w:type="character" w:customStyle="1" w:styleId="Symbols">
    <w:name w:val="Symbols"/>
    <w:basedOn w:val="DefaultParagraphFont"/>
    <w:rsid w:val="00AD56E0"/>
    <w:rPr>
      <w:rFonts w:ascii="Symbol" w:hAnsi="Symbol"/>
    </w:rPr>
  </w:style>
  <w:style w:type="character" w:customStyle="1" w:styleId="MenuOptions">
    <w:name w:val="Menu Options"/>
    <w:basedOn w:val="DefaultParagraphFont"/>
    <w:rsid w:val="00AD56E0"/>
    <w:rPr>
      <w:rFonts w:ascii="Arial Narrow" w:hAnsi="Arial Narrow"/>
      <w:smallCaps/>
    </w:rPr>
  </w:style>
  <w:style w:type="character" w:customStyle="1" w:styleId="Buttons">
    <w:name w:val="Buttons"/>
    <w:basedOn w:val="DefaultParagraphFont"/>
    <w:rsid w:val="00AD56E0"/>
    <w:rPr>
      <w:b/>
    </w:rPr>
  </w:style>
  <w:style w:type="character" w:customStyle="1" w:styleId="Underlined">
    <w:name w:val="Underlined"/>
    <w:basedOn w:val="DefaultParagraphFont"/>
    <w:rsid w:val="00AD56E0"/>
    <w:rPr>
      <w:u w:val="single"/>
    </w:rPr>
  </w:style>
  <w:style w:type="paragraph" w:customStyle="1" w:styleId="TableBodyTextRight">
    <w:name w:val="Table Body Text Right"/>
    <w:basedOn w:val="TableBodyText"/>
    <w:rsid w:val="00AD56E0"/>
    <w:pPr>
      <w:widowControl w:val="0"/>
      <w:autoSpaceDE w:val="0"/>
      <w:autoSpaceDN w:val="0"/>
      <w:adjustRightInd w:val="0"/>
      <w:jc w:val="right"/>
    </w:pPr>
    <w:rPr>
      <w:rFonts w:cs="Arial"/>
      <w:szCs w:val="18"/>
    </w:rPr>
  </w:style>
  <w:style w:type="paragraph" w:customStyle="1" w:styleId="CopyrightText">
    <w:name w:val="Copyright Text"/>
    <w:basedOn w:val="BodyText"/>
    <w:rsid w:val="00AD56E0"/>
    <w:rPr>
      <w:sz w:val="18"/>
    </w:rPr>
  </w:style>
  <w:style w:type="paragraph" w:customStyle="1" w:styleId="BodySmallRight">
    <w:name w:val="Body Small Right"/>
    <w:basedOn w:val="BodyTextRight"/>
    <w:rsid w:val="00AD56E0"/>
    <w:rPr>
      <w:sz w:val="18"/>
      <w:szCs w:val="18"/>
    </w:rPr>
  </w:style>
  <w:style w:type="paragraph" w:customStyle="1" w:styleId="MarginEdition">
    <w:name w:val="Margin Edition"/>
    <w:basedOn w:val="MarginNote"/>
    <w:rsid w:val="00AD56E0"/>
    <w:pPr>
      <w:spacing w:before="0" w:after="0"/>
    </w:pPr>
    <w:rPr>
      <w:rFonts w:ascii="Times New Roman" w:hAnsi="Times New Roman"/>
      <w:color w:val="999999"/>
    </w:rPr>
  </w:style>
  <w:style w:type="paragraph" w:customStyle="1" w:styleId="Spacer">
    <w:name w:val="Spacer"/>
    <w:basedOn w:val="Normal"/>
    <w:rsid w:val="00AD56E0"/>
    <w:rPr>
      <w:sz w:val="2"/>
      <w:szCs w:val="2"/>
    </w:rPr>
  </w:style>
  <w:style w:type="character" w:customStyle="1" w:styleId="Small">
    <w:name w:val="Small"/>
    <w:basedOn w:val="DefaultParagraphFont"/>
    <w:rsid w:val="00AD56E0"/>
    <w:rPr>
      <w:sz w:val="16"/>
    </w:rPr>
  </w:style>
  <w:style w:type="paragraph" w:customStyle="1" w:styleId="WideTable">
    <w:name w:val="Wide Table"/>
    <w:basedOn w:val="Normal"/>
    <w:rsid w:val="00AD56E0"/>
    <w:pPr>
      <w:ind w:left="-1418"/>
    </w:pPr>
    <w:rPr>
      <w:sz w:val="2"/>
      <w:szCs w:val="2"/>
    </w:rPr>
  </w:style>
  <w:style w:type="character" w:styleId="PageNumber">
    <w:name w:val="page number"/>
    <w:basedOn w:val="DefaultParagraphFont"/>
    <w:rsid w:val="00AD56E0"/>
  </w:style>
  <w:style w:type="paragraph" w:styleId="Quote">
    <w:name w:val="Quote"/>
    <w:basedOn w:val="Heading1"/>
    <w:link w:val="QuoteChar"/>
    <w:qFormat/>
    <w:rsid w:val="00AD56E0"/>
    <w:rPr>
      <w:b w:val="0"/>
      <w:sz w:val="72"/>
      <w:szCs w:val="72"/>
      <w:lang w:val="en-NZ"/>
    </w:rPr>
  </w:style>
  <w:style w:type="character" w:customStyle="1" w:styleId="QuoteChar">
    <w:name w:val="Quote Char"/>
    <w:basedOn w:val="DefaultParagraphFont"/>
    <w:link w:val="Quote"/>
    <w:rsid w:val="00AD5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6E0"/>
    <w:pPr>
      <w:pageBreakBefore/>
    </w:pPr>
  </w:style>
  <w:style w:type="paragraph" w:customStyle="1" w:styleId="Border">
    <w:name w:val="Border"/>
    <w:basedOn w:val="Normal"/>
    <w:qFormat/>
    <w:rsid w:val="00AD5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6E0"/>
    <w:rPr>
      <w:b/>
      <w:bCs/>
      <w:i/>
      <w:iCs/>
      <w:color w:val="auto"/>
    </w:rPr>
  </w:style>
  <w:style w:type="paragraph" w:styleId="IntenseQuote">
    <w:name w:val="Intense Quote"/>
    <w:basedOn w:val="Normal"/>
    <w:next w:val="Normal"/>
    <w:link w:val="IntenseQuoteChar"/>
    <w:uiPriority w:val="30"/>
    <w:qFormat/>
    <w:rsid w:val="00AD5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6E0"/>
    <w:rPr>
      <w:smallCaps/>
      <w:color w:val="auto"/>
      <w:u w:val="single"/>
    </w:rPr>
  </w:style>
  <w:style w:type="character" w:styleId="IntenseReference">
    <w:name w:val="Intense Reference"/>
    <w:basedOn w:val="DefaultParagraphFont"/>
    <w:uiPriority w:val="32"/>
    <w:qFormat/>
    <w:rsid w:val="00AD56E0"/>
    <w:rPr>
      <w:b/>
      <w:bCs/>
      <w:smallCaps/>
      <w:color w:val="auto"/>
      <w:spacing w:val="5"/>
      <w:u w:val="single"/>
    </w:rPr>
  </w:style>
  <w:style w:type="paragraph" w:customStyle="1" w:styleId="2ColumnHeading">
    <w:name w:val="2Column Heading"/>
    <w:basedOn w:val="BodyText"/>
    <w:qFormat/>
    <w:rsid w:val="00AD56E0"/>
    <w:pPr>
      <w:spacing w:after="60"/>
      <w:ind w:left="-2268"/>
    </w:pPr>
    <w:rPr>
      <w:b/>
    </w:rPr>
  </w:style>
  <w:style w:type="paragraph" w:customStyle="1" w:styleId="Heading1TOC">
    <w:name w:val="Heading1 TOC"/>
    <w:basedOn w:val="Normal"/>
    <w:qFormat/>
    <w:rsid w:val="00AD56E0"/>
    <w:pPr>
      <w:spacing w:before="240" w:after="120"/>
    </w:pPr>
    <w:rPr>
      <w:rFonts w:ascii="Times New Roman" w:hAnsi="Times New Roman"/>
      <w:b/>
      <w:sz w:val="32"/>
    </w:rPr>
  </w:style>
  <w:style w:type="paragraph" w:customStyle="1" w:styleId="Heading2TOC">
    <w:name w:val="Heading2 TOC"/>
    <w:basedOn w:val="Normal"/>
    <w:qFormat/>
    <w:rsid w:val="00AD56E0"/>
    <w:pPr>
      <w:spacing w:before="240" w:after="60"/>
    </w:pPr>
    <w:rPr>
      <w:rFonts w:ascii="Times New Roman" w:hAnsi="Times New Roman"/>
      <w:b/>
      <w:sz w:val="28"/>
    </w:rPr>
  </w:style>
  <w:style w:type="character" w:customStyle="1" w:styleId="Underline">
    <w:name w:val="Underline"/>
    <w:basedOn w:val="DefaultParagraphFont"/>
    <w:qFormat/>
    <w:rsid w:val="00AD56E0"/>
    <w:rPr>
      <w:u w:val="single"/>
    </w:rPr>
  </w:style>
  <w:style w:type="character" w:customStyle="1" w:styleId="BoldandItalics">
    <w:name w:val="Bold and Italics"/>
    <w:qFormat/>
    <w:rsid w:val="00AD56E0"/>
    <w:rPr>
      <w:b/>
      <w:i/>
      <w:u w:val="none"/>
    </w:rPr>
  </w:style>
  <w:style w:type="paragraph" w:styleId="BalloonText">
    <w:name w:val="Balloon Text"/>
    <w:basedOn w:val="Normal"/>
    <w:link w:val="BalloonTextChar"/>
    <w:rsid w:val="00AD56E0"/>
    <w:rPr>
      <w:rFonts w:ascii="Tahoma" w:hAnsi="Tahoma" w:cs="Tahoma"/>
      <w:sz w:val="16"/>
      <w:szCs w:val="16"/>
    </w:rPr>
  </w:style>
  <w:style w:type="character" w:customStyle="1" w:styleId="BalloonTextChar">
    <w:name w:val="Balloon Text Char"/>
    <w:basedOn w:val="DefaultParagraphFont"/>
    <w:link w:val="BalloonText"/>
    <w:rsid w:val="00AD5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6E0"/>
    <w:rPr>
      <w:b/>
      <w:color w:val="660033"/>
      <w:spacing w:val="0"/>
    </w:rPr>
  </w:style>
  <w:style w:type="paragraph" w:customStyle="1" w:styleId="Nameditemlist">
    <w:name w:val="Named item list"/>
    <w:basedOn w:val="BodyText"/>
    <w:qFormat/>
    <w:rsid w:val="00AD56E0"/>
    <w:pPr>
      <w:tabs>
        <w:tab w:val="left" w:pos="2835"/>
      </w:tabs>
      <w:ind w:left="2835" w:hanging="2835"/>
    </w:pPr>
  </w:style>
  <w:style w:type="paragraph" w:customStyle="1" w:styleId="BodyTextnopadding">
    <w:name w:val="Body Text no padding"/>
    <w:basedOn w:val="BodyText"/>
    <w:qFormat/>
    <w:rsid w:val="00AD56E0"/>
    <w:pPr>
      <w:spacing w:before="0" w:after="0"/>
    </w:pPr>
  </w:style>
  <w:style w:type="paragraph" w:customStyle="1" w:styleId="BodyTextBold">
    <w:name w:val="Body Text Bold"/>
    <w:basedOn w:val="BodyText"/>
    <w:qFormat/>
    <w:rsid w:val="00AD56E0"/>
    <w:rPr>
      <w:b/>
    </w:rPr>
  </w:style>
  <w:style w:type="character" w:styleId="Hyperlink">
    <w:name w:val="Hyperlink"/>
    <w:basedOn w:val="DefaultParagraphFont"/>
    <w:uiPriority w:val="99"/>
    <w:unhideWhenUsed/>
    <w:rsid w:val="006C28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4912</Characters>
  <Application>Microsoft Office Word</Application>
  <DocSecurity>0</DocSecurity>
  <Lines>132</Lines>
  <Paragraphs>107</Paragraphs>
  <ScaleCrop>false</ScaleCrop>
  <Company>Author-it Software Corporation Ltd.</Company>
  <LinksUpToDate>false</LinksUpToDate>
  <CharactersWithSpaces>5574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MARH032 Conduct advanced Autonomous Underwater Vehicles (AUV)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