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536" w:rsidP="00FC0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MARH027 Apply knowledge of dynamic positioning systems</w:t>
      </w:r>
      <w:r>
        <w:fldChar w:fldCharType="end"/>
      </w:r>
    </w:p>
    <w:p w:rsidR="00FC0536" w:rsidP="00FC0536">
      <w:pPr>
        <w:pStyle w:val="Version"/>
        <w:sectPr w:rsidSect="006B0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4E1" w:rsidP="006B04E1">
      <w:pPr>
        <w:pStyle w:val="SuperHeading"/>
      </w:pPr>
      <w:r w:rsidRPr="006B04E1">
        <w:t>MARH027 Apply knowledge of dynamic positioning systems</w:t>
      </w:r>
    </w:p>
    <w:p w:rsidR="00000000" w:rsidRPr="006B04E1" w:rsidP="006B04E1">
      <w:pPr>
        <w:pStyle w:val="Heading1"/>
      </w:pPr>
      <w:bookmarkStart w:id="1" w:name="O_1155391"/>
      <w:bookmarkEnd w:id="1"/>
      <w:r w:rsidRPr="006B04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Release 1. This is the first release of this unit of competency in the MAR Maritime Training Package.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2" w:name="O_1155392"/>
      <w:bookmarkEnd w:id="2"/>
      <w:r w:rsidRPr="006B04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This unit involves the skills and knowledge required to apply knowledge of dynam</w:t>
            </w:r>
            <w:r w:rsidRPr="006B04E1">
              <w:t xml:space="preserve">ic positioning systems, including its uses and applications. </w:t>
            </w:r>
          </w:p>
          <w:p w:rsidR="00000000" w:rsidRPr="006B04E1" w:rsidP="006B04E1">
            <w:pPr>
              <w:pStyle w:val="BodyText"/>
            </w:pPr>
            <w:r w:rsidRPr="006B04E1">
              <w:t>This unit includes explaining dynamic positioning control systems, applying environmental and position reference systems. It also includes explaining:</w:t>
            </w:r>
          </w:p>
          <w:p w:rsidR="00000000" w:rsidRPr="006B04E1" w:rsidP="006B04E1">
            <w:pPr>
              <w:pStyle w:val="ListBullet2"/>
            </w:pPr>
            <w:r w:rsidRPr="006B04E1">
              <w:t>acoustic systems</w:t>
            </w:r>
          </w:p>
          <w:p w:rsidR="00000000" w:rsidRPr="006B04E1" w:rsidP="006B04E1">
            <w:pPr>
              <w:pStyle w:val="ListBullet2"/>
            </w:pPr>
            <w:r w:rsidRPr="006B04E1">
              <w:t>differential global navig</w:t>
            </w:r>
            <w:r w:rsidRPr="006B04E1">
              <w:t>ation satellite system (DGNSS)</w:t>
            </w:r>
          </w:p>
          <w:p w:rsidR="00000000" w:rsidRPr="006B04E1" w:rsidP="006B04E1">
            <w:pPr>
              <w:pStyle w:val="ListBullet2"/>
            </w:pPr>
            <w:r w:rsidRPr="006B04E1">
              <w:t>frequency-modulated continuous wave (FMCW) radar-based systems</w:t>
            </w:r>
          </w:p>
          <w:p w:rsidR="00000000" w:rsidRPr="006B04E1" w:rsidP="006B04E1">
            <w:pPr>
              <w:pStyle w:val="ListBullet2"/>
            </w:pPr>
            <w:r w:rsidRPr="006B04E1">
              <w:t>inertial navigation systems (INS)</w:t>
            </w:r>
          </w:p>
          <w:p w:rsidR="00000000" w:rsidRPr="006B04E1" w:rsidP="006B04E1">
            <w:pPr>
              <w:pStyle w:val="ListBullet2"/>
            </w:pPr>
            <w:r w:rsidRPr="006B04E1">
              <w:t>laser systems</w:t>
            </w:r>
          </w:p>
          <w:p w:rsidR="00000000" w:rsidRPr="006B04E1" w:rsidP="006B04E1">
            <w:pPr>
              <w:pStyle w:val="ListBullet2"/>
            </w:pPr>
            <w:r w:rsidRPr="006B04E1">
              <w:t>taut wire systems.</w:t>
            </w:r>
          </w:p>
          <w:p w:rsidR="00000000" w:rsidRPr="006B04E1" w:rsidP="006B04E1">
            <w:pPr>
              <w:pStyle w:val="BodyText"/>
            </w:pPr>
            <w:r w:rsidRPr="006B04E1">
              <w:t>This unit applies to people working in the maritime industry in the capacity of:</w:t>
            </w:r>
          </w:p>
          <w:p w:rsidR="00000000" w:rsidRPr="006B04E1" w:rsidP="006B04E1">
            <w:pPr>
              <w:pStyle w:val="ListBullet2"/>
            </w:pPr>
            <w:r w:rsidRPr="006B04E1">
              <w:t>Dynamic Positioning Operator.</w:t>
            </w:r>
          </w:p>
          <w:p w:rsidR="00000000" w:rsidRPr="006B04E1" w:rsidP="006B04E1">
            <w:pPr>
              <w:pStyle w:val="BodyText"/>
            </w:pPr>
            <w:r w:rsidRPr="006B04E1">
              <w:t>Work is performed under limited supervision and applies to those responsible for operating dynamic positioning control systems in the work environment and who are responsible for their own work.</w:t>
            </w:r>
          </w:p>
          <w:p w:rsidR="00000000" w:rsidRPr="006B04E1" w:rsidP="006B04E1">
            <w:pPr>
              <w:pStyle w:val="BodyText"/>
            </w:pPr>
            <w:r w:rsidRPr="006B04E1">
              <w:t>Before undertaking this unit, s</w:t>
            </w:r>
            <w:r w:rsidRPr="006B04E1">
              <w:t>eafarers will need to hold or be working towards the achievement of one of the following:</w:t>
            </w:r>
          </w:p>
          <w:p w:rsidR="00000000" w:rsidRPr="006B04E1" w:rsidP="006B04E1">
            <w:pPr>
              <w:pStyle w:val="ListBullet2"/>
            </w:pPr>
            <w:r w:rsidRPr="006B04E1">
              <w:t>Chief engineer officers and second engineer officers on ships powered by main propulsion machinery of 3,000 kW propulsion power or more</w:t>
            </w:r>
          </w:p>
          <w:p w:rsidR="00000000" w:rsidRPr="006B04E1" w:rsidP="006B04E1">
            <w:pPr>
              <w:pStyle w:val="ListBullet2"/>
            </w:pPr>
            <w:r w:rsidRPr="006B04E1">
              <w:t>Chief engineer officers and s</w:t>
            </w:r>
            <w:r w:rsidRPr="006B04E1">
              <w:t>econd engineer officers on ships powered by main propulsion machinery of between 750 kW and 3,000 kW propulsion power</w:t>
            </w:r>
          </w:p>
          <w:p w:rsidR="00000000" w:rsidRPr="006B04E1" w:rsidP="006B04E1">
            <w:pPr>
              <w:pStyle w:val="ListBullet2"/>
            </w:pPr>
            <w:r w:rsidRPr="006B04E1">
              <w:t>Electro-technical officer</w:t>
            </w:r>
          </w:p>
          <w:p w:rsidR="00000000" w:rsidRPr="006B04E1" w:rsidP="006B04E1">
            <w:pPr>
              <w:pStyle w:val="ListBullet2"/>
            </w:pPr>
            <w:r w:rsidRPr="006B04E1">
              <w:t>Master or chief mate on ships of 3,000 Gross Tonnage (GT) or more</w:t>
            </w:r>
          </w:p>
          <w:p w:rsidR="00000000" w:rsidRPr="006B04E1" w:rsidP="006B04E1">
            <w:pPr>
              <w:pStyle w:val="ListBullet2"/>
            </w:pPr>
            <w:r w:rsidRPr="006B04E1">
              <w:t>Officers in charge of a navigation watch on sh</w:t>
            </w:r>
            <w:r w:rsidRPr="006B04E1">
              <w:t>ips of 500 GT or more</w:t>
            </w:r>
          </w:p>
          <w:p w:rsidR="00000000" w:rsidRPr="006B04E1" w:rsidP="006B04E1">
            <w:pPr>
              <w:pStyle w:val="ListBullet2"/>
            </w:pPr>
            <w:r w:rsidRPr="006B04E1">
              <w:t>Officers in charge of a navigational watch and Masters on ships of less than 500 GT</w:t>
            </w:r>
          </w:p>
          <w:p w:rsidR="00000000" w:rsidRPr="006B04E1" w:rsidP="006B04E1">
            <w:pPr>
              <w:pStyle w:val="ListBullet2"/>
            </w:pPr>
            <w:r w:rsidRPr="006B04E1">
              <w:t>Officers in charge of an engineering watch in a manned engine room or designated duty engineers in a periodically unmanned engine room.</w:t>
            </w:r>
          </w:p>
          <w:p w:rsidR="00000000" w:rsidRPr="006B04E1" w:rsidP="006B04E1">
            <w:pPr>
              <w:pStyle w:val="BodyText"/>
            </w:pPr>
          </w:p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Licensing/Reg</w:t>
            </w:r>
            <w:r w:rsidRPr="006B04E1">
              <w:rPr>
                <w:rStyle w:val="SpecialBold"/>
              </w:rPr>
              <w:t>ulatory Information</w:t>
            </w:r>
          </w:p>
          <w:p w:rsidR="00000000" w:rsidRPr="006B04E1" w:rsidP="006B04E1">
            <w:pPr>
              <w:pStyle w:val="BodyText"/>
            </w:pPr>
            <w:r w:rsidRPr="006B04E1">
              <w:t xml:space="preserve">No licensing, legislative or certification requirements apply to this unit at the time of publication. 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3" w:name="O_1155393"/>
      <w:bookmarkEnd w:id="3"/>
      <w:r w:rsidRPr="006B04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MARH025 Apply knowledge of dynamic positioning fundamentals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4" w:name="O_1155394"/>
      <w:bookmarkEnd w:id="4"/>
      <w:r w:rsidRPr="006B04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H - Navigation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5" w:name="O_1155395"/>
      <w:bookmarkEnd w:id="5"/>
      <w:r w:rsidRPr="006B04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Maritime Sector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6" w:name="O_1155396"/>
      <w:bookmarkEnd w:id="6"/>
      <w:r w:rsidRPr="006B04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PERFORMANCE CRITERIA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Performance criteria describe the performance needed to demonstrate achievement of the element.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dynamic positioning control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Architecture of a typical dynamic positioning control systems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Function and components of dynamic positioning control systems are identified and explained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Achieving redundancy using International Maritime Organization (IMO) requirements and vessel failure modes and effects analysis (FMEA)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 xml:space="preserve">Apply </w:t>
            </w:r>
            <w:r w:rsidRPr="006B04E1">
              <w:rPr>
                <w:rStyle w:val="SpecialBold"/>
              </w:rPr>
              <w:t>environmental reference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Function of gyro compasses and their redundancy in a dynamic positioning operating system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Process for obtaining pitch, roll and heaving information to input into dynamic positioning system is describe</w:t>
            </w:r>
            <w:r w:rsidRPr="006B04E1">
              <w:t>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Rationale for inputting pitch, roll and heave into dynamic positioning system is explained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Provision of wind sensors in a dynamic positioning system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Wind feed-forward facility and its importance within the dynamic positioning system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Limitations of wind sensor inputs, rationale for deselection and consequences of deselecting wind sensor inputs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Method by which the dynamic positioning system determines the value for dynamic positioning current/sea force and the residual error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Reasons for the discrepancy between the displayed value of dynamic positioning current/sea force and the true current or tidal stream value are explained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 xml:space="preserve">External reference systems are determined 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Apply position referencing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Position r</w:t>
            </w:r>
            <w:r w:rsidRPr="006B04E1">
              <w:t xml:space="preserve">eference systems used in dynamic positioning installations are outlined 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position referencing systems used in dynamic positioning installations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DGNSS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DGNSS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Operational of typical commercial DGNSS network using corrections which are delivered by satellite communications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Effects on the quality of positioning impacted by error and inaccuracy associated with the DGNSS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Qual</w:t>
            </w:r>
            <w:r w:rsidRPr="006B04E1">
              <w:t>ity data from DGNSS are identified and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DGNSS and other position referencing systems are compared and advantages and limitations are identified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laser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position referencing using laser-based systems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Method of setting up a laser system to provide best position information is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Advantages and limitations of laser-based position referencing systems are outline</w:t>
            </w:r>
            <w:r w:rsidRPr="006B04E1">
              <w:t>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FMCW radar-based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position referencing using FMCW radar-based systems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Advantages and limitations of FMCW radar-based systems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and operation of Artemis position referencing system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Operational advantages and limitations of Artemis position referencing system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acoustic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Operation of hydro-acoustic position referencing</w:t>
            </w:r>
            <w:r w:rsidRPr="006B04E1">
              <w:t xml:space="preserve"> systems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position-fixing using underwater acoustic systems working in super-short baseline (SSBL)/ultra-short baseline (USBL) and long baseline (LBL) modes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Hydro-acoustic transponders, responders and piner/beacon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7.4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Layout of hydro-acoustic system, operator station, transceiver, transducer pole and transducer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7.5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Operational advantages and limitations of acoustic systems as a</w:t>
            </w:r>
            <w:r w:rsidRPr="006B04E1">
              <w:t xml:space="preserve"> position reference for dynamic positioning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8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taut wire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8.1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taut wire systems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8.2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Types of taut wire position referencing systems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8.3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Advantages and limitations of taut wire position referencing systems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8.4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Display of taut wire reference data in dynamic positioning systems are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9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rPr>
                <w:rStyle w:val="SpecialBold"/>
              </w:rPr>
              <w:t>Explain INS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9.1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Principles of INS are outlined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9.2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t>Method of using INS enhance existing position referencing system performance is described</w:t>
            </w:r>
          </w:p>
        </w:tc>
      </w:tr>
      <w:tr w:rsidTr="006B0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1">
            <w:pPr>
              <w:pStyle w:val="BodyText"/>
              <w:rPr>
                <w:lang w:val="en-NZ"/>
              </w:rPr>
            </w:pPr>
            <w:r w:rsidRPr="006B04E1">
              <w:rPr>
                <w:rStyle w:val="SpecialBold"/>
              </w:rPr>
              <w:t>9.3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Other position referencing systems that can be used in conjunction with a dynamic position system is described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7" w:name="O_1155397"/>
      <w:bookmarkEnd w:id="7"/>
      <w:r w:rsidRPr="006B04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Foundation skills essential to performance are explicit in the performance criteria of this unit of competency.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8" w:name="O_1155398"/>
      <w:bookmarkEnd w:id="8"/>
      <w:r w:rsidRPr="006B04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Range is restricted to essential operating conditions and any other variables essential to the work environment.</w:t>
            </w:r>
          </w:p>
          <w:p w:rsidR="00000000" w:rsidRPr="006B04E1" w:rsidP="006B04E1">
            <w:pPr>
              <w:pStyle w:val="BodyText"/>
            </w:pPr>
            <w:r w:rsidRPr="006B04E1">
              <w:t>Non-essential conditions may be found in the MAR Maritime Training Package Companion Volume Implementation Guide.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9" w:name="O_1155399"/>
      <w:bookmarkEnd w:id="9"/>
      <w:r w:rsidRPr="006B04E1">
        <w:t>Unit Ma</w:t>
      </w:r>
      <w:r w:rsidRPr="006B04E1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4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1" w:rsidP="006B04E1">
            <w:pPr>
              <w:pStyle w:val="BodyText"/>
            </w:pPr>
            <w:r w:rsidRPr="006B04E1">
              <w:t>This is a new unit.  No equivalent unit.</w:t>
            </w:r>
          </w:p>
        </w:tc>
      </w:tr>
    </w:tbl>
    <w:p w:rsidR="00FC0536" w:rsidP="006B04E1">
      <w:pPr>
        <w:pStyle w:val="NoPaddingFontSize1"/>
      </w:pPr>
    </w:p>
    <w:p w:rsidR="00FC0536" w:rsidP="006B04E1">
      <w:pPr>
        <w:pStyle w:val="NoPaddingFontSize1"/>
      </w:pPr>
    </w:p>
    <w:p w:rsidR="00000000" w:rsidRPr="006B04E1" w:rsidP="006B04E1">
      <w:pPr>
        <w:pStyle w:val="Heading1"/>
      </w:pPr>
      <w:bookmarkStart w:id="10" w:name="O_1155406"/>
      <w:bookmarkEnd w:id="10"/>
      <w:r w:rsidRPr="006B04E1">
        <w:t>Links</w:t>
      </w:r>
    </w:p>
    <w:p w:rsidR="00000000" w:rsidRPr="006B04E1" w:rsidP="00FC0536">
      <w:pPr>
        <w:pStyle w:val="BodyText"/>
      </w:pPr>
      <w:r w:rsidRPr="006B04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45E6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B04E1" w:rsidP="006B04E1"/>
    <w:sectPr w:rsidSect="006B0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1" w:rsidRPr="00FC0536" w:rsidP="00FC0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36" w:rsidP="006B0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536" w:rsidP="006B0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C0536" w:rsidP="006B0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4E1" w:rsidRPr="00FC0536" w:rsidP="00FC0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36" w:rsidRPr="002D2AF8" w:rsidP="006B0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MARH027 Apply knowledge of dynamic positioning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C0536" w:rsidP="006B0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60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CF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4E1"/>
  </w:style>
  <w:style w:type="character" w:customStyle="1" w:styleId="Heading1Char">
    <w:name w:val="Heading 1 Char"/>
    <w:basedOn w:val="DefaultParagraphFont"/>
    <w:link w:val="Heading1"/>
    <w:rsid w:val="006B0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4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04E1"/>
    <w:rPr>
      <w:b/>
      <w:spacing w:val="0"/>
    </w:rPr>
  </w:style>
  <w:style w:type="paragraph" w:styleId="ListBullet2">
    <w:name w:val="List Bullet 2"/>
    <w:basedOn w:val="List2"/>
    <w:rsid w:val="006B04E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0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4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4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4E1"/>
    <w:rPr>
      <w:i/>
    </w:rPr>
  </w:style>
  <w:style w:type="paragraph" w:styleId="Caption">
    <w:name w:val="caption"/>
    <w:basedOn w:val="BodyText"/>
    <w:next w:val="Normal"/>
    <w:qFormat/>
    <w:rsid w:val="006B0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4E1"/>
  </w:style>
  <w:style w:type="paragraph" w:styleId="TableofFigures">
    <w:name w:val="table of figures"/>
    <w:basedOn w:val="Normal"/>
    <w:next w:val="Normal"/>
    <w:semiHidden/>
    <w:rsid w:val="006B0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4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4E1"/>
    <w:rPr>
      <w:rFonts w:ascii="Wingdings" w:hAnsi="Wingdings"/>
    </w:rPr>
  </w:style>
  <w:style w:type="paragraph" w:customStyle="1" w:styleId="TableHeading">
    <w:name w:val="Table Heading"/>
    <w:basedOn w:val="HeadingBase"/>
    <w:rsid w:val="006B0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4E1"/>
    <w:rPr>
      <w:color w:val="0033CC"/>
      <w:u w:val="none"/>
    </w:rPr>
  </w:style>
  <w:style w:type="paragraph" w:customStyle="1" w:styleId="BodyTextRight">
    <w:name w:val="Body Text Right"/>
    <w:basedOn w:val="BodyText"/>
    <w:rsid w:val="006B0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4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4E1"/>
    <w:rPr>
      <w:sz w:val="32"/>
    </w:rPr>
  </w:style>
  <w:style w:type="paragraph" w:customStyle="1" w:styleId="HeadingProcedure">
    <w:name w:val="Heading Procedure"/>
    <w:basedOn w:val="HeadingBase"/>
    <w:next w:val="Normal"/>
    <w:rsid w:val="006B0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4E1"/>
    <w:pPr>
      <w:spacing w:before="60" w:after="60"/>
    </w:pPr>
  </w:style>
  <w:style w:type="paragraph" w:styleId="ListContinue">
    <w:name w:val="List Continue"/>
    <w:basedOn w:val="List"/>
    <w:rsid w:val="006B04E1"/>
    <w:pPr>
      <w:ind w:firstLine="0"/>
    </w:pPr>
  </w:style>
  <w:style w:type="paragraph" w:customStyle="1" w:styleId="ListNote">
    <w:name w:val="List Note"/>
    <w:basedOn w:val="List"/>
    <w:rsid w:val="006B0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4E1"/>
    <w:rPr>
      <w:rFonts w:ascii="Courier New" w:hAnsi="Courier New"/>
    </w:rPr>
  </w:style>
  <w:style w:type="paragraph" w:customStyle="1" w:styleId="NoteBullet">
    <w:name w:val="Note Bullet"/>
    <w:basedOn w:val="Note"/>
    <w:rsid w:val="006B0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4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4E1"/>
    <w:rPr>
      <w:b/>
      <w:smallCaps/>
    </w:rPr>
  </w:style>
  <w:style w:type="paragraph" w:customStyle="1" w:styleId="TableListNumber">
    <w:name w:val="Table List Number"/>
    <w:basedOn w:val="ListNumber"/>
    <w:rsid w:val="006B0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4E1"/>
    <w:pPr>
      <w:numPr>
        <w:numId w:val="8"/>
      </w:numPr>
    </w:pPr>
  </w:style>
  <w:style w:type="paragraph" w:customStyle="1" w:styleId="ListAlpha2">
    <w:name w:val="List Alpha 2"/>
    <w:basedOn w:val="List2"/>
    <w:rsid w:val="006B04E1"/>
    <w:pPr>
      <w:numPr>
        <w:numId w:val="7"/>
      </w:numPr>
    </w:pPr>
  </w:style>
  <w:style w:type="paragraph" w:styleId="List2">
    <w:name w:val="List 2"/>
    <w:basedOn w:val="BodyText"/>
    <w:rsid w:val="006B0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4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4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4E1"/>
    <w:pPr>
      <w:numPr>
        <w:numId w:val="3"/>
      </w:numPr>
    </w:pPr>
  </w:style>
  <w:style w:type="paragraph" w:styleId="ListContinue2">
    <w:name w:val="List Continue 2"/>
    <w:basedOn w:val="List2"/>
    <w:rsid w:val="006B04E1"/>
    <w:pPr>
      <w:ind w:firstLine="0"/>
    </w:pPr>
  </w:style>
  <w:style w:type="paragraph" w:styleId="ListContinue3">
    <w:name w:val="List Continue 3"/>
    <w:basedOn w:val="List3"/>
    <w:rsid w:val="006B04E1"/>
    <w:pPr>
      <w:ind w:left="1021" w:firstLine="0"/>
    </w:pPr>
  </w:style>
  <w:style w:type="paragraph" w:styleId="ListContinue4">
    <w:name w:val="List Continue 4"/>
    <w:basedOn w:val="List4"/>
    <w:rsid w:val="006B04E1"/>
    <w:pPr>
      <w:ind w:firstLine="0"/>
    </w:pPr>
  </w:style>
  <w:style w:type="paragraph" w:styleId="ListContinue5">
    <w:name w:val="List Continue 5"/>
    <w:basedOn w:val="List5"/>
    <w:rsid w:val="006B04E1"/>
    <w:pPr>
      <w:ind w:firstLine="0"/>
    </w:pPr>
  </w:style>
  <w:style w:type="paragraph" w:styleId="ListNumber3">
    <w:name w:val="List Number 3"/>
    <w:basedOn w:val="List3"/>
    <w:rsid w:val="006B04E1"/>
    <w:pPr>
      <w:numPr>
        <w:numId w:val="4"/>
      </w:numPr>
    </w:pPr>
  </w:style>
  <w:style w:type="paragraph" w:styleId="ListNumber4">
    <w:name w:val="List Number 4"/>
    <w:basedOn w:val="List4"/>
    <w:rsid w:val="006B04E1"/>
    <w:pPr>
      <w:numPr>
        <w:numId w:val="5"/>
      </w:numPr>
    </w:pPr>
  </w:style>
  <w:style w:type="paragraph" w:styleId="ListNumber5">
    <w:name w:val="List Number 5"/>
    <w:basedOn w:val="List5"/>
    <w:rsid w:val="006B04E1"/>
    <w:pPr>
      <w:numPr>
        <w:numId w:val="6"/>
      </w:numPr>
    </w:pPr>
  </w:style>
  <w:style w:type="paragraph" w:styleId="BlockText">
    <w:name w:val="Block Text"/>
    <w:basedOn w:val="Normal"/>
    <w:rsid w:val="006B0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4E1"/>
    <w:rPr>
      <w:sz w:val="16"/>
      <w:vertAlign w:val="superscript"/>
    </w:rPr>
  </w:style>
  <w:style w:type="character" w:customStyle="1" w:styleId="Symbols">
    <w:name w:val="Symbols"/>
    <w:basedOn w:val="DefaultParagraphFont"/>
    <w:rsid w:val="006B04E1"/>
    <w:rPr>
      <w:rFonts w:ascii="Symbol" w:hAnsi="Symbol"/>
    </w:rPr>
  </w:style>
  <w:style w:type="character" w:customStyle="1" w:styleId="MenuOptions">
    <w:name w:val="Menu Options"/>
    <w:basedOn w:val="DefaultParagraphFont"/>
    <w:rsid w:val="006B0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4E1"/>
    <w:rPr>
      <w:b/>
    </w:rPr>
  </w:style>
  <w:style w:type="character" w:customStyle="1" w:styleId="Underlined">
    <w:name w:val="Underlined"/>
    <w:basedOn w:val="DefaultParagraphFont"/>
    <w:rsid w:val="006B04E1"/>
    <w:rPr>
      <w:u w:val="single"/>
    </w:rPr>
  </w:style>
  <w:style w:type="paragraph" w:customStyle="1" w:styleId="TableBodyTextRight">
    <w:name w:val="Table Body Text Right"/>
    <w:basedOn w:val="TableBodyText"/>
    <w:rsid w:val="006B0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4E1"/>
    <w:rPr>
      <w:sz w:val="18"/>
    </w:rPr>
  </w:style>
  <w:style w:type="paragraph" w:customStyle="1" w:styleId="BodySmallRight">
    <w:name w:val="Body Small Right"/>
    <w:basedOn w:val="BodyTextRight"/>
    <w:rsid w:val="006B04E1"/>
    <w:rPr>
      <w:sz w:val="18"/>
      <w:szCs w:val="18"/>
    </w:rPr>
  </w:style>
  <w:style w:type="paragraph" w:customStyle="1" w:styleId="MarginEdition">
    <w:name w:val="Margin Edition"/>
    <w:basedOn w:val="MarginNote"/>
    <w:rsid w:val="006B0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4E1"/>
    <w:rPr>
      <w:sz w:val="2"/>
      <w:szCs w:val="2"/>
    </w:rPr>
  </w:style>
  <w:style w:type="character" w:customStyle="1" w:styleId="Small">
    <w:name w:val="Small"/>
    <w:basedOn w:val="DefaultParagraphFont"/>
    <w:rsid w:val="006B04E1"/>
    <w:rPr>
      <w:sz w:val="16"/>
    </w:rPr>
  </w:style>
  <w:style w:type="paragraph" w:customStyle="1" w:styleId="WideTable">
    <w:name w:val="Wide Table"/>
    <w:basedOn w:val="Normal"/>
    <w:rsid w:val="006B0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4E1"/>
  </w:style>
  <w:style w:type="paragraph" w:styleId="Quote">
    <w:name w:val="Quote"/>
    <w:basedOn w:val="Heading1"/>
    <w:link w:val="QuoteChar"/>
    <w:qFormat/>
    <w:rsid w:val="006B0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4E1"/>
    <w:pPr>
      <w:pageBreakBefore/>
    </w:pPr>
  </w:style>
  <w:style w:type="paragraph" w:customStyle="1" w:styleId="Border">
    <w:name w:val="Border"/>
    <w:basedOn w:val="Normal"/>
    <w:qFormat/>
    <w:rsid w:val="006B0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4E1"/>
    <w:rPr>
      <w:u w:val="single"/>
    </w:rPr>
  </w:style>
  <w:style w:type="character" w:customStyle="1" w:styleId="BoldandItalics">
    <w:name w:val="Bold and Italics"/>
    <w:qFormat/>
    <w:rsid w:val="006B04E1"/>
    <w:rPr>
      <w:b/>
      <w:i/>
      <w:u w:val="none"/>
    </w:rPr>
  </w:style>
  <w:style w:type="paragraph" w:styleId="BalloonText">
    <w:name w:val="Balloon Text"/>
    <w:basedOn w:val="Normal"/>
    <w:link w:val="BalloonTextChar"/>
    <w:rsid w:val="006B0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4E1"/>
    <w:pPr>
      <w:spacing w:before="0" w:after="0"/>
    </w:pPr>
  </w:style>
  <w:style w:type="paragraph" w:customStyle="1" w:styleId="BodyTextBold">
    <w:name w:val="Body Text Bold"/>
    <w:basedOn w:val="BodyText"/>
    <w:qFormat/>
    <w:rsid w:val="006B04E1"/>
    <w:rPr>
      <w:b/>
    </w:rPr>
  </w:style>
  <w:style w:type="character" w:styleId="Hyperlink">
    <w:name w:val="Hyperlink"/>
    <w:basedOn w:val="DefaultParagraphFont"/>
    <w:uiPriority w:val="99"/>
    <w:unhideWhenUsed/>
    <w:rsid w:val="00FC0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6126</Characters>
  <Application>Microsoft Office Word</Application>
  <DocSecurity>0</DocSecurity>
  <Lines>306</Lines>
  <Paragraphs>169</Paragraphs>
  <ScaleCrop>false</ScaleCrop>
  <Company>Author-it Software Corporation Ltd.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MARH027 Apply knowledge of dynamic positioning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2024-11-22T08:03:00Z</dcterms:created>
  <dcterms:modified xsi:type="dcterms:W3CDTF">2024-11-22T08:03:00Z</dcterms:modified>
</cp:coreProperties>
</file>