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1D14" w:rsidP="00371D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MARH025 Apply knowledge of dynamic positioning fundamentals</w:t>
      </w:r>
      <w:r>
        <w:fldChar w:fldCharType="end"/>
      </w:r>
    </w:p>
    <w:p w:rsidR="00371D14" w:rsidP="00371D14">
      <w:pPr>
        <w:pStyle w:val="Version"/>
        <w:sectPr w:rsidSect="00711E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1E40" w:rsidP="00711E40">
      <w:pPr>
        <w:pStyle w:val="SuperHeading"/>
      </w:pPr>
      <w:r w:rsidRPr="00711E40">
        <w:t>MARH025 Apply knowledge of dynamic positioning fundamentals</w:t>
      </w:r>
    </w:p>
    <w:p w:rsidR="00000000" w:rsidRPr="00711E40" w:rsidP="00711E40">
      <w:pPr>
        <w:pStyle w:val="Heading1"/>
      </w:pPr>
      <w:bookmarkStart w:id="1" w:name="O_1152916"/>
      <w:bookmarkEnd w:id="1"/>
      <w:r w:rsidRPr="00711E4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E40" w:rsidP="00711E40">
            <w:pPr>
              <w:pStyle w:val="BodyText"/>
            </w:pPr>
            <w:r w:rsidRPr="00711E40">
              <w:t xml:space="preserve">Release 1. This is the first release of this unit of competency in the MAR Maritime Training Package. </w:t>
            </w:r>
          </w:p>
        </w:tc>
      </w:tr>
    </w:tbl>
    <w:p w:rsidR="00371D14" w:rsidP="00711E40">
      <w:pPr>
        <w:pStyle w:val="NoPaddingFontSize1"/>
      </w:pPr>
    </w:p>
    <w:p w:rsidR="00371D14" w:rsidP="00711E40">
      <w:pPr>
        <w:pStyle w:val="NoPaddingFontSize1"/>
      </w:pPr>
    </w:p>
    <w:p w:rsidR="00000000" w:rsidRPr="00711E40" w:rsidP="00711E40">
      <w:pPr>
        <w:pStyle w:val="Heading1"/>
      </w:pPr>
      <w:bookmarkStart w:id="2" w:name="O_1152917"/>
      <w:bookmarkEnd w:id="2"/>
      <w:r w:rsidRPr="00711E4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E40" w:rsidP="00711E40">
            <w:pPr>
              <w:pStyle w:val="BodyText"/>
            </w:pPr>
            <w:r w:rsidRPr="00711E40">
              <w:t>This unit involves the skills and knowledge required to apply knowledge of the f</w:t>
            </w:r>
            <w:r w:rsidRPr="00711E40">
              <w:t xml:space="preserve">undamentals of dynamic positioning control systems. </w:t>
            </w:r>
          </w:p>
          <w:p w:rsidR="00000000" w:rsidRPr="00711E40" w:rsidP="00711E40">
            <w:pPr>
              <w:pStyle w:val="BodyText"/>
            </w:pPr>
            <w:r w:rsidRPr="00711E40">
              <w:t>This unit includes explaining dynamic positioning rules, regulations and guidelines, applying dynamic positioning principles and dynamic positioning system principles.</w:t>
            </w:r>
          </w:p>
          <w:p w:rsidR="00000000" w:rsidRPr="00711E40" w:rsidP="00711E40">
            <w:pPr>
              <w:pStyle w:val="BodyText"/>
            </w:pPr>
            <w:r w:rsidRPr="00711E40">
              <w:t>This unit applies to people working</w:t>
            </w:r>
            <w:r w:rsidRPr="00711E40">
              <w:t xml:space="preserve"> in the maritime industry in the capacity of:</w:t>
            </w:r>
          </w:p>
          <w:p w:rsidR="00000000" w:rsidRPr="00711E40" w:rsidP="00711E40">
            <w:pPr>
              <w:pStyle w:val="ListBullet"/>
            </w:pPr>
            <w:r w:rsidRPr="00711E40">
              <w:t xml:space="preserve">Dynamic Positioning Operator. </w:t>
            </w:r>
          </w:p>
          <w:p w:rsidR="00000000" w:rsidRPr="00711E40" w:rsidP="00711E40">
            <w:pPr>
              <w:pStyle w:val="BodyText"/>
            </w:pPr>
            <w:r w:rsidRPr="00711E40">
              <w:t>Work is performed under limited supervision and applies to those responsible for operating dynamic positioning control systems in the work environment and who are responsible for</w:t>
            </w:r>
            <w:r w:rsidRPr="00711E40">
              <w:t xml:space="preserve"> their own work. </w:t>
            </w:r>
          </w:p>
          <w:p w:rsidR="00000000" w:rsidRPr="00711E40" w:rsidP="00711E40">
            <w:pPr>
              <w:pStyle w:val="BodyText"/>
            </w:pPr>
            <w:r w:rsidRPr="00711E40">
              <w:t>Before undertaking this unit, seafarers will need to hold or be working towards the achievement of one of the following:</w:t>
            </w:r>
          </w:p>
          <w:p w:rsidR="00000000" w:rsidRPr="00711E40" w:rsidP="00711E40">
            <w:pPr>
              <w:pStyle w:val="ListBullet"/>
            </w:pPr>
            <w:r w:rsidRPr="00711E40">
              <w:t>Chief engineer officers and second engineer officers on ships powered by main propulsion machinery of 3,000 kW propu</w:t>
            </w:r>
            <w:r w:rsidRPr="00711E40">
              <w:t>lsion power or more</w:t>
            </w:r>
          </w:p>
          <w:p w:rsidR="00000000" w:rsidRPr="00711E40" w:rsidP="00711E40">
            <w:pPr>
              <w:pStyle w:val="ListBullet"/>
            </w:pPr>
            <w:r w:rsidRPr="00711E40">
              <w:t>Chief engineer officers and second engineer officers on ships powered by main propulsion machinery of between 750 kW and 3,000 kW propulsion power</w:t>
            </w:r>
          </w:p>
          <w:p w:rsidR="00000000" w:rsidRPr="00711E40" w:rsidP="00711E40">
            <w:pPr>
              <w:pStyle w:val="ListBullet"/>
            </w:pPr>
            <w:r w:rsidRPr="00711E40">
              <w:t>Electro-technical officer</w:t>
            </w:r>
          </w:p>
          <w:p w:rsidR="00000000" w:rsidRPr="00711E40" w:rsidP="00711E40">
            <w:pPr>
              <w:pStyle w:val="ListBullet"/>
            </w:pPr>
            <w:r w:rsidRPr="00711E40">
              <w:t>Master or chief mate on ships of 3,000 Gross Tonnage (GT) or more</w:t>
            </w:r>
          </w:p>
          <w:p w:rsidR="00000000" w:rsidRPr="00711E40" w:rsidP="00711E40">
            <w:pPr>
              <w:pStyle w:val="ListBullet"/>
            </w:pPr>
            <w:r w:rsidRPr="00711E40">
              <w:t>Officers in charge of a navigation watch on ships of 500 GT or more</w:t>
            </w:r>
          </w:p>
          <w:p w:rsidR="00000000" w:rsidRPr="00711E40" w:rsidP="00711E40">
            <w:pPr>
              <w:pStyle w:val="ListBullet"/>
            </w:pPr>
            <w:r w:rsidRPr="00711E40">
              <w:t>Officers in charge of a navigational watch and Masters on ships of less than 500 GT</w:t>
            </w:r>
          </w:p>
          <w:p w:rsidR="00000000" w:rsidRPr="00711E40" w:rsidP="00711E40">
            <w:pPr>
              <w:pStyle w:val="ListBullet"/>
            </w:pPr>
            <w:r w:rsidRPr="00711E40">
              <w:t>Officers in charge of an engineering w</w:t>
            </w:r>
            <w:r w:rsidRPr="00711E40">
              <w:t>atch in a manned engine room or designated duty engineers in a periodically unmanned engine room.</w:t>
            </w:r>
          </w:p>
          <w:p w:rsidR="00000000" w:rsidRPr="00711E40" w:rsidP="00711E40">
            <w:pPr>
              <w:pStyle w:val="BodyText"/>
            </w:pPr>
          </w:p>
          <w:p w:rsidR="00000000" w:rsidRPr="00711E40" w:rsidP="00711E40">
            <w:pPr>
              <w:pStyle w:val="BodyText"/>
            </w:pPr>
            <w:r w:rsidRPr="00711E40">
              <w:rPr>
                <w:rStyle w:val="SpecialBold"/>
              </w:rPr>
              <w:t>Licensing/Regulatory Information</w:t>
            </w:r>
          </w:p>
          <w:p w:rsidR="00000000" w:rsidRPr="00711E40" w:rsidP="00711E40">
            <w:pPr>
              <w:pStyle w:val="BodyText"/>
            </w:pPr>
            <w:r w:rsidRPr="00711E40">
              <w:t xml:space="preserve">No licensing, legislative or certification requirements apply to this unit at the time of publication. </w:t>
            </w:r>
          </w:p>
        </w:tc>
      </w:tr>
    </w:tbl>
    <w:p w:rsidR="00371D14" w:rsidP="00711E40">
      <w:pPr>
        <w:pStyle w:val="NoPaddingFontSize1"/>
      </w:pPr>
    </w:p>
    <w:p w:rsidR="00371D14" w:rsidP="00711E40">
      <w:pPr>
        <w:pStyle w:val="NoPaddingFontSize1"/>
      </w:pPr>
    </w:p>
    <w:p w:rsidR="00000000" w:rsidRPr="00711E40" w:rsidP="00711E40">
      <w:pPr>
        <w:pStyle w:val="Heading1"/>
      </w:pPr>
      <w:bookmarkStart w:id="3" w:name="O_1152918"/>
      <w:bookmarkEnd w:id="3"/>
      <w:r w:rsidRPr="00711E4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E40" w:rsidP="00711E40">
            <w:pPr>
              <w:pStyle w:val="BodyText"/>
            </w:pPr>
            <w:r w:rsidRPr="00711E40">
              <w:t>Not Applicable</w:t>
            </w:r>
          </w:p>
        </w:tc>
      </w:tr>
    </w:tbl>
    <w:p w:rsidR="00371D14" w:rsidP="00711E40">
      <w:pPr>
        <w:pStyle w:val="NoPaddingFontSize1"/>
      </w:pPr>
    </w:p>
    <w:p w:rsidR="00371D14" w:rsidP="00711E40">
      <w:pPr>
        <w:pStyle w:val="NoPaddingFontSize1"/>
      </w:pPr>
    </w:p>
    <w:p w:rsidR="00000000" w:rsidRPr="00711E40" w:rsidP="00711E40">
      <w:pPr>
        <w:pStyle w:val="Heading1"/>
      </w:pPr>
      <w:bookmarkStart w:id="4" w:name="O_1152919"/>
      <w:bookmarkEnd w:id="4"/>
      <w:r w:rsidRPr="00711E4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E40" w:rsidP="00711E40">
            <w:pPr>
              <w:pStyle w:val="BodyText"/>
            </w:pPr>
            <w:r w:rsidRPr="00711E40">
              <w:t>H - Navigation</w:t>
            </w:r>
          </w:p>
        </w:tc>
      </w:tr>
    </w:tbl>
    <w:p w:rsidR="00371D14" w:rsidP="00711E40">
      <w:pPr>
        <w:pStyle w:val="NoPaddingFontSize1"/>
      </w:pPr>
    </w:p>
    <w:p w:rsidR="00371D14" w:rsidP="00711E40">
      <w:pPr>
        <w:pStyle w:val="NoPaddingFontSize1"/>
      </w:pPr>
    </w:p>
    <w:p w:rsidR="00000000" w:rsidRPr="00711E40" w:rsidP="00711E40">
      <w:pPr>
        <w:pStyle w:val="Heading1"/>
      </w:pPr>
      <w:bookmarkStart w:id="5" w:name="O_1152920"/>
      <w:bookmarkEnd w:id="5"/>
      <w:r w:rsidRPr="00711E4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E40" w:rsidP="00711E40">
            <w:pPr>
              <w:pStyle w:val="BodyText"/>
            </w:pPr>
            <w:r w:rsidRPr="00711E40">
              <w:t>Maritime Sector</w:t>
            </w:r>
          </w:p>
        </w:tc>
      </w:tr>
    </w:tbl>
    <w:p w:rsidR="00371D14" w:rsidP="00711E40">
      <w:pPr>
        <w:pStyle w:val="NoPaddingFontSize1"/>
      </w:pPr>
    </w:p>
    <w:p w:rsidR="00371D14" w:rsidP="00711E40">
      <w:pPr>
        <w:pStyle w:val="NoPaddingFontSize1"/>
      </w:pPr>
    </w:p>
    <w:p w:rsidR="00000000" w:rsidRPr="00711E40" w:rsidP="00711E40">
      <w:pPr>
        <w:pStyle w:val="Heading1"/>
      </w:pPr>
      <w:bookmarkStart w:id="6" w:name="O_1152921"/>
      <w:bookmarkEnd w:id="6"/>
      <w:r w:rsidRPr="00711E4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711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E40" w:rsidP="00711E40">
            <w:pPr>
              <w:pStyle w:val="BodyText"/>
            </w:pPr>
            <w:r w:rsidRPr="00711E40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rPr>
                <w:rStyle w:val="SpecialBold"/>
              </w:rPr>
              <w:t>PERFORMANCE CRITERIA</w:t>
            </w:r>
          </w:p>
        </w:tc>
      </w:tr>
      <w:tr w:rsidTr="00711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t>Performance criteria describe the performance needed to demonstrate achievement of the element.</w:t>
            </w:r>
          </w:p>
        </w:tc>
      </w:tr>
      <w:tr w:rsidTr="00711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E40" w:rsidP="00711E40">
            <w:pPr>
              <w:pStyle w:val="BodyText"/>
            </w:pPr>
            <w:r w:rsidRPr="00711E40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E40" w:rsidP="00711E40">
            <w:pPr>
              <w:pStyle w:val="BodyText"/>
            </w:pPr>
            <w:r w:rsidRPr="00711E40">
              <w:rPr>
                <w:rStyle w:val="SpecialBold"/>
              </w:rPr>
              <w:t>Explain dynamic positioning rules, regulations and guidelines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t>Statutory requirements, international regulatio</w:t>
            </w:r>
            <w:r w:rsidRPr="00711E40">
              <w:t>ns and guidelines used during dynamic positioning operations are confirmed</w:t>
            </w:r>
          </w:p>
        </w:tc>
      </w:tr>
      <w:tr w:rsidTr="00711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E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t>Relationship between international regulations, rules and guidelines are outlined</w:t>
            </w:r>
          </w:p>
        </w:tc>
      </w:tr>
      <w:tr w:rsidTr="00711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E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t>Equipment classes and their application to International Maritime Organization (IMO) Guidelines for Vessels with dynamic positioning systems are identified</w:t>
            </w:r>
          </w:p>
        </w:tc>
      </w:tr>
      <w:tr w:rsidTr="00711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E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t>Principles and requirements of dynamic positioning redundancy are outlined for different dyna</w:t>
            </w:r>
            <w:r w:rsidRPr="00711E40">
              <w:t xml:space="preserve">mic positioning classes </w:t>
            </w:r>
          </w:p>
        </w:tc>
      </w:tr>
      <w:tr w:rsidTr="00711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E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t>Documentation used during dynamic positioning operations is identified and confirmed</w:t>
            </w:r>
          </w:p>
        </w:tc>
      </w:tr>
      <w:tr w:rsidTr="00711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E40" w:rsidP="00711E40">
            <w:pPr>
              <w:pStyle w:val="BodyText"/>
            </w:pPr>
            <w:r w:rsidRPr="00711E4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E40" w:rsidP="00711E40">
            <w:pPr>
              <w:pStyle w:val="BodyText"/>
            </w:pPr>
            <w:r w:rsidRPr="00711E40">
              <w:rPr>
                <w:rStyle w:val="SpecialBold"/>
              </w:rPr>
              <w:t>Apply dynamic positioning principles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t>Dynamic positioning principle are defined</w:t>
            </w:r>
          </w:p>
        </w:tc>
      </w:tr>
      <w:tr w:rsidTr="00711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E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t>Six freedoms of movement of a vessel are applied</w:t>
            </w:r>
          </w:p>
        </w:tc>
      </w:tr>
      <w:tr w:rsidTr="00711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E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t>Main components of dynamic positioning systems are described</w:t>
            </w:r>
          </w:p>
        </w:tc>
      </w:tr>
      <w:tr w:rsidTr="00711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E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t>Mathematical modelling is described, including advantages and disadvantages of each technique</w:t>
            </w:r>
          </w:p>
        </w:tc>
      </w:tr>
      <w:tr w:rsidTr="00711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E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t>Method by which the dynamic positioning systems determines the residual error is described</w:t>
            </w:r>
          </w:p>
        </w:tc>
      </w:tr>
      <w:tr w:rsidTr="00711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E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t xml:space="preserve">Reasons for discrepancy between the displayed value for </w:t>
            </w:r>
            <w:r w:rsidRPr="00711E40">
              <w:t xml:space="preserve">dynamic positioning current/sea force on the dynamic positioning system and the true current/tide are </w:t>
            </w:r>
            <w:r w:rsidRPr="00711E40">
              <w:t>described</w:t>
            </w:r>
          </w:p>
        </w:tc>
      </w:tr>
      <w:tr w:rsidTr="00711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E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t>Control systems associated with a dynamic positioning system are described</w:t>
            </w:r>
          </w:p>
        </w:tc>
      </w:tr>
      <w:tr w:rsidTr="00711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E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t xml:space="preserve">Position reference systems associated with dynamic positioning installations are described </w:t>
            </w:r>
          </w:p>
        </w:tc>
      </w:tr>
      <w:tr w:rsidTr="00711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E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t xml:space="preserve">Sensor systems associated with dynamic positioning installations are described </w:t>
            </w:r>
          </w:p>
        </w:tc>
      </w:tr>
      <w:tr w:rsidTr="00711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E40" w:rsidP="00711E40">
            <w:pPr>
              <w:pStyle w:val="BodyText"/>
            </w:pPr>
            <w:r w:rsidRPr="00711E4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E40" w:rsidP="00711E40">
            <w:pPr>
              <w:pStyle w:val="BodyText"/>
            </w:pPr>
            <w:r w:rsidRPr="00711E40">
              <w:rPr>
                <w:rStyle w:val="SpecialBold"/>
              </w:rPr>
              <w:t>Apply dynamic positioning system principles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t>Dynamic positioning modes of operation and common specialist functions are identified and applied</w:t>
            </w:r>
          </w:p>
        </w:tc>
      </w:tr>
      <w:tr w:rsidTr="00711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E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t>Dynamic positioning gain and its application in a dynamic positioning system is explained</w:t>
            </w:r>
          </w:p>
        </w:tc>
      </w:tr>
      <w:tr w:rsidTr="00711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E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t>Centre of rotation and provision of alternative centres of rotation are outlined and explained</w:t>
            </w:r>
          </w:p>
        </w:tc>
      </w:tr>
      <w:tr w:rsidTr="00711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E4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E40">
            <w:pPr>
              <w:pStyle w:val="BodyText"/>
              <w:rPr>
                <w:lang w:val="en-NZ"/>
              </w:rPr>
            </w:pPr>
            <w:r w:rsidRPr="00711E40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E40" w:rsidP="00711E40">
            <w:pPr>
              <w:pStyle w:val="BodyText"/>
            </w:pPr>
            <w:r w:rsidRPr="00711E40">
              <w:t xml:space="preserve">Controls used to manoeuvre the vessel and to bring it to </w:t>
            </w:r>
            <w:r w:rsidRPr="00711E40">
              <w:t>a stop in accordance with vessel procedures are explained</w:t>
            </w:r>
          </w:p>
        </w:tc>
      </w:tr>
    </w:tbl>
    <w:p w:rsidR="00371D14" w:rsidP="00711E40">
      <w:pPr>
        <w:pStyle w:val="NoPaddingFontSize1"/>
      </w:pPr>
    </w:p>
    <w:p w:rsidR="00371D14" w:rsidP="00711E40">
      <w:pPr>
        <w:pStyle w:val="NoPaddingFontSize1"/>
      </w:pPr>
    </w:p>
    <w:p w:rsidR="00000000" w:rsidRPr="00711E40" w:rsidP="00711E40">
      <w:pPr>
        <w:pStyle w:val="Heading1"/>
      </w:pPr>
      <w:bookmarkStart w:id="7" w:name="O_1152922"/>
      <w:bookmarkEnd w:id="7"/>
      <w:r w:rsidRPr="00711E4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E40" w:rsidP="00711E40">
            <w:pPr>
              <w:pStyle w:val="BodyText"/>
            </w:pPr>
            <w:r w:rsidRPr="00711E40">
              <w:t>Foundation skills essential to performance are explicit in the performance criteria of this unit of competency.</w:t>
            </w:r>
          </w:p>
        </w:tc>
      </w:tr>
    </w:tbl>
    <w:p w:rsidR="00371D14" w:rsidP="00711E40">
      <w:pPr>
        <w:pStyle w:val="NoPaddingFontSize1"/>
      </w:pPr>
    </w:p>
    <w:p w:rsidR="00371D14" w:rsidP="00711E40">
      <w:pPr>
        <w:pStyle w:val="NoPaddingFontSize1"/>
      </w:pPr>
    </w:p>
    <w:p w:rsidR="00000000" w:rsidRPr="00711E40" w:rsidP="00711E40">
      <w:pPr>
        <w:pStyle w:val="Heading1"/>
      </w:pPr>
      <w:bookmarkStart w:id="8" w:name="O_1152923"/>
      <w:bookmarkEnd w:id="8"/>
      <w:r w:rsidRPr="00711E4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E40" w:rsidP="00711E40">
            <w:pPr>
              <w:pStyle w:val="BodyText"/>
            </w:pPr>
            <w:r w:rsidRPr="00711E40">
              <w:t>Range is restricted to essential operating conditions and any other variables essential to the work environment.</w:t>
            </w:r>
          </w:p>
          <w:p w:rsidR="00000000" w:rsidRPr="00711E40" w:rsidP="00711E40">
            <w:pPr>
              <w:pStyle w:val="BodyText"/>
            </w:pPr>
            <w:r w:rsidRPr="00711E40">
              <w:t>Non-essential conditions may be found in the MAR Training Package Companion Volume Implementation Guide.</w:t>
            </w:r>
          </w:p>
        </w:tc>
      </w:tr>
    </w:tbl>
    <w:p w:rsidR="00371D14" w:rsidP="00711E40">
      <w:pPr>
        <w:pStyle w:val="NoPaddingFontSize1"/>
      </w:pPr>
    </w:p>
    <w:p w:rsidR="00371D14" w:rsidP="00711E40">
      <w:pPr>
        <w:pStyle w:val="NoPaddingFontSize1"/>
      </w:pPr>
    </w:p>
    <w:p w:rsidR="00000000" w:rsidRPr="00711E40" w:rsidP="00711E40">
      <w:pPr>
        <w:pStyle w:val="Heading1"/>
      </w:pPr>
      <w:bookmarkStart w:id="9" w:name="O_1152924"/>
      <w:bookmarkEnd w:id="9"/>
      <w:r w:rsidRPr="00711E40">
        <w:t>Unit Mapping Inf</w:t>
      </w:r>
      <w:r w:rsidRPr="00711E40">
        <w:t>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E40" w:rsidP="00711E40">
            <w:pPr>
              <w:pStyle w:val="BodyText"/>
            </w:pPr>
            <w:r w:rsidRPr="00711E40">
              <w:t>This is a new unit.  No equivalent unit.</w:t>
            </w:r>
          </w:p>
        </w:tc>
      </w:tr>
    </w:tbl>
    <w:p w:rsidR="00371D14" w:rsidP="00711E40">
      <w:pPr>
        <w:pStyle w:val="NoPaddingFontSize1"/>
      </w:pPr>
    </w:p>
    <w:p w:rsidR="00371D14" w:rsidP="00711E40">
      <w:pPr>
        <w:pStyle w:val="NoPaddingFontSize1"/>
      </w:pPr>
    </w:p>
    <w:p w:rsidR="00000000" w:rsidRPr="00711E40" w:rsidP="00711E40">
      <w:pPr>
        <w:pStyle w:val="Heading1"/>
      </w:pPr>
      <w:bookmarkStart w:id="10" w:name="O_1152931"/>
      <w:bookmarkEnd w:id="10"/>
      <w:r w:rsidRPr="00711E40">
        <w:t>Links</w:t>
      </w:r>
    </w:p>
    <w:p w:rsidR="00000000" w:rsidRPr="00711E40" w:rsidP="00371D14">
      <w:pPr>
        <w:pStyle w:val="BodyText"/>
      </w:pPr>
      <w:r w:rsidRPr="00711E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5E6D5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711E40" w:rsidP="00711E40"/>
    <w:sectPr w:rsidSect="00711E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E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E40" w:rsidRPr="00371D14" w:rsidP="00371D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E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D14" w:rsidP="00711E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1D14" w:rsidP="00711E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71D14" w:rsidP="00711E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E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D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1E40" w:rsidRPr="00371D14" w:rsidP="00371D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E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D14" w:rsidRPr="002D2AF8" w:rsidP="00711E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MARH025 Apply knowledge of dynamic positioning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371D14" w:rsidP="00711E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A0D2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9E1D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E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1E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1E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1E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1E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1E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1E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1E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1E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1E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1E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1E40"/>
  </w:style>
  <w:style w:type="character" w:customStyle="1" w:styleId="Heading1Char">
    <w:name w:val="Heading 1 Char"/>
    <w:basedOn w:val="DefaultParagraphFont"/>
    <w:link w:val="Heading1"/>
    <w:rsid w:val="00711E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1E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1E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1E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1E40"/>
    <w:rPr>
      <w:b/>
      <w:spacing w:val="0"/>
    </w:rPr>
  </w:style>
  <w:style w:type="paragraph" w:customStyle="1" w:styleId="SuperHeading">
    <w:name w:val="SuperHeading"/>
    <w:basedOn w:val="Normal"/>
    <w:rsid w:val="00711E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1E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11E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1E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1E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1E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1E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1E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1E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1E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1E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1E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1E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1E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1E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1E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1E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1E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1E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1E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1E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1E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1E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1E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1E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1E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1E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1E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1E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1E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1E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1E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1E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1E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1E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1E40"/>
    <w:rPr>
      <w:i/>
    </w:rPr>
  </w:style>
  <w:style w:type="paragraph" w:styleId="Caption">
    <w:name w:val="caption"/>
    <w:basedOn w:val="BodyText"/>
    <w:next w:val="Normal"/>
    <w:qFormat/>
    <w:rsid w:val="00711E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1E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1E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1E40"/>
  </w:style>
  <w:style w:type="paragraph" w:styleId="TableofFigures">
    <w:name w:val="table of figures"/>
    <w:basedOn w:val="Normal"/>
    <w:next w:val="Normal"/>
    <w:semiHidden/>
    <w:rsid w:val="00711E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1E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1E40"/>
    <w:rPr>
      <w:rFonts w:ascii="Wingdings" w:hAnsi="Wingdings"/>
    </w:rPr>
  </w:style>
  <w:style w:type="paragraph" w:customStyle="1" w:styleId="TableHeading">
    <w:name w:val="Table Heading"/>
    <w:basedOn w:val="HeadingBase"/>
    <w:rsid w:val="00711E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1E40"/>
    <w:rPr>
      <w:color w:val="0033CC"/>
      <w:u w:val="none"/>
    </w:rPr>
  </w:style>
  <w:style w:type="paragraph" w:customStyle="1" w:styleId="BodyTextRight">
    <w:name w:val="Body Text Right"/>
    <w:basedOn w:val="BodyText"/>
    <w:rsid w:val="00711E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1E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1E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1E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1E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1E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1E40"/>
    <w:rPr>
      <w:sz w:val="32"/>
    </w:rPr>
  </w:style>
  <w:style w:type="paragraph" w:customStyle="1" w:styleId="HeadingProcedure">
    <w:name w:val="Heading Procedure"/>
    <w:basedOn w:val="HeadingBase"/>
    <w:next w:val="Normal"/>
    <w:rsid w:val="00711E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1E40"/>
    <w:pPr>
      <w:spacing w:before="60" w:after="60"/>
    </w:pPr>
  </w:style>
  <w:style w:type="paragraph" w:styleId="ListContinue">
    <w:name w:val="List Continue"/>
    <w:basedOn w:val="List"/>
    <w:rsid w:val="00711E40"/>
    <w:pPr>
      <w:ind w:firstLine="0"/>
    </w:pPr>
  </w:style>
  <w:style w:type="paragraph" w:customStyle="1" w:styleId="ListNote">
    <w:name w:val="List Note"/>
    <w:basedOn w:val="List"/>
    <w:rsid w:val="00711E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1E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1E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1E40"/>
    <w:rPr>
      <w:rFonts w:ascii="Courier New" w:hAnsi="Courier New"/>
    </w:rPr>
  </w:style>
  <w:style w:type="paragraph" w:customStyle="1" w:styleId="NoteBullet">
    <w:name w:val="Note Bullet"/>
    <w:basedOn w:val="Note"/>
    <w:rsid w:val="00711E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1E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1E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1E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1E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1E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1E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1E40"/>
    <w:rPr>
      <w:b/>
      <w:smallCaps/>
    </w:rPr>
  </w:style>
  <w:style w:type="paragraph" w:customStyle="1" w:styleId="TableListNumber">
    <w:name w:val="Table List Number"/>
    <w:basedOn w:val="ListNumber"/>
    <w:rsid w:val="00711E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1E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1E40"/>
    <w:pPr>
      <w:numPr>
        <w:numId w:val="8"/>
      </w:numPr>
    </w:pPr>
  </w:style>
  <w:style w:type="paragraph" w:customStyle="1" w:styleId="ListAlpha2">
    <w:name w:val="List Alpha 2"/>
    <w:basedOn w:val="List2"/>
    <w:rsid w:val="00711E40"/>
    <w:pPr>
      <w:numPr>
        <w:numId w:val="7"/>
      </w:numPr>
    </w:pPr>
  </w:style>
  <w:style w:type="paragraph" w:styleId="List2">
    <w:name w:val="List 2"/>
    <w:basedOn w:val="BodyText"/>
    <w:rsid w:val="00711E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1E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1E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1E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1E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1E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1E40"/>
    <w:pPr>
      <w:numPr>
        <w:numId w:val="3"/>
      </w:numPr>
    </w:pPr>
  </w:style>
  <w:style w:type="paragraph" w:styleId="ListContinue2">
    <w:name w:val="List Continue 2"/>
    <w:basedOn w:val="List2"/>
    <w:rsid w:val="00711E40"/>
    <w:pPr>
      <w:ind w:firstLine="0"/>
    </w:pPr>
  </w:style>
  <w:style w:type="paragraph" w:styleId="ListContinue3">
    <w:name w:val="List Continue 3"/>
    <w:basedOn w:val="List3"/>
    <w:rsid w:val="00711E40"/>
    <w:pPr>
      <w:ind w:left="1021" w:firstLine="0"/>
    </w:pPr>
  </w:style>
  <w:style w:type="paragraph" w:styleId="ListContinue4">
    <w:name w:val="List Continue 4"/>
    <w:basedOn w:val="List4"/>
    <w:rsid w:val="00711E40"/>
    <w:pPr>
      <w:ind w:firstLine="0"/>
    </w:pPr>
  </w:style>
  <w:style w:type="paragraph" w:styleId="ListContinue5">
    <w:name w:val="List Continue 5"/>
    <w:basedOn w:val="List5"/>
    <w:rsid w:val="00711E40"/>
    <w:pPr>
      <w:ind w:firstLine="0"/>
    </w:pPr>
  </w:style>
  <w:style w:type="paragraph" w:styleId="ListNumber3">
    <w:name w:val="List Number 3"/>
    <w:basedOn w:val="List3"/>
    <w:rsid w:val="00711E40"/>
    <w:pPr>
      <w:numPr>
        <w:numId w:val="4"/>
      </w:numPr>
    </w:pPr>
  </w:style>
  <w:style w:type="paragraph" w:styleId="ListNumber4">
    <w:name w:val="List Number 4"/>
    <w:basedOn w:val="List4"/>
    <w:rsid w:val="00711E40"/>
    <w:pPr>
      <w:numPr>
        <w:numId w:val="5"/>
      </w:numPr>
    </w:pPr>
  </w:style>
  <w:style w:type="paragraph" w:styleId="ListNumber5">
    <w:name w:val="List Number 5"/>
    <w:basedOn w:val="List5"/>
    <w:rsid w:val="00711E40"/>
    <w:pPr>
      <w:numPr>
        <w:numId w:val="6"/>
      </w:numPr>
    </w:pPr>
  </w:style>
  <w:style w:type="paragraph" w:styleId="BlockText">
    <w:name w:val="Block Text"/>
    <w:basedOn w:val="Normal"/>
    <w:rsid w:val="00711E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1E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1E40"/>
    <w:rPr>
      <w:sz w:val="16"/>
      <w:vertAlign w:val="superscript"/>
    </w:rPr>
  </w:style>
  <w:style w:type="character" w:customStyle="1" w:styleId="Symbols">
    <w:name w:val="Symbols"/>
    <w:basedOn w:val="DefaultParagraphFont"/>
    <w:rsid w:val="00711E40"/>
    <w:rPr>
      <w:rFonts w:ascii="Symbol" w:hAnsi="Symbol"/>
    </w:rPr>
  </w:style>
  <w:style w:type="character" w:customStyle="1" w:styleId="MenuOptions">
    <w:name w:val="Menu Options"/>
    <w:basedOn w:val="DefaultParagraphFont"/>
    <w:rsid w:val="00711E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1E40"/>
    <w:rPr>
      <w:b/>
    </w:rPr>
  </w:style>
  <w:style w:type="character" w:customStyle="1" w:styleId="Underlined">
    <w:name w:val="Underlined"/>
    <w:basedOn w:val="DefaultParagraphFont"/>
    <w:rsid w:val="00711E40"/>
    <w:rPr>
      <w:u w:val="single"/>
    </w:rPr>
  </w:style>
  <w:style w:type="paragraph" w:customStyle="1" w:styleId="TableBodyTextRight">
    <w:name w:val="Table Body Text Right"/>
    <w:basedOn w:val="TableBodyText"/>
    <w:rsid w:val="00711E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1E40"/>
    <w:rPr>
      <w:sz w:val="18"/>
    </w:rPr>
  </w:style>
  <w:style w:type="paragraph" w:customStyle="1" w:styleId="BodySmallRight">
    <w:name w:val="Body Small Right"/>
    <w:basedOn w:val="BodyTextRight"/>
    <w:rsid w:val="00711E40"/>
    <w:rPr>
      <w:sz w:val="18"/>
      <w:szCs w:val="18"/>
    </w:rPr>
  </w:style>
  <w:style w:type="paragraph" w:customStyle="1" w:styleId="MarginEdition">
    <w:name w:val="Margin Edition"/>
    <w:basedOn w:val="MarginNote"/>
    <w:rsid w:val="00711E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1E40"/>
    <w:rPr>
      <w:sz w:val="2"/>
      <w:szCs w:val="2"/>
    </w:rPr>
  </w:style>
  <w:style w:type="character" w:customStyle="1" w:styleId="Small">
    <w:name w:val="Small"/>
    <w:basedOn w:val="DefaultParagraphFont"/>
    <w:rsid w:val="00711E40"/>
    <w:rPr>
      <w:sz w:val="16"/>
    </w:rPr>
  </w:style>
  <w:style w:type="paragraph" w:customStyle="1" w:styleId="WideTable">
    <w:name w:val="Wide Table"/>
    <w:basedOn w:val="Normal"/>
    <w:rsid w:val="00711E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1E40"/>
  </w:style>
  <w:style w:type="paragraph" w:styleId="Quote">
    <w:name w:val="Quote"/>
    <w:basedOn w:val="Heading1"/>
    <w:link w:val="QuoteChar"/>
    <w:qFormat/>
    <w:rsid w:val="00711E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1E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1E40"/>
    <w:pPr>
      <w:pageBreakBefore/>
    </w:pPr>
  </w:style>
  <w:style w:type="paragraph" w:customStyle="1" w:styleId="Border">
    <w:name w:val="Border"/>
    <w:basedOn w:val="Normal"/>
    <w:qFormat/>
    <w:rsid w:val="00711E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1E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E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E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1E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1E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1E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1E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1E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1E40"/>
    <w:rPr>
      <w:u w:val="single"/>
    </w:rPr>
  </w:style>
  <w:style w:type="character" w:customStyle="1" w:styleId="BoldandItalics">
    <w:name w:val="Bold and Italics"/>
    <w:qFormat/>
    <w:rsid w:val="00711E40"/>
    <w:rPr>
      <w:b/>
      <w:i/>
      <w:u w:val="none"/>
    </w:rPr>
  </w:style>
  <w:style w:type="paragraph" w:styleId="BalloonText">
    <w:name w:val="Balloon Text"/>
    <w:basedOn w:val="Normal"/>
    <w:link w:val="BalloonTextChar"/>
    <w:rsid w:val="00711E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1E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1E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1E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1E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1E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1E40"/>
    <w:pPr>
      <w:spacing w:before="0" w:after="0"/>
    </w:pPr>
  </w:style>
  <w:style w:type="paragraph" w:customStyle="1" w:styleId="BodyTextBold">
    <w:name w:val="Body Text Bold"/>
    <w:basedOn w:val="BodyText"/>
    <w:qFormat/>
    <w:rsid w:val="00711E40"/>
    <w:rPr>
      <w:b/>
    </w:rPr>
  </w:style>
  <w:style w:type="character" w:styleId="Hyperlink">
    <w:name w:val="Hyperlink"/>
    <w:basedOn w:val="DefaultParagraphFont"/>
    <w:uiPriority w:val="99"/>
    <w:unhideWhenUsed/>
    <w:rsid w:val="00371D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674</Words>
  <Characters>4187</Characters>
  <Application>Microsoft Office Word</Application>
  <DocSecurity>0</DocSecurity>
  <Lines>190</Lines>
  <Paragraphs>101</Paragraphs>
  <ScaleCrop>false</ScaleCrop>
  <Company>Author-it Software Corporation Ltd.</Company>
  <LinksUpToDate>false</LinksUpToDate>
  <CharactersWithSpaces>4760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MARH025 Apply knowledge of dynamic positioning fundamentals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2024-11-22T08:05:00Z</dcterms:created>
  <dcterms:modified xsi:type="dcterms:W3CDTF">2024-11-22T08:05:00Z</dcterms:modified>
</cp:coreProperties>
</file>