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00F26" w:rsidP="00600F26">
      <w:pPr>
        <w:pStyle w:val="Title"/>
      </w:pPr>
      <w:r>
        <w:fldChar w:fldCharType="begin"/>
      </w:r>
      <w:r>
        <w:instrText xml:space="preserve"> TITLE   \* MERGEFORMAT </w:instrText>
      </w:r>
      <w:r>
        <w:fldChar w:fldCharType="separate"/>
      </w:r>
      <w:r>
        <w:t>Assessment Requirements for MARH025 Apply knowledge of dynamic positioning fundamentals</w:t>
      </w:r>
      <w:r>
        <w:fldChar w:fldCharType="end"/>
      </w:r>
    </w:p>
    <w:p w:rsidR="00600F26" w:rsidP="00600F26">
      <w:pPr>
        <w:pStyle w:val="Version"/>
        <w:sectPr w:rsidSect="00685A62">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685A62" w:rsidP="00685A62">
      <w:pPr>
        <w:pStyle w:val="SuperHeading"/>
      </w:pPr>
      <w:r w:rsidRPr="00685A62">
        <w:t>Assessment Requirements for MARH025 Apply knowledge of dynamic positioning fundamentals</w:t>
      </w:r>
    </w:p>
    <w:p w:rsidR="00000000" w:rsidRPr="00685A62" w:rsidP="00685A62">
      <w:pPr>
        <w:pStyle w:val="Heading1"/>
      </w:pPr>
      <w:bookmarkStart w:id="1" w:name="O_1152926"/>
      <w:bookmarkEnd w:id="1"/>
      <w:r w:rsidRPr="00685A62">
        <w:t>Modification History</w:t>
      </w:r>
    </w:p>
    <w:tbl>
      <w:tblPr>
        <w:tblW w:w="9497" w:type="dxa"/>
        <w:tblLayout w:type="fixed"/>
        <w:tblCellMar>
          <w:left w:w="62" w:type="dxa"/>
          <w:right w:w="62" w:type="dxa"/>
        </w:tblCellMar>
        <w:tblLook w:val="0000"/>
      </w:tblPr>
      <w:tblGrid>
        <w:gridCol w:w="9497"/>
      </w:tblGrid>
      <w:tr w:rsidTr="00685A6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685A62" w:rsidP="00685A62">
            <w:pPr>
              <w:pStyle w:val="BodyText"/>
            </w:pPr>
            <w:r w:rsidRPr="00685A62">
              <w:t>Release 1. This is the first release of this unit of competency in the MAR Maritime Training Package.</w:t>
            </w:r>
          </w:p>
        </w:tc>
      </w:tr>
    </w:tbl>
    <w:p w:rsidR="00600F26" w:rsidP="00685A62">
      <w:pPr>
        <w:pStyle w:val="NoPaddingFontSize1"/>
      </w:pPr>
    </w:p>
    <w:p w:rsidR="00600F26" w:rsidP="00685A62">
      <w:pPr>
        <w:pStyle w:val="NoPaddingFontSize1"/>
      </w:pPr>
    </w:p>
    <w:p w:rsidR="00000000" w:rsidRPr="00685A62" w:rsidP="00685A62">
      <w:pPr>
        <w:pStyle w:val="Heading1"/>
      </w:pPr>
      <w:bookmarkStart w:id="2" w:name="O_1152927"/>
      <w:bookmarkEnd w:id="2"/>
      <w:r w:rsidRPr="00685A62">
        <w:t>Performance Evidence</w:t>
      </w:r>
    </w:p>
    <w:tbl>
      <w:tblPr>
        <w:tblW w:w="9497" w:type="dxa"/>
        <w:tblLayout w:type="fixed"/>
        <w:tblCellMar>
          <w:left w:w="62" w:type="dxa"/>
          <w:right w:w="62" w:type="dxa"/>
        </w:tblCellMar>
        <w:tblLook w:val="0000"/>
      </w:tblPr>
      <w:tblGrid>
        <w:gridCol w:w="9497"/>
      </w:tblGrid>
      <w:tr w:rsidTr="00685A6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685A62">
            <w:pPr>
              <w:pStyle w:val="BodyText"/>
              <w:rPr>
                <w:lang w:val="en-NZ"/>
              </w:rPr>
            </w:pPr>
            <w:r w:rsidRPr="00685A62">
              <w:t xml:space="preserve">Evidence required to demonstrate competence in this unit must be relevant to and satisfy all of the requirements of the elements and performance criteria on at least one occasion and include: </w:t>
            </w:r>
          </w:p>
        </w:tc>
      </w:tr>
      <w:tr w:rsidTr="00685A6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685A62" w:rsidP="00685A62">
            <w:pPr>
              <w:pStyle w:val="ListBullet"/>
            </w:pPr>
            <w:r w:rsidRPr="00685A62">
              <w:t xml:space="preserve">describing dynamic positioning gain and </w:t>
            </w:r>
            <w:r w:rsidRPr="00685A62">
              <w:t>its application in a dynamic positioning system</w:t>
            </w:r>
          </w:p>
          <w:p w:rsidR="00000000" w:rsidRPr="00685A62" w:rsidP="00685A62">
            <w:pPr>
              <w:pStyle w:val="ListBullet"/>
            </w:pPr>
            <w:r w:rsidRPr="00685A62">
              <w:t>describing position and heading change manoeuvres when using both automatic and manual dynamic positioning facilities</w:t>
            </w:r>
          </w:p>
          <w:p w:rsidR="00000000" w:rsidRPr="00685A62" w:rsidP="00685A62">
            <w:pPr>
              <w:pStyle w:val="ListBullet"/>
            </w:pPr>
            <w:r w:rsidRPr="00685A62">
              <w:t>describing setting up the dynamic positioning system in both the manual and automatic mode</w:t>
            </w:r>
            <w:r w:rsidRPr="00685A62">
              <w:t>s in accordance with workplace procedures</w:t>
            </w:r>
          </w:p>
          <w:p w:rsidR="00000000" w:rsidRPr="00685A62" w:rsidP="00685A62">
            <w:pPr>
              <w:pStyle w:val="ListBullet"/>
            </w:pPr>
            <w:r w:rsidRPr="00685A62">
              <w:t>describing the concept of centre of rotation, and the provision of alternative centres of rotation</w:t>
            </w:r>
          </w:p>
          <w:p w:rsidR="00000000" w:rsidRPr="00685A62" w:rsidP="00685A62">
            <w:pPr>
              <w:pStyle w:val="ListBullet"/>
            </w:pPr>
            <w:r w:rsidRPr="00685A62">
              <w:t>describing the six freedoms of movement of a vessel</w:t>
            </w:r>
          </w:p>
          <w:p w:rsidR="00000000" w:rsidRPr="00685A62" w:rsidP="00685A62">
            <w:pPr>
              <w:pStyle w:val="ListBullet"/>
            </w:pPr>
            <w:r w:rsidRPr="00685A62">
              <w:t>describing the various modes of dynamic positioning operation, including manual control, semi-automatic control and automatic control</w:t>
            </w:r>
          </w:p>
          <w:p w:rsidR="00000000" w:rsidRPr="00685A62" w:rsidP="00685A62">
            <w:pPr>
              <w:pStyle w:val="ListBullet"/>
            </w:pPr>
            <w:r w:rsidRPr="00685A62">
              <w:t>describing the following common specialist functions, including:</w:t>
            </w:r>
          </w:p>
          <w:p w:rsidR="00000000" w:rsidRPr="00685A62" w:rsidP="00685A62">
            <w:pPr>
              <w:pStyle w:val="ListBullet2"/>
            </w:pPr>
            <w:r w:rsidRPr="00685A62">
              <w:t>follow target</w:t>
            </w:r>
          </w:p>
          <w:p w:rsidR="00000000" w:rsidRPr="00685A62" w:rsidP="00685A62">
            <w:pPr>
              <w:pStyle w:val="ListBullet2"/>
            </w:pPr>
            <w:r w:rsidRPr="00685A62">
              <w:t xml:space="preserve">minimum power (weathervane) </w:t>
            </w:r>
          </w:p>
          <w:p w:rsidR="00000000" w:rsidRPr="00685A62" w:rsidP="00685A62">
            <w:pPr>
              <w:pStyle w:val="ListBullet2"/>
            </w:pPr>
            <w:r w:rsidRPr="00685A62">
              <w:t>remotely oper</w:t>
            </w:r>
            <w:r w:rsidRPr="00685A62">
              <w:t>ated vehicle (ROV) follow (follow sub)</w:t>
            </w:r>
          </w:p>
          <w:p w:rsidR="00000000" w:rsidRPr="00685A62" w:rsidP="00685A62">
            <w:pPr>
              <w:pStyle w:val="ListBullet2"/>
            </w:pPr>
            <w:r w:rsidRPr="00685A62">
              <w:t xml:space="preserve">track follow (autotrack) </w:t>
            </w:r>
          </w:p>
          <w:p w:rsidR="00000000" w:rsidRPr="00685A62" w:rsidP="00685A62">
            <w:pPr>
              <w:pStyle w:val="ListBullet"/>
            </w:pPr>
            <w:r w:rsidRPr="00685A62">
              <w:t>determining various providers of statutory requirements, rules, regulations and guidelines</w:t>
            </w:r>
          </w:p>
          <w:p w:rsidR="00000000" w:rsidRPr="00685A62" w:rsidP="00685A62">
            <w:pPr>
              <w:pStyle w:val="ListBullet"/>
            </w:pPr>
            <w:r w:rsidRPr="00685A62">
              <w:t>outlining main components of a dynamic positioning system.</w:t>
            </w:r>
          </w:p>
        </w:tc>
      </w:tr>
    </w:tbl>
    <w:p w:rsidR="00000000" w:rsidRPr="00685A62" w:rsidP="00685A62">
      <w:pPr>
        <w:pStyle w:val="NoPaddingFontSize1"/>
      </w:pPr>
    </w:p>
    <w:p w:rsidR="00000000" w:rsidRPr="00685A62" w:rsidP="00685A62">
      <w:pPr>
        <w:pStyle w:val="AllowPageBreak"/>
      </w:pPr>
    </w:p>
    <w:p w:rsidR="00000000" w:rsidRPr="00685A62" w:rsidP="00685A62">
      <w:pPr>
        <w:pStyle w:val="Heading1"/>
      </w:pPr>
      <w:bookmarkStart w:id="3" w:name="O_1152928"/>
      <w:bookmarkEnd w:id="3"/>
      <w:r w:rsidRPr="00685A62">
        <w:t>Knowledge Evidence</w:t>
      </w:r>
    </w:p>
    <w:tbl>
      <w:tblPr>
        <w:tblW w:w="9497" w:type="dxa"/>
        <w:tblLayout w:type="fixed"/>
        <w:tblCellMar>
          <w:left w:w="62" w:type="dxa"/>
          <w:right w:w="62" w:type="dxa"/>
        </w:tblCellMar>
        <w:tblLook w:val="0000"/>
      </w:tblPr>
      <w:tblGrid>
        <w:gridCol w:w="9497"/>
      </w:tblGrid>
      <w:tr w:rsidTr="00600F2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685A62">
            <w:pPr>
              <w:pStyle w:val="BodyText"/>
              <w:rPr>
                <w:lang w:val="en-NZ"/>
              </w:rPr>
            </w:pPr>
            <w:r w:rsidRPr="00685A62">
              <w:t xml:space="preserve">Evidence required to demonstrate competence in this unit must be relevant to and satisfy all of the requirements of the elements and performance criteria and include knowledge of: </w:t>
            </w:r>
          </w:p>
        </w:tc>
      </w:tr>
      <w:tr w:rsidTr="00600F2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685A62" w:rsidP="00685A62">
            <w:pPr>
              <w:pStyle w:val="ListBullet"/>
            </w:pPr>
            <w:r w:rsidRPr="00685A62">
              <w:t>dynamic positioning principles, including:</w:t>
            </w:r>
          </w:p>
          <w:p w:rsidR="00000000" w:rsidRPr="00685A62" w:rsidP="00685A62">
            <w:pPr>
              <w:pStyle w:val="ListBullet3"/>
            </w:pPr>
            <w:r w:rsidRPr="00685A62">
              <w:t>concept of centre of rotation</w:t>
            </w:r>
            <w:r w:rsidRPr="00685A62">
              <w:t>, and the provision of alternative centres of rotation</w:t>
            </w:r>
          </w:p>
          <w:p w:rsidR="00000000" w:rsidRPr="00685A62" w:rsidP="00685A62">
            <w:pPr>
              <w:pStyle w:val="ListBullet3"/>
            </w:pPr>
            <w:r w:rsidRPr="00685A62">
              <w:t>concept of mathematical modelling, including the advantages and disadvantages of this technique</w:t>
            </w:r>
          </w:p>
          <w:p w:rsidR="00000000" w:rsidRPr="00685A62" w:rsidP="00685A62">
            <w:pPr>
              <w:pStyle w:val="ListBullet3"/>
            </w:pPr>
            <w:r w:rsidRPr="00685A62">
              <w:t>control system associated with a dynamic positioning system</w:t>
            </w:r>
          </w:p>
          <w:p w:rsidR="00000000" w:rsidRPr="00685A62" w:rsidP="00685A62">
            <w:pPr>
              <w:pStyle w:val="ListBullet3"/>
            </w:pPr>
            <w:r w:rsidRPr="00685A62">
              <w:t>definition of dynamic positioning</w:t>
            </w:r>
          </w:p>
          <w:p w:rsidR="00000000" w:rsidRPr="00685A62" w:rsidP="00685A62">
            <w:pPr>
              <w:pStyle w:val="ListBullet3"/>
            </w:pPr>
            <w:r w:rsidRPr="00685A62">
              <w:t>main components of a dynamic positioning system</w:t>
            </w:r>
          </w:p>
          <w:p w:rsidR="00000000" w:rsidRPr="00685A62" w:rsidP="00685A62">
            <w:pPr>
              <w:pStyle w:val="ListBullet3"/>
            </w:pPr>
            <w:r w:rsidRPr="00685A62">
              <w:t>method by which the dynamic positioning system determines the residual error resulting from unmeasured errors and forces acting on the vessel (dynamic positioning current/sea force)</w:t>
            </w:r>
          </w:p>
          <w:p w:rsidR="00000000" w:rsidRPr="00685A62" w:rsidP="00685A62">
            <w:pPr>
              <w:pStyle w:val="ListBullet3"/>
            </w:pPr>
            <w:r w:rsidRPr="00685A62">
              <w:t>position and heading chang</w:t>
            </w:r>
            <w:r w:rsidRPr="00685A62">
              <w:t>e manoeuvres, using both automatic and manual dynamic positioning facilities</w:t>
            </w:r>
          </w:p>
          <w:p w:rsidR="00000000" w:rsidRPr="00685A62" w:rsidP="00685A62">
            <w:pPr>
              <w:pStyle w:val="ListBullet3"/>
            </w:pPr>
            <w:r w:rsidRPr="00685A62">
              <w:t>power requirements of a dynamic positioning vessel system, and typical power supply installations</w:t>
            </w:r>
          </w:p>
          <w:p w:rsidR="00000000" w:rsidRPr="00685A62" w:rsidP="00685A62">
            <w:pPr>
              <w:pStyle w:val="ListBullet3"/>
            </w:pPr>
            <w:r w:rsidRPr="00685A62">
              <w:t>reasons for a discrepancy between the displayed value for dynamic positioning cur</w:t>
            </w:r>
            <w:r w:rsidRPr="00685A62">
              <w:t>rent/sea force on the dynamic positioning systems and the true current/tide</w:t>
            </w:r>
          </w:p>
          <w:p w:rsidR="00000000" w:rsidRPr="00685A62" w:rsidP="00685A62">
            <w:pPr>
              <w:pStyle w:val="ListBullet3"/>
            </w:pPr>
            <w:r w:rsidRPr="00685A62">
              <w:t>six freedoms of movement of a vessel, including:</w:t>
            </w:r>
          </w:p>
          <w:p w:rsidR="00000000" w:rsidRPr="00685A62" w:rsidP="00685A62">
            <w:pPr>
              <w:pStyle w:val="ListBullet4"/>
            </w:pPr>
            <w:r w:rsidRPr="00685A62">
              <w:t>freedoms of movement controlled under dynamic positioning</w:t>
            </w:r>
          </w:p>
          <w:p w:rsidR="00000000" w:rsidRPr="00685A62" w:rsidP="00685A62">
            <w:pPr>
              <w:pStyle w:val="ListBullet4"/>
            </w:pPr>
            <w:r w:rsidRPr="00685A62">
              <w:t>freedoms of movement which are monitored</w:t>
            </w:r>
          </w:p>
          <w:p w:rsidR="00000000" w:rsidRPr="00685A62" w:rsidP="00685A62">
            <w:pPr>
              <w:pStyle w:val="ListBullet3"/>
            </w:pPr>
            <w:r w:rsidRPr="00685A62">
              <w:t>various position reference sys</w:t>
            </w:r>
            <w:r w:rsidRPr="00685A62">
              <w:t>tems commonly associated with dynamic positioning installations</w:t>
            </w:r>
          </w:p>
          <w:p w:rsidR="00000000" w:rsidRPr="00685A62" w:rsidP="00685A62">
            <w:pPr>
              <w:pStyle w:val="ListBullet3"/>
            </w:pPr>
            <w:r w:rsidRPr="00685A62">
              <w:t>various propulsion systems commonly fitted to dynamic positioning vessels</w:t>
            </w:r>
          </w:p>
          <w:p w:rsidR="00000000" w:rsidRPr="00685A62" w:rsidP="00685A62">
            <w:pPr>
              <w:pStyle w:val="ListBullet3"/>
            </w:pPr>
            <w:r w:rsidRPr="00685A62">
              <w:t>various sensor systems associated with dynamic positioning installations</w:t>
            </w:r>
          </w:p>
          <w:p w:rsidR="00000000" w:rsidRPr="00685A62" w:rsidP="00685A62">
            <w:pPr>
              <w:pStyle w:val="ListBullet"/>
            </w:pPr>
            <w:r w:rsidRPr="00685A62">
              <w:t>dynamic positioning operations conducted by the following vessel types:</w:t>
            </w:r>
          </w:p>
          <w:p w:rsidR="00000000" w:rsidRPr="00685A62" w:rsidP="00685A62">
            <w:pPr>
              <w:pStyle w:val="ListBullet3"/>
            </w:pPr>
            <w:r w:rsidRPr="00685A62">
              <w:t>anchor-handling and platform supply vessels</w:t>
            </w:r>
          </w:p>
          <w:p w:rsidR="00000000" w:rsidRPr="00685A62" w:rsidP="00685A62">
            <w:pPr>
              <w:pStyle w:val="ListBullet3"/>
            </w:pPr>
            <w:r w:rsidRPr="00685A62">
              <w:t>cable lay and repair vessels</w:t>
            </w:r>
          </w:p>
          <w:p w:rsidR="00000000" w:rsidRPr="00685A62" w:rsidP="00685A62">
            <w:pPr>
              <w:pStyle w:val="ListBullet3"/>
            </w:pPr>
            <w:r w:rsidRPr="00685A62">
              <w:t xml:space="preserve">crane barges and construction vessels </w:t>
            </w:r>
          </w:p>
          <w:p w:rsidR="00000000" w:rsidRPr="00685A62" w:rsidP="00685A62">
            <w:pPr>
              <w:pStyle w:val="ListBullet3"/>
            </w:pPr>
            <w:r w:rsidRPr="00685A62">
              <w:t>cruise ships and luxury yachts</w:t>
            </w:r>
          </w:p>
          <w:p w:rsidR="00000000" w:rsidRPr="00685A62" w:rsidP="00685A62">
            <w:pPr>
              <w:pStyle w:val="ListBullet3"/>
            </w:pPr>
            <w:r w:rsidRPr="00685A62">
              <w:t xml:space="preserve">diving and underwater support vessels </w:t>
            </w:r>
          </w:p>
          <w:p w:rsidR="00000000" w:rsidRPr="00685A62" w:rsidP="00685A62">
            <w:pPr>
              <w:pStyle w:val="ListBullet3"/>
            </w:pPr>
            <w:r w:rsidRPr="00685A62">
              <w:t>d</w:t>
            </w:r>
            <w:r w:rsidRPr="00685A62">
              <w:t xml:space="preserve">rilling ships and semi-submersibles </w:t>
            </w:r>
          </w:p>
          <w:p w:rsidR="00000000" w:rsidRPr="00685A62" w:rsidP="00685A62">
            <w:pPr>
              <w:pStyle w:val="ListBullet3"/>
            </w:pPr>
            <w:r w:rsidRPr="00685A62">
              <w:t>flotel (accommodation) vessels</w:t>
            </w:r>
          </w:p>
          <w:p w:rsidR="00000000" w:rsidRPr="00685A62" w:rsidP="00685A62">
            <w:pPr>
              <w:pStyle w:val="ListBullet3"/>
            </w:pPr>
            <w:r w:rsidRPr="00685A62">
              <w:t xml:space="preserve">pipe lay vessels </w:t>
            </w:r>
          </w:p>
          <w:p w:rsidR="00000000" w:rsidRPr="00685A62" w:rsidP="00685A62">
            <w:pPr>
              <w:pStyle w:val="ListBullet3"/>
            </w:pPr>
            <w:r w:rsidRPr="00685A62">
              <w:t>rock dumping and dredging vessels</w:t>
            </w:r>
          </w:p>
          <w:p w:rsidR="00000000" w:rsidRPr="00685A62" w:rsidP="00685A62">
            <w:pPr>
              <w:pStyle w:val="ListBullet3"/>
            </w:pPr>
            <w:r w:rsidRPr="00685A62">
              <w:t xml:space="preserve">shuttle tanker and floating production storage and offloading (FPSO)/ vessels floating production storage operations (FSO) </w:t>
            </w:r>
          </w:p>
          <w:p w:rsidR="00000000" w:rsidRPr="00685A62" w:rsidP="00685A62">
            <w:pPr>
              <w:pStyle w:val="ListBullet"/>
            </w:pPr>
            <w:r w:rsidRPr="00685A62">
              <w:t>dynamic pos</w:t>
            </w:r>
            <w:r w:rsidRPr="00685A62">
              <w:t>itioning rules, regulations and guidelines, including:</w:t>
            </w:r>
          </w:p>
          <w:p w:rsidR="00000000" w:rsidRPr="00685A62" w:rsidP="00685A62">
            <w:pPr>
              <w:pStyle w:val="ListBullet3"/>
            </w:pPr>
            <w:r w:rsidRPr="00685A62">
              <w:t>International Maritime Organization (IMO) (dynamic positioning) equipment classes and their application with reference to the IMO Guidelines for Vessels with dynamic positioning systems</w:t>
            </w:r>
          </w:p>
          <w:p w:rsidR="00000000" w:rsidRPr="00685A62" w:rsidP="00685A62">
            <w:pPr>
              <w:pStyle w:val="ListBullet3"/>
            </w:pPr>
            <w:r w:rsidRPr="00685A62">
              <w:t>principals of redundancy on dynamic positioning vessels</w:t>
            </w:r>
          </w:p>
          <w:p w:rsidR="00000000" w:rsidRPr="00685A62" w:rsidP="00685A62">
            <w:pPr>
              <w:pStyle w:val="ListBullet3"/>
            </w:pPr>
            <w:r w:rsidRPr="00685A62">
              <w:t>principle IMO documents – MSC645 / 1580 / 728</w:t>
            </w:r>
          </w:p>
          <w:p w:rsidR="00000000" w:rsidRPr="00685A62" w:rsidP="00685A62">
            <w:pPr>
              <w:pStyle w:val="ListBullet3"/>
            </w:pPr>
            <w:r w:rsidRPr="00685A62">
              <w:t>purpose of documentation associated with dynamic positioning operations, such as dynamic positioning operations manuals, failure modes and effects analysi</w:t>
            </w:r>
            <w:r w:rsidRPr="00685A62">
              <w:t xml:space="preserve">s (FMEA) and capability plots, activity specific operating guidelines (ASOG), task appropriate mode (TAM) and critical activity mode of operation (CAMO)  </w:t>
            </w:r>
          </w:p>
          <w:p w:rsidR="00000000" w:rsidRPr="00685A62" w:rsidP="00685A62">
            <w:pPr>
              <w:pStyle w:val="ListBullet3"/>
            </w:pPr>
            <w:r w:rsidRPr="00685A62">
              <w:t>relationship between the various rules/regulations and guidelines</w:t>
            </w:r>
          </w:p>
          <w:p w:rsidR="00000000" w:rsidRPr="00685A62" w:rsidP="00685A62">
            <w:pPr>
              <w:pStyle w:val="ListBullet3"/>
            </w:pPr>
            <w:r w:rsidRPr="00685A62">
              <w:t>requirements for dynamic positionin</w:t>
            </w:r>
            <w:r w:rsidRPr="00685A62">
              <w:t>g redundancy within different dynamic positioning equipment classes</w:t>
            </w:r>
          </w:p>
          <w:p w:rsidR="00000000" w:rsidRPr="00685A62" w:rsidP="00685A62">
            <w:pPr>
              <w:pStyle w:val="ListBullet3"/>
            </w:pPr>
            <w:r w:rsidRPr="00685A62">
              <w:t>various providers of documentation containing statutory requirements and guidelines relating to dynamic positioning operations, including IMO/classification societies/International Maritim</w:t>
            </w:r>
            <w:r w:rsidRPr="00685A62">
              <w:t>e Contractors Association (IMCA)/Marine Technology Society (MTS)</w:t>
            </w:r>
          </w:p>
          <w:p w:rsidR="00000000" w:rsidRPr="00685A62" w:rsidP="00685A62">
            <w:pPr>
              <w:pStyle w:val="ListBullet"/>
            </w:pPr>
            <w:r w:rsidRPr="00685A62">
              <w:t>operating a dynamic positioning system, including:</w:t>
            </w:r>
          </w:p>
          <w:p w:rsidR="00000000" w:rsidRPr="00685A62" w:rsidP="00685A62">
            <w:pPr>
              <w:pStyle w:val="ListBullet3"/>
            </w:pPr>
            <w:r w:rsidRPr="00685A62">
              <w:t>concept of centre of rotation, and the provision of alternative centres of rotation</w:t>
            </w:r>
          </w:p>
          <w:p w:rsidR="00000000" w:rsidRPr="00685A62" w:rsidP="00685A62">
            <w:pPr>
              <w:pStyle w:val="ListBullet3"/>
            </w:pPr>
            <w:r w:rsidRPr="00685A62">
              <w:t>dynamic positioning gain and its application in a dyna</w:t>
            </w:r>
            <w:r w:rsidRPr="00685A62">
              <w:t>mic positioning system</w:t>
            </w:r>
          </w:p>
          <w:p w:rsidR="00000000" w:rsidRPr="00685A62" w:rsidP="00685A62">
            <w:pPr>
              <w:pStyle w:val="ListBullet3"/>
            </w:pPr>
            <w:r w:rsidRPr="00685A62">
              <w:t>joystick and using joystick to manoeuvre vessel</w:t>
            </w:r>
          </w:p>
          <w:p w:rsidR="00000000" w:rsidRPr="00685A62" w:rsidP="00685A62">
            <w:pPr>
              <w:pStyle w:val="ListBullet3"/>
            </w:pPr>
            <w:r w:rsidRPr="00685A62">
              <w:t xml:space="preserve">modes of dynamic positioning operation, including common specialist functions: </w:t>
            </w:r>
          </w:p>
          <w:p w:rsidR="00000000" w:rsidRPr="00685A62" w:rsidP="00685A62">
            <w:pPr>
              <w:pStyle w:val="ListBullet4"/>
            </w:pPr>
            <w:r w:rsidRPr="00685A62">
              <w:t>follow target</w:t>
            </w:r>
          </w:p>
          <w:p w:rsidR="00000000" w:rsidRPr="00685A62" w:rsidP="00685A62">
            <w:pPr>
              <w:pStyle w:val="ListBullet4"/>
            </w:pPr>
            <w:r w:rsidRPr="00685A62">
              <w:t>manual control</w:t>
            </w:r>
          </w:p>
          <w:p w:rsidR="00000000" w:rsidRPr="00685A62" w:rsidP="00685A62">
            <w:pPr>
              <w:pStyle w:val="ListBullet4"/>
            </w:pPr>
            <w:r w:rsidRPr="00685A62">
              <w:t xml:space="preserve">minimum power (weathervane) </w:t>
            </w:r>
          </w:p>
          <w:p w:rsidR="00000000" w:rsidRPr="00685A62" w:rsidP="00685A62">
            <w:pPr>
              <w:pStyle w:val="ListBullet4"/>
            </w:pPr>
            <w:r w:rsidRPr="00685A62">
              <w:t xml:space="preserve">ROV follow (follow sub) </w:t>
            </w:r>
          </w:p>
          <w:p w:rsidR="00000000" w:rsidRPr="00685A62" w:rsidP="00685A62">
            <w:pPr>
              <w:pStyle w:val="ListBullet4"/>
            </w:pPr>
            <w:r w:rsidRPr="00685A62">
              <w:t>semiautomatic control and automatic control</w:t>
            </w:r>
          </w:p>
          <w:p w:rsidR="00000000" w:rsidRPr="00685A62" w:rsidP="00685A62">
            <w:pPr>
              <w:pStyle w:val="ListBullet4"/>
            </w:pPr>
            <w:r w:rsidRPr="00685A62">
              <w:t>track follow (autotrack)</w:t>
            </w:r>
          </w:p>
          <w:p w:rsidR="00000000" w:rsidRPr="00685A62" w:rsidP="00685A62">
            <w:pPr>
              <w:pStyle w:val="ListBullet3"/>
            </w:pPr>
            <w:r w:rsidRPr="00685A62">
              <w:t>position and heading change manoeuvres, using both automatic and manual dynamic positioning facilities</w:t>
            </w:r>
          </w:p>
          <w:p w:rsidR="00000000" w:rsidP="00685A62">
            <w:pPr>
              <w:pStyle w:val="ListBullet3"/>
              <w:rPr>
                <w:lang w:val="en-NZ"/>
              </w:rPr>
            </w:pPr>
            <w:r w:rsidRPr="00685A62">
              <w:t>procedure for setting up the dynamic positioning system in both the manual and auto</w:t>
            </w:r>
            <w:r w:rsidRPr="00685A62">
              <w:t>matic modes.</w:t>
            </w:r>
          </w:p>
        </w:tc>
      </w:tr>
      <w:tr w:rsidTr="00600F2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685A62" w:rsidP="00685A62">
            <w:pPr>
              <w:pStyle w:val="NoPaddingFontSize1"/>
            </w:pPr>
          </w:p>
        </w:tc>
      </w:tr>
    </w:tbl>
    <w:p w:rsidR="00600F26" w:rsidP="00685A62">
      <w:pPr>
        <w:pStyle w:val="BodyText"/>
      </w:pPr>
    </w:p>
    <w:p w:rsidR="00600F26" w:rsidP="00685A62">
      <w:pPr>
        <w:pStyle w:val="BodyText"/>
      </w:pPr>
    </w:p>
    <w:p w:rsidR="00000000" w:rsidRPr="00685A62" w:rsidP="00685A62">
      <w:pPr>
        <w:pStyle w:val="Heading1"/>
      </w:pPr>
      <w:bookmarkStart w:id="4" w:name="O_1152929"/>
      <w:bookmarkEnd w:id="4"/>
      <w:r w:rsidRPr="00685A62">
        <w:t>Assessment Conditions</w:t>
      </w:r>
    </w:p>
    <w:tbl>
      <w:tblPr>
        <w:tblW w:w="9497" w:type="dxa"/>
        <w:tblLayout w:type="fixed"/>
        <w:tblCellMar>
          <w:left w:w="62" w:type="dxa"/>
          <w:right w:w="62" w:type="dxa"/>
        </w:tblCellMar>
        <w:tblLook w:val="0000"/>
      </w:tblPr>
      <w:tblGrid>
        <w:gridCol w:w="9497"/>
      </w:tblGrid>
      <w:tr w:rsidTr="00685A6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685A62" w:rsidP="00685A62">
            <w:pPr>
              <w:pStyle w:val="BodyText"/>
            </w:pPr>
            <w:r w:rsidRPr="00685A62">
              <w:t xml:space="preserve">Assessors must hold credentials specified within the Standards for Registered Training Organisations current at the time of assessment. </w:t>
            </w:r>
          </w:p>
          <w:p w:rsidR="00000000" w:rsidRPr="00685A62" w:rsidP="00685A62">
            <w:pPr>
              <w:pStyle w:val="BodyText"/>
            </w:pPr>
            <w:r w:rsidRPr="00685A62">
              <w:t>Assessment must satisfy the Principles of Assessment and Rules of Evidence and all regulatory requirements included within the Standards for Registered Training Organisations current at the time of assessment.</w:t>
            </w:r>
          </w:p>
          <w:p w:rsidR="00000000" w:rsidRPr="00685A62" w:rsidP="00685A62">
            <w:pPr>
              <w:pStyle w:val="BodyText"/>
            </w:pPr>
            <w:r w:rsidRPr="00685A62">
              <w:t>Assessment must occur in workplace operational</w:t>
            </w:r>
            <w:r w:rsidRPr="00685A62">
              <w:t xml:space="preserve"> situations where it is appropriate to do so; where this is not appropriate, assessment must occur in simulated workplace operational situations that replicate workplace conditions.</w:t>
            </w:r>
          </w:p>
          <w:p w:rsidR="00000000" w:rsidRPr="00685A62" w:rsidP="00685A62">
            <w:pPr>
              <w:pStyle w:val="BodyText"/>
            </w:pPr>
            <w:r w:rsidRPr="00685A62">
              <w:t>Assessment processes and techniques must be appropriate to the language, l</w:t>
            </w:r>
            <w:r w:rsidRPr="00685A62">
              <w:t>iteracy and numeracy requirements of the work being performed and the needs of the candidate.</w:t>
            </w:r>
          </w:p>
          <w:p w:rsidR="00000000" w:rsidRPr="00685A62" w:rsidP="00685A62">
            <w:pPr>
              <w:pStyle w:val="BodyText"/>
            </w:pPr>
            <w:r w:rsidRPr="00685A62">
              <w:t>Resources for assessment must include access to:</w:t>
            </w:r>
          </w:p>
          <w:p w:rsidR="00000000" w:rsidRPr="00685A62" w:rsidP="00685A62">
            <w:pPr>
              <w:pStyle w:val="ListBullet"/>
            </w:pPr>
            <w:r w:rsidRPr="00685A62">
              <w:t xml:space="preserve">applicable documentation, such as legislation, regulations, codes of practice, workplace procedures and dynamic </w:t>
            </w:r>
            <w:r w:rsidRPr="00685A62">
              <w:t>positioning operational manuals, FMEA, capability plots, ASOG, TAM and CAMO</w:t>
            </w:r>
          </w:p>
          <w:p w:rsidR="00000000" w:rsidRPr="00685A62" w:rsidP="00685A62">
            <w:pPr>
              <w:pStyle w:val="ListBullet"/>
            </w:pPr>
            <w:r w:rsidRPr="00685A62">
              <w:t>tools, equipment, machinery, materials and relevant personal protective equipment (PPE) currently used in industry.</w:t>
            </w:r>
          </w:p>
        </w:tc>
      </w:tr>
    </w:tbl>
    <w:p w:rsidR="00000000" w:rsidRPr="00685A62" w:rsidP="00685A62">
      <w:pPr>
        <w:pStyle w:val="NoPaddingFontSize1"/>
      </w:pPr>
    </w:p>
    <w:p w:rsidR="00000000" w:rsidRPr="00685A62" w:rsidP="00685A62">
      <w:pPr>
        <w:pStyle w:val="AllowPageBreak"/>
      </w:pPr>
    </w:p>
    <w:p w:rsidR="00000000" w:rsidRPr="00685A62" w:rsidP="00685A62">
      <w:pPr>
        <w:pStyle w:val="Heading1"/>
      </w:pPr>
      <w:bookmarkStart w:id="5" w:name="O_1152932"/>
      <w:bookmarkEnd w:id="5"/>
      <w:r w:rsidRPr="00685A62">
        <w:t>Links</w:t>
      </w:r>
    </w:p>
    <w:p w:rsidR="00000000" w:rsidRPr="00685A62" w:rsidP="00600F26">
      <w:pPr>
        <w:pStyle w:val="BodyText"/>
      </w:pPr>
      <w:r w:rsidRPr="00685A62">
        <w:t xml:space="preserve">Companion Volume Implementation Guides are found in VETNet - </w:t>
      </w:r>
      <w:r>
        <w:fldChar w:fldCharType="begin"/>
      </w:r>
      <w:r>
        <w:instrText xml:space="preserve"> HYPERLINK "https://vetnet.gov.au/Pages/TrainingDocs.aspx?q=772efb7b-4cce-47fe-9bbd-ee3b1d1eb4c2" </w:instrText>
      </w:r>
      <w:r>
        <w:fldChar w:fldCharType="separate"/>
      </w:r>
      <w:r w:rsidRPr="0031017B">
        <w:rPr>
          <w:rStyle w:val="Hyperlink"/>
        </w:rPr>
        <w:t>https://vetnet.gov.au/Pages/TrainingDocs.aspx?q=772efb7b-4cce-47fe-9bbd-ee3b1d1eb4c2</w:t>
      </w:r>
      <w:r>
        <w:fldChar w:fldCharType="end"/>
      </w:r>
    </w:p>
    <w:p w:rsidR="00000000" w:rsidRPr="00685A62" w:rsidP="00685A62"/>
    <w:sectPr w:rsidSect="00685A62">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85A6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85A62" w:rsidRPr="00600F26" w:rsidP="00600F2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85A6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0F26" w:rsidP="00685A6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600F26" w:rsidP="00685A62">
    <w:pPr>
      <w:pStyle w:val="Footer"/>
      <w:framePr w:wrap="around"/>
    </w:pPr>
    <w:r>
      <w:t xml:space="preserve">© Commonwealth of Australia, </w:t>
    </w:r>
    <w:r>
      <w:fldChar w:fldCharType="begin"/>
    </w:r>
    <w:r>
      <w:instrText xml:space="preserve"> DATE  \@ "yyyy"  \* MERGEFORMAT </w:instrText>
    </w:r>
    <w:r>
      <w:fldChar w:fldCharType="separate"/>
    </w:r>
    <w:r>
      <w:rPr>
        <w:noProof/>
      </w:rPr>
      <w:t>2024</w:t>
    </w:r>
    <w:r>
      <w:fldChar w:fldCharType="end"/>
    </w:r>
    <w:r>
      <w:tab/>
    </w:r>
    <w:r>
      <w:fldChar w:fldCharType="begin"/>
    </w:r>
    <w:r>
      <w:instrText xml:space="preserve"> DOCPROPERTY  Author  \* MERGEFORMAT </w:instrText>
    </w:r>
    <w:r>
      <w:fldChar w:fldCharType="separate"/>
    </w:r>
    <w:r>
      <w:t>Industry Skills Australia</w:t>
    </w:r>
    <w:r>
      <w:fldChar w:fldCharType="end"/>
    </w:r>
  </w:p>
  <w:p w:rsidR="00600F26" w:rsidP="00685A62">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85A6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0F26"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685A62" w:rsidRPr="00600F26" w:rsidP="00600F26">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85A6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0F26" w:rsidRPr="002D2AF8" w:rsidP="00685A62">
    <w:pPr>
      <w:pStyle w:val="Header"/>
      <w:framePr w:wrap="around"/>
    </w:pPr>
    <w:r>
      <w:fldChar w:fldCharType="begin"/>
    </w:r>
    <w:r>
      <w:instrText xml:space="preserve"> TITLE   \* MERGEFORMAT </w:instrText>
    </w:r>
    <w:r>
      <w:fldChar w:fldCharType="separate"/>
    </w:r>
    <w:r>
      <w:t>Assessment Requirements for MARH025 Apply knowledge of dynamic positioning fundamentals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22 November 2024</w:t>
    </w:r>
    <w:r>
      <w:fldChar w:fldCharType="end"/>
    </w:r>
  </w:p>
  <w:p w:rsidR="00600F26" w:rsidP="00685A62">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A1C2240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5850725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CB74CF0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4"/>
  </w:num>
  <w:num w:numId="6">
    <w:abstractNumId w:val="3"/>
  </w:num>
  <w:num w:numId="7">
    <w:abstractNumId w:val="2"/>
  </w:num>
  <w:num w:numId="8">
    <w:abstractNumId w:val="1"/>
  </w:num>
  <w:num w:numId="9">
    <w:abstractNumId w:val="0"/>
  </w:num>
  <w:num w:numId="10">
    <w:abstractNumId w:val="14"/>
  </w:num>
  <w:num w:numId="11">
    <w:abstractNumId w:val="11"/>
  </w:num>
  <w:num w:numId="12">
    <w:abstractNumId w:val="15"/>
  </w:num>
  <w:num w:numId="13">
    <w:abstractNumId w:val="9"/>
  </w:num>
  <w:num w:numId="14">
    <w:abstractNumId w:val="12"/>
  </w:num>
  <w:num w:numId="15">
    <w:abstractNumId w:val="10"/>
  </w:num>
  <w:num w:numId="16">
    <w:abstractNumId w:val="5"/>
  </w:num>
  <w:num w:numId="17">
    <w:abstractNumId w:val="13"/>
  </w:num>
  <w:num w:numId="18">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unhideWhenUsed="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85A62"/>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685A62"/>
    <w:pPr>
      <w:spacing w:before="360" w:after="60"/>
      <w:outlineLvl w:val="0"/>
    </w:pPr>
    <w:rPr>
      <w:sz w:val="32"/>
    </w:rPr>
  </w:style>
  <w:style w:type="paragraph" w:styleId="Heading2">
    <w:name w:val="heading 2"/>
    <w:basedOn w:val="HeadingBase"/>
    <w:next w:val="BodyText"/>
    <w:link w:val="Heading2Char"/>
    <w:qFormat/>
    <w:rsid w:val="00685A62"/>
    <w:pPr>
      <w:keepLines/>
      <w:spacing w:before="240" w:after="120"/>
      <w:outlineLvl w:val="1"/>
    </w:pPr>
    <w:rPr>
      <w:sz w:val="28"/>
      <w:szCs w:val="40"/>
    </w:rPr>
  </w:style>
  <w:style w:type="paragraph" w:styleId="Heading3">
    <w:name w:val="heading 3"/>
    <w:basedOn w:val="HeadingBase"/>
    <w:next w:val="BodyText"/>
    <w:link w:val="Heading3Char"/>
    <w:qFormat/>
    <w:rsid w:val="00685A62"/>
    <w:pPr>
      <w:spacing w:before="180" w:after="120"/>
      <w:outlineLvl w:val="2"/>
    </w:pPr>
    <w:rPr>
      <w:spacing w:val="-10"/>
      <w:kern w:val="32"/>
    </w:rPr>
  </w:style>
  <w:style w:type="paragraph" w:styleId="Heading4">
    <w:name w:val="heading 4"/>
    <w:basedOn w:val="HeadingBase"/>
    <w:next w:val="BodyText"/>
    <w:link w:val="Heading4Char"/>
    <w:qFormat/>
    <w:rsid w:val="00685A62"/>
    <w:pPr>
      <w:spacing w:before="160" w:after="120"/>
      <w:outlineLvl w:val="3"/>
    </w:pPr>
    <w:rPr>
      <w:sz w:val="22"/>
    </w:rPr>
  </w:style>
  <w:style w:type="paragraph" w:styleId="Heading5">
    <w:name w:val="heading 5"/>
    <w:basedOn w:val="HeadingBase"/>
    <w:next w:val="Normal"/>
    <w:link w:val="Heading5Char"/>
    <w:qFormat/>
    <w:rsid w:val="00685A62"/>
    <w:pPr>
      <w:spacing w:before="80"/>
      <w:outlineLvl w:val="4"/>
    </w:pPr>
    <w:rPr>
      <w:color w:val="918585"/>
      <w:sz w:val="20"/>
    </w:rPr>
  </w:style>
  <w:style w:type="paragraph" w:styleId="Heading6">
    <w:name w:val="heading 6"/>
    <w:basedOn w:val="HeadingBase"/>
    <w:next w:val="Normal"/>
    <w:link w:val="Heading6Char"/>
    <w:qFormat/>
    <w:rsid w:val="00685A62"/>
    <w:pPr>
      <w:spacing w:before="60"/>
      <w:outlineLvl w:val="5"/>
    </w:pPr>
    <w:rPr>
      <w:color w:val="918585"/>
      <w:sz w:val="20"/>
    </w:rPr>
  </w:style>
  <w:style w:type="paragraph" w:styleId="Heading7">
    <w:name w:val="heading 7"/>
    <w:basedOn w:val="Normal"/>
    <w:next w:val="Normal"/>
    <w:link w:val="Heading7Char"/>
    <w:qFormat/>
    <w:rsid w:val="00685A62"/>
    <w:pPr>
      <w:ind w:left="720"/>
      <w:outlineLvl w:val="6"/>
    </w:pPr>
    <w:rPr>
      <w:i/>
    </w:rPr>
  </w:style>
  <w:style w:type="paragraph" w:styleId="Heading8">
    <w:name w:val="heading 8"/>
    <w:basedOn w:val="Normal"/>
    <w:next w:val="Normal"/>
    <w:link w:val="Heading8Char"/>
    <w:qFormat/>
    <w:rsid w:val="00685A62"/>
    <w:pPr>
      <w:ind w:left="720"/>
      <w:outlineLvl w:val="7"/>
    </w:pPr>
    <w:rPr>
      <w:i/>
    </w:rPr>
  </w:style>
  <w:style w:type="paragraph" w:styleId="Heading9">
    <w:name w:val="heading 9"/>
    <w:basedOn w:val="Normal"/>
    <w:next w:val="Normal"/>
    <w:link w:val="Heading9Char"/>
    <w:qFormat/>
    <w:rsid w:val="00685A62"/>
    <w:pPr>
      <w:ind w:left="720"/>
      <w:outlineLvl w:val="8"/>
    </w:pPr>
    <w:rPr>
      <w:i/>
    </w:rPr>
  </w:style>
  <w:style w:type="character" w:default="1" w:styleId="DefaultParagraphFont">
    <w:name w:val="Default Paragraph Font"/>
    <w:uiPriority w:val="1"/>
    <w:unhideWhenUsed/>
    <w:rsid w:val="00685A6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85A62"/>
  </w:style>
  <w:style w:type="character" w:customStyle="1" w:styleId="Heading1Char">
    <w:name w:val="Heading 1 Char"/>
    <w:basedOn w:val="DefaultParagraphFont"/>
    <w:link w:val="Heading1"/>
    <w:rsid w:val="00685A62"/>
    <w:rPr>
      <w:rFonts w:ascii="Times New Roman" w:eastAsia="Times New Roman" w:hAnsi="Times New Roman" w:cs="Times New Roman"/>
      <w:b/>
      <w:sz w:val="32"/>
      <w:szCs w:val="20"/>
      <w:lang w:eastAsia="en-US"/>
    </w:rPr>
  </w:style>
  <w:style w:type="paragraph" w:styleId="BodyText">
    <w:name w:val="Body Text"/>
    <w:basedOn w:val="Normal"/>
    <w:link w:val="BodyTextChar"/>
    <w:rsid w:val="00685A62"/>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685A62"/>
    <w:rPr>
      <w:rFonts w:ascii="Times New Roman" w:eastAsia="Times New Roman" w:hAnsi="Times New Roman" w:cs="Times New Roman"/>
      <w:sz w:val="24"/>
      <w:lang w:eastAsia="en-US"/>
    </w:rPr>
  </w:style>
  <w:style w:type="paragraph" w:styleId="ListBullet">
    <w:name w:val="List Bullet"/>
    <w:basedOn w:val="List"/>
    <w:rsid w:val="00685A62"/>
    <w:pPr>
      <w:numPr>
        <w:numId w:val="14"/>
      </w:numPr>
      <w:tabs>
        <w:tab w:val="clear" w:pos="340"/>
      </w:tabs>
      <w:spacing w:before="40" w:after="40"/>
    </w:pPr>
  </w:style>
  <w:style w:type="paragraph" w:styleId="ListBullet2">
    <w:name w:val="List Bullet 2"/>
    <w:basedOn w:val="List2"/>
    <w:rsid w:val="00685A62"/>
    <w:pPr>
      <w:numPr>
        <w:numId w:val="15"/>
      </w:numPr>
      <w:tabs>
        <w:tab w:val="clear" w:pos="680"/>
      </w:tabs>
    </w:pPr>
  </w:style>
  <w:style w:type="paragraph" w:customStyle="1" w:styleId="SuperHeading">
    <w:name w:val="SuperHeading"/>
    <w:basedOn w:val="Normal"/>
    <w:rsid w:val="00685A62"/>
    <w:pPr>
      <w:spacing w:before="240" w:after="120"/>
      <w:outlineLvl w:val="0"/>
    </w:pPr>
    <w:rPr>
      <w:rFonts w:ascii="Times New Roman" w:hAnsi="Times New Roman"/>
      <w:b/>
      <w:sz w:val="32"/>
    </w:rPr>
  </w:style>
  <w:style w:type="paragraph" w:customStyle="1" w:styleId="AllowPageBreak">
    <w:name w:val="AllowPageBreak"/>
    <w:rsid w:val="00685A62"/>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685A62"/>
    <w:pPr>
      <w:numPr>
        <w:numId w:val="3"/>
      </w:numPr>
      <w:tabs>
        <w:tab w:val="clear" w:pos="1021"/>
      </w:tabs>
      <w:ind w:left="1037" w:hanging="357"/>
    </w:pPr>
  </w:style>
  <w:style w:type="paragraph" w:styleId="ListBullet4">
    <w:name w:val="List Bullet 4"/>
    <w:basedOn w:val="List4"/>
    <w:rsid w:val="00685A62"/>
    <w:pPr>
      <w:numPr>
        <w:numId w:val="4"/>
      </w:numPr>
      <w:tabs>
        <w:tab w:val="clear" w:pos="1361"/>
      </w:tabs>
    </w:p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685A6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85A6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85A6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85A6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85A6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85A62"/>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685A62"/>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685A62"/>
    <w:rPr>
      <w:rFonts w:ascii="Courier New" w:eastAsia="Times New Roman" w:hAnsi="Courier New" w:cs="Times New Roman"/>
      <w:i/>
      <w:szCs w:val="20"/>
      <w:lang w:eastAsia="en-US"/>
    </w:rPr>
  </w:style>
  <w:style w:type="paragraph" w:customStyle="1" w:styleId="HeadingBase">
    <w:name w:val="Heading Base"/>
    <w:rsid w:val="00685A6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85A62"/>
    <w:pPr>
      <w:tabs>
        <w:tab w:val="right" w:leader="dot" w:pos="9072"/>
      </w:tabs>
      <w:ind w:left="567"/>
    </w:pPr>
    <w:rPr>
      <w:szCs w:val="22"/>
    </w:rPr>
  </w:style>
  <w:style w:type="paragraph" w:customStyle="1" w:styleId="TOCBase">
    <w:name w:val="TOC Base"/>
    <w:rsid w:val="00685A6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85A62"/>
    <w:pPr>
      <w:tabs>
        <w:tab w:val="right" w:leader="dot" w:pos="9072"/>
      </w:tabs>
      <w:spacing w:before="40" w:after="40"/>
      <w:ind w:left="284"/>
    </w:pPr>
    <w:rPr>
      <w:rFonts w:ascii="Times New Roman" w:hAnsi="Times New Roman"/>
    </w:rPr>
  </w:style>
  <w:style w:type="paragraph" w:styleId="TOC1">
    <w:name w:val="toc 1"/>
    <w:basedOn w:val="TOCBase"/>
    <w:next w:val="Normal"/>
    <w:rsid w:val="00685A62"/>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685A6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85A62"/>
    <w:rPr>
      <w:rFonts w:ascii="Times New Roman" w:eastAsia="Times New Roman" w:hAnsi="Times New Roman" w:cs="Times New Roman"/>
      <w:sz w:val="16"/>
      <w:lang w:eastAsia="en-US"/>
    </w:rPr>
  </w:style>
  <w:style w:type="paragraph" w:styleId="Title">
    <w:name w:val="Title"/>
    <w:basedOn w:val="HeadingBase"/>
    <w:link w:val="TitleChar"/>
    <w:qFormat/>
    <w:rsid w:val="00685A62"/>
    <w:pPr>
      <w:spacing w:before="5040"/>
      <w:jc w:val="center"/>
    </w:pPr>
    <w:rPr>
      <w:sz w:val="48"/>
      <w:szCs w:val="72"/>
      <w:lang w:val="en-US"/>
    </w:rPr>
  </w:style>
  <w:style w:type="character" w:customStyle="1" w:styleId="TitleChar">
    <w:name w:val="Title Char"/>
    <w:basedOn w:val="DefaultParagraphFont"/>
    <w:link w:val="Title"/>
    <w:rsid w:val="00685A6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85A62"/>
    <w:pPr>
      <w:tabs>
        <w:tab w:val="left" w:pos="3600"/>
        <w:tab w:val="left" w:pos="3958"/>
      </w:tabs>
    </w:pPr>
  </w:style>
  <w:style w:type="paragraph" w:styleId="List">
    <w:name w:val="List"/>
    <w:basedOn w:val="BodyText"/>
    <w:next w:val="BodyText"/>
    <w:rsid w:val="00685A62"/>
    <w:pPr>
      <w:tabs>
        <w:tab w:val="left" w:pos="340"/>
      </w:tabs>
      <w:spacing w:before="60" w:after="60"/>
      <w:ind w:left="340" w:hanging="340"/>
    </w:pPr>
  </w:style>
  <w:style w:type="paragraph" w:customStyle="1" w:styleId="Note">
    <w:name w:val="Note"/>
    <w:basedOn w:val="BodyText"/>
    <w:rsid w:val="00685A62"/>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685A62"/>
    <w:rPr>
      <w:b/>
      <w:spacing w:val="0"/>
    </w:rPr>
  </w:style>
  <w:style w:type="paragraph" w:customStyle="1" w:styleId="SuperTitle">
    <w:name w:val="SuperTitle"/>
    <w:basedOn w:val="Title"/>
    <w:rsid w:val="00685A62"/>
    <w:pPr>
      <w:framePr w:wrap="auto" w:hAnchor="text" w:y="6049"/>
    </w:pPr>
    <w:rPr>
      <w:color w:val="000000"/>
      <w:sz w:val="40"/>
    </w:rPr>
  </w:style>
  <w:style w:type="paragraph" w:customStyle="1" w:styleId="TOCTitle">
    <w:name w:val="TOCTitle"/>
    <w:basedOn w:val="Heading1"/>
    <w:rsid w:val="00685A62"/>
    <w:pPr>
      <w:spacing w:after="240"/>
      <w:jc w:val="center"/>
      <w:outlineLvl w:val="9"/>
    </w:pPr>
    <w:rPr>
      <w:caps/>
    </w:rPr>
  </w:style>
  <w:style w:type="paragraph" w:customStyle="1" w:styleId="Version">
    <w:name w:val="Version"/>
    <w:rsid w:val="00685A62"/>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685A62"/>
    <w:pPr>
      <w:keepNext w:val="0"/>
      <w:tabs>
        <w:tab w:val="right" w:pos="4176"/>
      </w:tabs>
      <w:ind w:left="198" w:hanging="198"/>
    </w:pPr>
    <w:rPr>
      <w:rFonts w:ascii="Garamond" w:hAnsi="Garamond"/>
    </w:rPr>
  </w:style>
  <w:style w:type="paragraph" w:styleId="IndexHeading">
    <w:name w:val="index heading"/>
    <w:basedOn w:val="Normal"/>
    <w:next w:val="Index1"/>
    <w:semiHidden/>
    <w:rsid w:val="00685A62"/>
    <w:pPr>
      <w:spacing w:before="120" w:after="120"/>
    </w:pPr>
    <w:rPr>
      <w:rFonts w:ascii="Arial" w:hAnsi="Arial"/>
      <w:b/>
      <w:color w:val="918585"/>
      <w:sz w:val="24"/>
    </w:rPr>
  </w:style>
  <w:style w:type="paragraph" w:styleId="Header">
    <w:name w:val="header"/>
    <w:basedOn w:val="Normal"/>
    <w:link w:val="HeaderChar"/>
    <w:rsid w:val="00685A6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85A62"/>
    <w:rPr>
      <w:rFonts w:ascii="Times New Roman" w:eastAsia="Times New Roman" w:hAnsi="Times New Roman" w:cs="Times New Roman"/>
      <w:sz w:val="16"/>
      <w:szCs w:val="20"/>
      <w:lang w:val="en-GB" w:eastAsia="en-US"/>
    </w:rPr>
  </w:style>
  <w:style w:type="paragraph" w:customStyle="1" w:styleId="Chapter">
    <w:name w:val="Chapter"/>
    <w:basedOn w:val="Normal"/>
    <w:rsid w:val="00685A62"/>
    <w:pPr>
      <w:spacing w:before="240"/>
    </w:pPr>
    <w:rPr>
      <w:rFonts w:ascii="Times New Roman" w:hAnsi="Times New Roman"/>
      <w:smallCaps/>
      <w:spacing w:val="80"/>
      <w:sz w:val="28"/>
    </w:rPr>
  </w:style>
  <w:style w:type="paragraph" w:customStyle="1" w:styleId="InChapter">
    <w:name w:val="InChapter"/>
    <w:basedOn w:val="Heading3"/>
    <w:rsid w:val="00685A62"/>
    <w:pPr>
      <w:spacing w:after="240"/>
      <w:outlineLvl w:val="9"/>
    </w:pPr>
    <w:rPr>
      <w:noProof/>
    </w:rPr>
  </w:style>
  <w:style w:type="paragraph" w:styleId="Index2">
    <w:name w:val="index 2"/>
    <w:basedOn w:val="Normal"/>
    <w:next w:val="Normal"/>
    <w:semiHidden/>
    <w:rsid w:val="00685A62"/>
    <w:pPr>
      <w:tabs>
        <w:tab w:val="right" w:pos="4176"/>
      </w:tabs>
      <w:ind w:left="568" w:hanging="284"/>
    </w:pPr>
    <w:rPr>
      <w:rFonts w:ascii="Garamond" w:hAnsi="Garamond"/>
    </w:rPr>
  </w:style>
  <w:style w:type="paragraph" w:customStyle="1" w:styleId="Byline">
    <w:name w:val="Byline"/>
    <w:rsid w:val="00685A6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85A62"/>
    <w:pPr>
      <w:tabs>
        <w:tab w:val="clear" w:pos="3600"/>
        <w:tab w:val="clear" w:pos="3958"/>
      </w:tabs>
      <w:jc w:val="right"/>
    </w:pPr>
  </w:style>
  <w:style w:type="character" w:styleId="Emphasis">
    <w:name w:val="Emphasis"/>
    <w:basedOn w:val="DefaultParagraphFont"/>
    <w:qFormat/>
    <w:rsid w:val="00685A62"/>
    <w:rPr>
      <w:i/>
    </w:rPr>
  </w:style>
  <w:style w:type="paragraph" w:styleId="Caption">
    <w:name w:val="caption"/>
    <w:basedOn w:val="BodyText"/>
    <w:next w:val="Normal"/>
    <w:qFormat/>
    <w:rsid w:val="00685A62"/>
    <w:pPr>
      <w:framePr w:w="2268" w:hSpace="181" w:vSpace="181" w:wrap="around" w:vAnchor="text" w:hAnchor="page" w:x="1135" w:y="285" w:anchorLock="1"/>
    </w:pPr>
    <w:rPr>
      <w:i/>
    </w:rPr>
  </w:style>
  <w:style w:type="paragraph" w:customStyle="1" w:styleId="MiniTOCTitle">
    <w:name w:val="MiniTOCTitle"/>
    <w:basedOn w:val="Heading4"/>
    <w:rsid w:val="00685A62"/>
    <w:pPr>
      <w:spacing w:before="240"/>
      <w:outlineLvl w:val="9"/>
    </w:pPr>
    <w:rPr>
      <w:noProof/>
      <w:sz w:val="24"/>
    </w:rPr>
  </w:style>
  <w:style w:type="paragraph" w:customStyle="1" w:styleId="MiniTOCItem">
    <w:name w:val="MiniTOCItem"/>
    <w:basedOn w:val="ListBullet"/>
    <w:rsid w:val="00685A62"/>
    <w:pPr>
      <w:numPr>
        <w:numId w:val="0"/>
      </w:numPr>
      <w:tabs>
        <w:tab w:val="right" w:leader="dot" w:pos="6521"/>
      </w:tabs>
      <w:spacing w:before="0" w:after="0"/>
    </w:pPr>
  </w:style>
  <w:style w:type="paragraph" w:customStyle="1" w:styleId="TOFTitle">
    <w:name w:val="TOFTitle"/>
    <w:basedOn w:val="TOCTitle"/>
    <w:rsid w:val="00685A62"/>
  </w:style>
  <w:style w:type="paragraph" w:styleId="TableofFigures">
    <w:name w:val="table of figures"/>
    <w:basedOn w:val="Normal"/>
    <w:next w:val="Normal"/>
    <w:semiHidden/>
    <w:rsid w:val="00685A62"/>
    <w:pPr>
      <w:tabs>
        <w:tab w:val="right" w:leader="dot" w:pos="9072"/>
      </w:tabs>
      <w:ind w:left="970" w:hanging="403"/>
    </w:pPr>
    <w:rPr>
      <w:rFonts w:ascii="Times New Roman" w:hAnsi="Times New Roman"/>
      <w:b/>
    </w:rPr>
  </w:style>
  <w:style w:type="paragraph" w:styleId="ListNumber">
    <w:name w:val="List Number"/>
    <w:basedOn w:val="List"/>
    <w:rsid w:val="00685A62"/>
    <w:pPr>
      <w:numPr>
        <w:numId w:val="17"/>
      </w:numPr>
      <w:tabs>
        <w:tab w:val="clear" w:pos="340"/>
      </w:tabs>
    </w:pPr>
  </w:style>
  <w:style w:type="character" w:customStyle="1" w:styleId="WingdingSymbols">
    <w:name w:val="Wingding Symbols"/>
    <w:rsid w:val="00685A62"/>
    <w:rPr>
      <w:rFonts w:ascii="Wingdings" w:hAnsi="Wingdings"/>
    </w:rPr>
  </w:style>
  <w:style w:type="paragraph" w:customStyle="1" w:styleId="TableHeading">
    <w:name w:val="Table Heading"/>
    <w:basedOn w:val="HeadingBase"/>
    <w:rsid w:val="00685A62"/>
    <w:pPr>
      <w:keepLines/>
      <w:pBdr>
        <w:bottom w:val="single" w:sz="6" w:space="1" w:color="918585"/>
      </w:pBdr>
      <w:spacing w:before="240"/>
    </w:pPr>
  </w:style>
  <w:style w:type="character" w:customStyle="1" w:styleId="HotSpot">
    <w:name w:val="HotSpot"/>
    <w:rsid w:val="00685A62"/>
    <w:rPr>
      <w:color w:val="0033CC"/>
      <w:u w:val="none"/>
    </w:rPr>
  </w:style>
  <w:style w:type="paragraph" w:customStyle="1" w:styleId="BodyTextRight">
    <w:name w:val="Body Text Right"/>
    <w:basedOn w:val="BodyText"/>
    <w:rsid w:val="00685A62"/>
    <w:pPr>
      <w:spacing w:before="0" w:after="0"/>
      <w:jc w:val="right"/>
    </w:pPr>
  </w:style>
  <w:style w:type="paragraph" w:styleId="Index3">
    <w:name w:val="index 3"/>
    <w:basedOn w:val="ListNumber2"/>
    <w:next w:val="Normal"/>
    <w:semiHidden/>
    <w:rsid w:val="00685A62"/>
    <w:pPr>
      <w:numPr>
        <w:numId w:val="0"/>
      </w:numPr>
      <w:tabs>
        <w:tab w:val="right" w:leader="dot" w:pos="4176"/>
      </w:tabs>
    </w:pPr>
  </w:style>
  <w:style w:type="paragraph" w:styleId="ListNumber2">
    <w:name w:val="List Number 2"/>
    <w:basedOn w:val="List2"/>
    <w:rsid w:val="00685A62"/>
    <w:pPr>
      <w:numPr>
        <w:numId w:val="12"/>
      </w:numPr>
      <w:tabs>
        <w:tab w:val="clear" w:pos="1060"/>
      </w:tabs>
    </w:pPr>
  </w:style>
  <w:style w:type="paragraph" w:customStyle="1" w:styleId="MarginNote">
    <w:name w:val="Margin Note"/>
    <w:basedOn w:val="BodyText"/>
    <w:rsid w:val="00685A6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85A6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85A62"/>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685A62"/>
    <w:rPr>
      <w:sz w:val="32"/>
    </w:rPr>
  </w:style>
  <w:style w:type="paragraph" w:customStyle="1" w:styleId="HeadingProcedure">
    <w:name w:val="Heading Procedure"/>
    <w:basedOn w:val="HeadingBase"/>
    <w:next w:val="Normal"/>
    <w:rsid w:val="00685A62"/>
    <w:pPr>
      <w:tabs>
        <w:tab w:val="left" w:pos="0"/>
      </w:tabs>
      <w:spacing w:before="120" w:after="60"/>
    </w:pPr>
    <w:rPr>
      <w:i/>
      <w:color w:val="918585"/>
      <w:sz w:val="22"/>
    </w:rPr>
  </w:style>
  <w:style w:type="paragraph" w:customStyle="1" w:styleId="TableBodyText">
    <w:name w:val="Table Body Text"/>
    <w:basedOn w:val="BodyText"/>
    <w:rsid w:val="00685A62"/>
    <w:pPr>
      <w:spacing w:before="60" w:after="60"/>
    </w:pPr>
  </w:style>
  <w:style w:type="paragraph" w:styleId="ListContinue">
    <w:name w:val="List Continue"/>
    <w:basedOn w:val="List"/>
    <w:rsid w:val="00685A62"/>
    <w:pPr>
      <w:ind w:firstLine="0"/>
    </w:pPr>
  </w:style>
  <w:style w:type="paragraph" w:customStyle="1" w:styleId="ListNote">
    <w:name w:val="List Note"/>
    <w:basedOn w:val="List"/>
    <w:rsid w:val="00685A62"/>
    <w:pPr>
      <w:pBdr>
        <w:top w:val="single" w:sz="6" w:space="2" w:color="918585"/>
        <w:bottom w:val="single" w:sz="6" w:space="2" w:color="918585"/>
      </w:pBdr>
      <w:tabs>
        <w:tab w:val="left" w:pos="1021"/>
      </w:tabs>
      <w:ind w:firstLine="0"/>
    </w:pPr>
  </w:style>
  <w:style w:type="paragraph" w:customStyle="1" w:styleId="Warning">
    <w:name w:val="Warning"/>
    <w:basedOn w:val="BodyText"/>
    <w:rsid w:val="00685A62"/>
    <w:pPr>
      <w:shd w:val="clear" w:color="auto" w:fill="D9D9D9"/>
      <w:tabs>
        <w:tab w:val="left" w:pos="992"/>
      </w:tabs>
      <w:ind w:left="119" w:right="119"/>
    </w:pPr>
    <w:rPr>
      <w:sz w:val="20"/>
    </w:rPr>
  </w:style>
  <w:style w:type="paragraph" w:customStyle="1" w:styleId="MarginIcons">
    <w:name w:val="Margin Icons"/>
    <w:basedOn w:val="BodyText"/>
    <w:rsid w:val="00685A6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85A62"/>
    <w:rPr>
      <w:rFonts w:ascii="Courier New" w:hAnsi="Courier New"/>
    </w:rPr>
  </w:style>
  <w:style w:type="paragraph" w:customStyle="1" w:styleId="NoteBullet">
    <w:name w:val="Note Bullet"/>
    <w:basedOn w:val="Note"/>
    <w:rsid w:val="00685A62"/>
    <w:pPr>
      <w:tabs>
        <w:tab w:val="clear" w:pos="680"/>
      </w:tabs>
      <w:spacing w:before="60" w:after="60"/>
    </w:pPr>
  </w:style>
  <w:style w:type="paragraph" w:customStyle="1" w:styleId="SubHeading2">
    <w:name w:val="SubHeading2"/>
    <w:basedOn w:val="HeadingBase"/>
    <w:rsid w:val="00685A62"/>
    <w:pPr>
      <w:spacing w:before="240" w:after="60"/>
    </w:pPr>
    <w:rPr>
      <w:sz w:val="20"/>
    </w:rPr>
  </w:style>
  <w:style w:type="paragraph" w:customStyle="1" w:styleId="SubHeading1">
    <w:name w:val="SubHeading1"/>
    <w:basedOn w:val="HeadingBase"/>
    <w:rsid w:val="00685A62"/>
    <w:pPr>
      <w:spacing w:before="240" w:after="60"/>
    </w:pPr>
    <w:rPr>
      <w:color w:val="918585"/>
      <w:sz w:val="22"/>
    </w:rPr>
  </w:style>
  <w:style w:type="paragraph" w:customStyle="1" w:styleId="SideHeading">
    <w:name w:val="Side Heading"/>
    <w:basedOn w:val="HeadingBase"/>
    <w:rsid w:val="00685A6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85A62"/>
    <w:pPr>
      <w:numPr>
        <w:numId w:val="13"/>
      </w:numPr>
    </w:pPr>
  </w:style>
  <w:style w:type="paragraph" w:styleId="PlainText">
    <w:name w:val="Plain Text"/>
    <w:basedOn w:val="Normal"/>
    <w:link w:val="PlainTextChar"/>
    <w:rsid w:val="00685A62"/>
    <w:rPr>
      <w:sz w:val="20"/>
    </w:rPr>
  </w:style>
  <w:style w:type="character" w:customStyle="1" w:styleId="PlainTextChar">
    <w:name w:val="Plain Text Char"/>
    <w:basedOn w:val="DefaultParagraphFont"/>
    <w:link w:val="PlainText"/>
    <w:rsid w:val="00685A62"/>
    <w:rPr>
      <w:rFonts w:ascii="Courier New" w:eastAsia="Times New Roman" w:hAnsi="Courier New" w:cs="Times New Roman"/>
      <w:sz w:val="20"/>
      <w:szCs w:val="20"/>
      <w:lang w:eastAsia="en-US"/>
    </w:rPr>
  </w:style>
  <w:style w:type="character" w:customStyle="1" w:styleId="MenuOption">
    <w:name w:val="Menu Option"/>
    <w:basedOn w:val="DefaultParagraphFont"/>
    <w:rsid w:val="00685A62"/>
    <w:rPr>
      <w:b/>
      <w:smallCaps/>
    </w:rPr>
  </w:style>
  <w:style w:type="paragraph" w:customStyle="1" w:styleId="TableListNumber">
    <w:name w:val="Table List Number"/>
    <w:basedOn w:val="ListNumber"/>
    <w:rsid w:val="00685A62"/>
    <w:pPr>
      <w:numPr>
        <w:numId w:val="0"/>
      </w:numPr>
    </w:pPr>
  </w:style>
  <w:style w:type="paragraph" w:styleId="TOC4">
    <w:name w:val="toc 4"/>
    <w:basedOn w:val="TOCBase"/>
    <w:next w:val="Normal"/>
    <w:semiHidden/>
    <w:rsid w:val="00685A62"/>
    <w:pPr>
      <w:tabs>
        <w:tab w:val="right" w:leader="dot" w:pos="9071"/>
      </w:tabs>
      <w:ind w:left="1701"/>
    </w:pPr>
  </w:style>
  <w:style w:type="paragraph" w:customStyle="1" w:styleId="ListAlpha">
    <w:name w:val="List Alpha"/>
    <w:basedOn w:val="List"/>
    <w:rsid w:val="00685A62"/>
    <w:pPr>
      <w:numPr>
        <w:numId w:val="11"/>
      </w:numPr>
    </w:pPr>
  </w:style>
  <w:style w:type="paragraph" w:customStyle="1" w:styleId="ListAlpha2">
    <w:name w:val="List Alpha 2"/>
    <w:basedOn w:val="List2"/>
    <w:rsid w:val="00685A62"/>
    <w:pPr>
      <w:numPr>
        <w:numId w:val="10"/>
      </w:numPr>
    </w:pPr>
  </w:style>
  <w:style w:type="paragraph" w:styleId="List2">
    <w:name w:val="List 2"/>
    <w:basedOn w:val="BodyText"/>
    <w:rsid w:val="00685A62"/>
    <w:pPr>
      <w:tabs>
        <w:tab w:val="left" w:pos="680"/>
      </w:tabs>
      <w:spacing w:before="60" w:after="60"/>
      <w:ind w:left="680" w:hanging="340"/>
    </w:pPr>
  </w:style>
  <w:style w:type="paragraph" w:styleId="List3">
    <w:name w:val="List 3"/>
    <w:basedOn w:val="BodyText"/>
    <w:rsid w:val="00685A62"/>
    <w:pPr>
      <w:tabs>
        <w:tab w:val="left" w:pos="1021"/>
      </w:tabs>
      <w:spacing w:before="60" w:after="60"/>
      <w:ind w:left="1020" w:hanging="340"/>
    </w:pPr>
  </w:style>
  <w:style w:type="paragraph" w:styleId="List4">
    <w:name w:val="List 4"/>
    <w:basedOn w:val="BodyText"/>
    <w:rsid w:val="00685A62"/>
    <w:pPr>
      <w:tabs>
        <w:tab w:val="left" w:pos="1361"/>
      </w:tabs>
      <w:spacing w:before="60" w:after="60"/>
      <w:ind w:left="1361" w:hanging="340"/>
    </w:pPr>
  </w:style>
  <w:style w:type="paragraph" w:styleId="List5">
    <w:name w:val="List 5"/>
    <w:basedOn w:val="BodyText"/>
    <w:rsid w:val="00685A62"/>
    <w:pPr>
      <w:tabs>
        <w:tab w:val="left" w:pos="1701"/>
      </w:tabs>
      <w:spacing w:before="60" w:after="60"/>
      <w:ind w:left="1701" w:hanging="340"/>
    </w:pPr>
  </w:style>
  <w:style w:type="paragraph" w:styleId="ListBullet5">
    <w:name w:val="List Bullet 5"/>
    <w:basedOn w:val="List5"/>
    <w:rsid w:val="00685A62"/>
    <w:pPr>
      <w:numPr>
        <w:numId w:val="6"/>
      </w:numPr>
    </w:pPr>
  </w:style>
  <w:style w:type="paragraph" w:styleId="ListContinue2">
    <w:name w:val="List Continue 2"/>
    <w:basedOn w:val="List2"/>
    <w:rsid w:val="00685A62"/>
    <w:pPr>
      <w:ind w:firstLine="0"/>
    </w:pPr>
  </w:style>
  <w:style w:type="paragraph" w:styleId="ListContinue3">
    <w:name w:val="List Continue 3"/>
    <w:basedOn w:val="List3"/>
    <w:rsid w:val="00685A62"/>
    <w:pPr>
      <w:ind w:left="1021" w:firstLine="0"/>
    </w:pPr>
  </w:style>
  <w:style w:type="paragraph" w:styleId="ListContinue4">
    <w:name w:val="List Continue 4"/>
    <w:basedOn w:val="List4"/>
    <w:rsid w:val="00685A62"/>
    <w:pPr>
      <w:ind w:firstLine="0"/>
    </w:pPr>
  </w:style>
  <w:style w:type="paragraph" w:styleId="ListContinue5">
    <w:name w:val="List Continue 5"/>
    <w:basedOn w:val="List5"/>
    <w:rsid w:val="00685A62"/>
    <w:pPr>
      <w:ind w:firstLine="0"/>
    </w:pPr>
  </w:style>
  <w:style w:type="paragraph" w:styleId="ListNumber3">
    <w:name w:val="List Number 3"/>
    <w:basedOn w:val="List3"/>
    <w:rsid w:val="00685A62"/>
    <w:pPr>
      <w:numPr>
        <w:numId w:val="7"/>
      </w:numPr>
    </w:pPr>
  </w:style>
  <w:style w:type="paragraph" w:styleId="ListNumber4">
    <w:name w:val="List Number 4"/>
    <w:basedOn w:val="List4"/>
    <w:rsid w:val="00685A62"/>
    <w:pPr>
      <w:numPr>
        <w:numId w:val="8"/>
      </w:numPr>
    </w:pPr>
  </w:style>
  <w:style w:type="paragraph" w:styleId="ListNumber5">
    <w:name w:val="List Number 5"/>
    <w:basedOn w:val="List5"/>
    <w:rsid w:val="00685A62"/>
    <w:pPr>
      <w:numPr>
        <w:numId w:val="9"/>
      </w:numPr>
    </w:pPr>
  </w:style>
  <w:style w:type="paragraph" w:styleId="BlockText">
    <w:name w:val="Block Text"/>
    <w:basedOn w:val="Normal"/>
    <w:rsid w:val="00685A62"/>
    <w:pPr>
      <w:spacing w:after="120"/>
      <w:ind w:left="1440" w:right="1440"/>
    </w:pPr>
  </w:style>
  <w:style w:type="character" w:customStyle="1" w:styleId="Subscript">
    <w:name w:val="Subscript"/>
    <w:basedOn w:val="DefaultParagraphFont"/>
    <w:rsid w:val="00685A62"/>
    <w:rPr>
      <w:sz w:val="16"/>
      <w:vertAlign w:val="subscript"/>
    </w:rPr>
  </w:style>
  <w:style w:type="character" w:customStyle="1" w:styleId="Superscript">
    <w:name w:val="Superscript"/>
    <w:basedOn w:val="DefaultParagraphFont"/>
    <w:rsid w:val="00685A62"/>
    <w:rPr>
      <w:sz w:val="16"/>
      <w:vertAlign w:val="superscript"/>
    </w:rPr>
  </w:style>
  <w:style w:type="character" w:customStyle="1" w:styleId="Symbols">
    <w:name w:val="Symbols"/>
    <w:basedOn w:val="DefaultParagraphFont"/>
    <w:rsid w:val="00685A62"/>
    <w:rPr>
      <w:rFonts w:ascii="Symbol" w:hAnsi="Symbol"/>
    </w:rPr>
  </w:style>
  <w:style w:type="character" w:customStyle="1" w:styleId="MenuOptions">
    <w:name w:val="Menu Options"/>
    <w:basedOn w:val="DefaultParagraphFont"/>
    <w:rsid w:val="00685A62"/>
    <w:rPr>
      <w:rFonts w:ascii="Arial Narrow" w:hAnsi="Arial Narrow"/>
      <w:smallCaps/>
    </w:rPr>
  </w:style>
  <w:style w:type="character" w:customStyle="1" w:styleId="Buttons">
    <w:name w:val="Buttons"/>
    <w:basedOn w:val="DefaultParagraphFont"/>
    <w:rsid w:val="00685A62"/>
    <w:rPr>
      <w:b/>
    </w:rPr>
  </w:style>
  <w:style w:type="character" w:customStyle="1" w:styleId="Underlined">
    <w:name w:val="Underlined"/>
    <w:basedOn w:val="DefaultParagraphFont"/>
    <w:rsid w:val="00685A62"/>
    <w:rPr>
      <w:u w:val="single"/>
    </w:rPr>
  </w:style>
  <w:style w:type="paragraph" w:customStyle="1" w:styleId="TableBodyTextRight">
    <w:name w:val="Table Body Text Right"/>
    <w:basedOn w:val="TableBodyText"/>
    <w:rsid w:val="00685A62"/>
    <w:pPr>
      <w:widowControl w:val="0"/>
      <w:autoSpaceDE w:val="0"/>
      <w:autoSpaceDN w:val="0"/>
      <w:adjustRightInd w:val="0"/>
      <w:jc w:val="right"/>
    </w:pPr>
    <w:rPr>
      <w:rFonts w:cs="Arial"/>
      <w:szCs w:val="18"/>
    </w:rPr>
  </w:style>
  <w:style w:type="paragraph" w:customStyle="1" w:styleId="CopyrightText">
    <w:name w:val="Copyright Text"/>
    <w:basedOn w:val="BodyText"/>
    <w:rsid w:val="00685A62"/>
    <w:rPr>
      <w:sz w:val="18"/>
    </w:rPr>
  </w:style>
  <w:style w:type="paragraph" w:customStyle="1" w:styleId="BodySmallRight">
    <w:name w:val="Body Small Right"/>
    <w:basedOn w:val="BodyTextRight"/>
    <w:rsid w:val="00685A62"/>
    <w:rPr>
      <w:sz w:val="18"/>
      <w:szCs w:val="18"/>
    </w:rPr>
  </w:style>
  <w:style w:type="paragraph" w:customStyle="1" w:styleId="MarginEdition">
    <w:name w:val="Margin Edition"/>
    <w:basedOn w:val="MarginNote"/>
    <w:rsid w:val="00685A62"/>
    <w:pPr>
      <w:spacing w:before="0" w:after="0"/>
    </w:pPr>
    <w:rPr>
      <w:rFonts w:ascii="Times New Roman" w:hAnsi="Times New Roman"/>
      <w:color w:val="999999"/>
    </w:rPr>
  </w:style>
  <w:style w:type="paragraph" w:customStyle="1" w:styleId="Spacer">
    <w:name w:val="Spacer"/>
    <w:basedOn w:val="Normal"/>
    <w:rsid w:val="00685A62"/>
    <w:rPr>
      <w:sz w:val="2"/>
      <w:szCs w:val="2"/>
    </w:rPr>
  </w:style>
  <w:style w:type="character" w:customStyle="1" w:styleId="Small">
    <w:name w:val="Small"/>
    <w:basedOn w:val="DefaultParagraphFont"/>
    <w:rsid w:val="00685A62"/>
    <w:rPr>
      <w:sz w:val="16"/>
    </w:rPr>
  </w:style>
  <w:style w:type="paragraph" w:customStyle="1" w:styleId="WideTable">
    <w:name w:val="Wide Table"/>
    <w:basedOn w:val="Normal"/>
    <w:rsid w:val="00685A62"/>
    <w:pPr>
      <w:ind w:left="-1418"/>
    </w:pPr>
    <w:rPr>
      <w:sz w:val="2"/>
      <w:szCs w:val="2"/>
    </w:rPr>
  </w:style>
  <w:style w:type="character" w:styleId="PageNumber">
    <w:name w:val="page number"/>
    <w:basedOn w:val="DefaultParagraphFont"/>
    <w:rsid w:val="00685A62"/>
  </w:style>
  <w:style w:type="paragraph" w:styleId="Quote">
    <w:name w:val="Quote"/>
    <w:basedOn w:val="Heading1"/>
    <w:link w:val="QuoteChar"/>
    <w:qFormat/>
    <w:rsid w:val="00685A62"/>
    <w:rPr>
      <w:b w:val="0"/>
      <w:sz w:val="72"/>
      <w:szCs w:val="72"/>
      <w:lang w:val="en-NZ"/>
    </w:rPr>
  </w:style>
  <w:style w:type="character" w:customStyle="1" w:styleId="QuoteChar">
    <w:name w:val="Quote Char"/>
    <w:basedOn w:val="DefaultParagraphFont"/>
    <w:link w:val="Quote"/>
    <w:rsid w:val="00685A6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85A62"/>
    <w:pPr>
      <w:pageBreakBefore/>
    </w:pPr>
  </w:style>
  <w:style w:type="paragraph" w:customStyle="1" w:styleId="Border">
    <w:name w:val="Border"/>
    <w:basedOn w:val="Normal"/>
    <w:qFormat/>
    <w:rsid w:val="00685A6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85A62"/>
    <w:rPr>
      <w:b/>
      <w:bCs/>
      <w:i/>
      <w:iCs/>
      <w:color w:val="auto"/>
    </w:rPr>
  </w:style>
  <w:style w:type="paragraph" w:styleId="IntenseQuote">
    <w:name w:val="Intense Quote"/>
    <w:basedOn w:val="Normal"/>
    <w:next w:val="Normal"/>
    <w:link w:val="IntenseQuoteChar"/>
    <w:uiPriority w:val="30"/>
    <w:qFormat/>
    <w:rsid w:val="00685A6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85A62"/>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685A62"/>
    <w:rPr>
      <w:smallCaps/>
      <w:color w:val="auto"/>
      <w:u w:val="single"/>
    </w:rPr>
  </w:style>
  <w:style w:type="character" w:styleId="IntenseReference">
    <w:name w:val="Intense Reference"/>
    <w:basedOn w:val="DefaultParagraphFont"/>
    <w:uiPriority w:val="32"/>
    <w:qFormat/>
    <w:rsid w:val="00685A62"/>
    <w:rPr>
      <w:b/>
      <w:bCs/>
      <w:smallCaps/>
      <w:color w:val="auto"/>
      <w:spacing w:val="5"/>
      <w:u w:val="single"/>
    </w:rPr>
  </w:style>
  <w:style w:type="paragraph" w:customStyle="1" w:styleId="2ColumnHeading">
    <w:name w:val="2Column Heading"/>
    <w:basedOn w:val="BodyText"/>
    <w:qFormat/>
    <w:rsid w:val="00685A62"/>
    <w:pPr>
      <w:spacing w:after="60"/>
      <w:ind w:left="-2268"/>
    </w:pPr>
    <w:rPr>
      <w:b/>
    </w:rPr>
  </w:style>
  <w:style w:type="paragraph" w:customStyle="1" w:styleId="Heading1TOC">
    <w:name w:val="Heading1 TOC"/>
    <w:basedOn w:val="Normal"/>
    <w:qFormat/>
    <w:rsid w:val="00685A62"/>
    <w:pPr>
      <w:spacing w:before="240" w:after="120"/>
    </w:pPr>
    <w:rPr>
      <w:rFonts w:ascii="Times New Roman" w:hAnsi="Times New Roman"/>
      <w:b/>
      <w:sz w:val="32"/>
    </w:rPr>
  </w:style>
  <w:style w:type="paragraph" w:customStyle="1" w:styleId="Heading2TOC">
    <w:name w:val="Heading2 TOC"/>
    <w:basedOn w:val="Normal"/>
    <w:qFormat/>
    <w:rsid w:val="00685A62"/>
    <w:pPr>
      <w:spacing w:before="240" w:after="60"/>
    </w:pPr>
    <w:rPr>
      <w:rFonts w:ascii="Times New Roman" w:hAnsi="Times New Roman"/>
      <w:b/>
      <w:sz w:val="28"/>
    </w:rPr>
  </w:style>
  <w:style w:type="character" w:customStyle="1" w:styleId="Underline">
    <w:name w:val="Underline"/>
    <w:basedOn w:val="DefaultParagraphFont"/>
    <w:qFormat/>
    <w:rsid w:val="00685A62"/>
    <w:rPr>
      <w:u w:val="single"/>
    </w:rPr>
  </w:style>
  <w:style w:type="character" w:customStyle="1" w:styleId="BoldandItalics">
    <w:name w:val="Bold and Italics"/>
    <w:qFormat/>
    <w:rsid w:val="00685A62"/>
    <w:rPr>
      <w:b/>
      <w:i/>
      <w:u w:val="none"/>
    </w:rPr>
  </w:style>
  <w:style w:type="paragraph" w:styleId="BalloonText">
    <w:name w:val="Balloon Text"/>
    <w:basedOn w:val="Normal"/>
    <w:link w:val="BalloonTextChar"/>
    <w:rsid w:val="00685A62"/>
    <w:rPr>
      <w:rFonts w:ascii="Tahoma" w:hAnsi="Tahoma" w:cs="Tahoma"/>
      <w:sz w:val="16"/>
      <w:szCs w:val="16"/>
    </w:rPr>
  </w:style>
  <w:style w:type="character" w:customStyle="1" w:styleId="BalloonTextChar">
    <w:name w:val="Balloon Text Char"/>
    <w:basedOn w:val="DefaultParagraphFont"/>
    <w:link w:val="BalloonText"/>
    <w:rsid w:val="00685A62"/>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685A62"/>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685A62"/>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685A62"/>
    <w:rPr>
      <w:b/>
      <w:color w:val="660033"/>
      <w:spacing w:val="0"/>
    </w:rPr>
  </w:style>
  <w:style w:type="paragraph" w:customStyle="1" w:styleId="Nameditemlist">
    <w:name w:val="Named item list"/>
    <w:basedOn w:val="BodyText"/>
    <w:qFormat/>
    <w:rsid w:val="00685A62"/>
    <w:pPr>
      <w:tabs>
        <w:tab w:val="left" w:pos="2835"/>
      </w:tabs>
      <w:ind w:left="2835" w:hanging="2835"/>
    </w:pPr>
  </w:style>
  <w:style w:type="paragraph" w:customStyle="1" w:styleId="BodyTextnopadding">
    <w:name w:val="Body Text no padding"/>
    <w:basedOn w:val="BodyText"/>
    <w:qFormat/>
    <w:rsid w:val="00685A62"/>
    <w:pPr>
      <w:spacing w:before="0" w:after="0"/>
    </w:pPr>
  </w:style>
  <w:style w:type="paragraph" w:customStyle="1" w:styleId="BodyTextBold">
    <w:name w:val="Body Text Bold"/>
    <w:basedOn w:val="BodyText"/>
    <w:qFormat/>
    <w:rsid w:val="00685A62"/>
    <w:rPr>
      <w:b/>
    </w:rPr>
  </w:style>
  <w:style w:type="character" w:styleId="Hyperlink">
    <w:name w:val="Hyperlink"/>
    <w:basedOn w:val="DefaultParagraphFont"/>
    <w:uiPriority w:val="99"/>
    <w:unhideWhenUsed/>
    <w:rsid w:val="00600F26"/>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861</Words>
  <Characters>5848</Characters>
  <Application>Microsoft Office Word</Application>
  <DocSecurity>0</DocSecurity>
  <Lines>132</Lines>
  <Paragraphs>93</Paragraphs>
  <ScaleCrop>false</ScaleCrop>
  <Company>Author-it Software Corporation Ltd.</Company>
  <LinksUpToDate>false</LinksUpToDate>
  <CharactersWithSpaces>6616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MARH025 Apply knowledge of dynamic positioning fundamentals</dc:title>
  <dc:subject>Approved</dc:subject>
  <dc:creator>Industry Skills Australia</dc:creator>
  <cp:keywords>Release: 1</cp:keywords>
  <dc:description>Review Date: 12 April 2008</dc:description>
  <cp:lastModifiedBy>HSD_TPCMSd.prod</cp:lastModifiedBy>
  <cp:revision>3</cp:revision>
  <dcterms:created xsi:type="dcterms:W3CDTF">2024-11-22T08:01:00Z</dcterms:created>
  <dcterms:modified xsi:type="dcterms:W3CDTF">2024-11-22T08:01:00Z</dcterms:modified>
</cp:coreProperties>
</file>