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D1F" w:rsidP="00442D1F">
      <w:pPr>
        <w:pStyle w:val="Title"/>
      </w:pPr>
      <w:r>
        <w:fldChar w:fldCharType="begin"/>
      </w:r>
      <w:r>
        <w:instrText xml:space="preserve"> TITLE   \* MERGEFORMAT </w:instrText>
      </w:r>
      <w:r>
        <w:fldChar w:fldCharType="separate"/>
      </w:r>
      <w:r>
        <w:t>MARH024 Use of radar and other bridge equipment to maintain safety of navigation</w:t>
      </w:r>
      <w:r>
        <w:fldChar w:fldCharType="end"/>
      </w:r>
    </w:p>
    <w:p w:rsidR="00442D1F" w:rsidP="00442D1F">
      <w:pPr>
        <w:pStyle w:val="Version"/>
        <w:sectPr w:rsidSect="00A10D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0D79" w:rsidP="00A10D79">
      <w:pPr>
        <w:pStyle w:val="SuperHeading"/>
      </w:pPr>
      <w:r w:rsidRPr="00A10D79">
        <w:t>MARH024 Use of radar and other bridge equipment to maintain safety of navigation</w:t>
      </w:r>
    </w:p>
    <w:p w:rsidR="00000000" w:rsidRPr="00A10D79" w:rsidP="00A10D79">
      <w:pPr>
        <w:pStyle w:val="Heading1"/>
      </w:pPr>
      <w:bookmarkStart w:id="1" w:name="O_1285597"/>
      <w:bookmarkEnd w:id="1"/>
      <w:r w:rsidRPr="00A10D79">
        <w:t>Modification History</w:t>
      </w:r>
    </w:p>
    <w:tbl>
      <w:tblPr>
        <w:tblW w:w="9497" w:type="dxa"/>
        <w:tblLayout w:type="fixed"/>
        <w:tblCellMar>
          <w:left w:w="62" w:type="dxa"/>
          <w:right w:w="62" w:type="dxa"/>
        </w:tblCellMar>
        <w:tblLook w:val="0000"/>
      </w:tblPr>
      <w:tblGrid>
        <w:gridCol w:w="9497"/>
      </w:tblGrid>
      <w:tr w:rsidTr="00A1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rPr>
                <w:rStyle w:val="SpecialBold"/>
              </w:rPr>
              <w:t>Release 2</w:t>
            </w:r>
            <w:r w:rsidRPr="00A10D79">
              <w:t xml:space="preserve">. This is the second release of this unit of competency in the MAR Maritime Training Package. </w:t>
            </w:r>
          </w:p>
          <w:p w:rsidR="00000000" w:rsidP="00A10D79">
            <w:pPr>
              <w:pStyle w:val="ListBullet"/>
              <w:rPr>
                <w:lang w:val="en-NZ"/>
              </w:rPr>
            </w:pPr>
            <w:r w:rsidRPr="00A10D79">
              <w:t>Minor statement changes in unit Application.</w:t>
            </w:r>
          </w:p>
        </w:tc>
      </w:tr>
      <w:tr w:rsidTr="00A1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rPr>
                <w:rStyle w:val="SpecialBold"/>
              </w:rPr>
              <w:t>Release 1</w:t>
            </w:r>
            <w:r w:rsidRPr="00A10D79">
              <w:t>. This is the first release of this unit of competency in the MAR Maritime Training Package.</w:t>
            </w:r>
          </w:p>
        </w:tc>
      </w:tr>
    </w:tbl>
    <w:p w:rsidR="00000000" w:rsidRPr="00A10D79" w:rsidP="00A10D79">
      <w:pPr>
        <w:pStyle w:val="NoPaddingFontSize1"/>
      </w:pPr>
    </w:p>
    <w:p w:rsidR="00000000" w:rsidRPr="00A10D79" w:rsidP="00A10D79">
      <w:pPr>
        <w:pStyle w:val="AllowPageBreak"/>
      </w:pPr>
    </w:p>
    <w:p w:rsidR="00000000" w:rsidRPr="00A10D79" w:rsidP="00A10D79">
      <w:pPr>
        <w:pStyle w:val="Heading1"/>
      </w:pPr>
      <w:bookmarkStart w:id="2" w:name="O_1285596"/>
      <w:bookmarkEnd w:id="2"/>
      <w:r w:rsidRPr="00A10D79">
        <w:t>Application</w:t>
      </w:r>
    </w:p>
    <w:tbl>
      <w:tblPr>
        <w:tblW w:w="9497" w:type="dxa"/>
        <w:tblLayout w:type="fixed"/>
        <w:tblCellMar>
          <w:left w:w="62" w:type="dxa"/>
          <w:right w:w="62" w:type="dxa"/>
        </w:tblCellMar>
        <w:tblLook w:val="0000"/>
      </w:tblPr>
      <w:tblGrid>
        <w:gridCol w:w="9497"/>
      </w:tblGrid>
      <w:tr w:rsidTr="00A1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t>This unit involves the skills and knowledge required to maintain safe navig</w:t>
            </w:r>
            <w:r w:rsidRPr="00A10D79">
              <w:t>ation of a vessel through the use of radar, automatic radar plotting aids (ARPAs) and other bridge equipment to determine vessel position.</w:t>
            </w:r>
          </w:p>
          <w:p w:rsidR="00000000" w:rsidRPr="00A10D79" w:rsidP="00A10D79">
            <w:pPr>
              <w:pStyle w:val="BodyText"/>
            </w:pPr>
            <w:r w:rsidRPr="00A10D79">
              <w:t>This unit applies to people working in the maritime industry in the capacity of:</w:t>
            </w:r>
          </w:p>
          <w:p w:rsidR="00000000" w:rsidRPr="00A10D79" w:rsidP="00A10D79">
            <w:pPr>
              <w:pStyle w:val="ListBullet"/>
            </w:pPr>
            <w:r w:rsidRPr="00A10D79">
              <w:t>Master Unlimited</w:t>
            </w:r>
          </w:p>
          <w:p w:rsidR="00000000" w:rsidRPr="00A10D79" w:rsidP="00A10D79">
            <w:pPr>
              <w:pStyle w:val="ListBullet"/>
            </w:pPr>
            <w:r w:rsidRPr="00A10D79">
              <w:t>Master up to 100 m</w:t>
            </w:r>
            <w:r w:rsidRPr="00A10D79">
              <w:t>etres Near Coastal</w:t>
            </w:r>
          </w:p>
          <w:p w:rsidR="00000000" w:rsidRPr="00A10D79" w:rsidP="00A10D79">
            <w:pPr>
              <w:pStyle w:val="ListBullet"/>
            </w:pPr>
            <w:r w:rsidRPr="00A10D79">
              <w:t>Master up to 500 gross tonnage (GT)</w:t>
            </w:r>
          </w:p>
          <w:p w:rsidR="00000000" w:rsidRPr="00A10D79" w:rsidP="00A10D79">
            <w:pPr>
              <w:pStyle w:val="ListBullet"/>
            </w:pPr>
            <w:r w:rsidRPr="00A10D79">
              <w:t>Watchkeeper Deck.</w:t>
            </w:r>
          </w:p>
          <w:p w:rsidR="00000000" w:rsidRPr="00A10D79" w:rsidP="00A10D79">
            <w:pPr>
              <w:pStyle w:val="BodyText"/>
            </w:pPr>
          </w:p>
          <w:p w:rsidR="00000000" w:rsidRPr="00A10D79" w:rsidP="00A10D79">
            <w:pPr>
              <w:pStyle w:val="BodyText"/>
            </w:pPr>
            <w:r w:rsidRPr="00A10D79">
              <w:rPr>
                <w:rStyle w:val="SpecialBold"/>
              </w:rPr>
              <w:t>Licensing/Regulatory Information</w:t>
            </w:r>
          </w:p>
          <w:p w:rsidR="00000000" w:rsidRPr="00A10D79" w:rsidP="00A10D79">
            <w:pPr>
              <w:pStyle w:val="BodyText"/>
            </w:pPr>
            <w:r w:rsidRPr="00A10D79">
              <w:t>Legislative and regulatory requirements are applicable to this unit.</w:t>
            </w:r>
          </w:p>
          <w:p w:rsidR="00000000" w:rsidRPr="00A10D79" w:rsidP="00A10D79">
            <w:pPr>
              <w:pStyle w:val="ListBullet"/>
            </w:pPr>
            <w:r w:rsidRPr="00A10D79">
              <w:t xml:space="preserve">Regulatory requirements include STCW International Maritime Organization (IMO) model course competencies and areas of knowledge, understanding and proficiency, together with the estimated total hours required for lectures and practical exercises. Teaching </w:t>
            </w:r>
            <w:r w:rsidRPr="00A10D79">
              <w:t>staff should note that timings are suggestions only and should be adapted to suit individual groups of trainees depending on their experience, ability, equipment and staff available for training.</w:t>
            </w:r>
          </w:p>
          <w:p w:rsidR="00000000" w:rsidRPr="00A10D79" w:rsidP="00A10D79">
            <w:pPr>
              <w:pStyle w:val="BodyText"/>
            </w:pPr>
            <w:r w:rsidRPr="00A10D79">
              <w:rPr>
                <w:rStyle w:val="SpecialBold"/>
              </w:rPr>
              <w:t>Near Coastal Qualifications:</w:t>
            </w:r>
          </w:p>
          <w:p w:rsidR="00000000" w:rsidRPr="00A10D79" w:rsidP="00A10D79">
            <w:pPr>
              <w:pStyle w:val="ListBullet"/>
            </w:pPr>
            <w:r w:rsidRPr="00A10D79">
              <w:t>This unit is one of the requir</w:t>
            </w:r>
            <w:r w:rsidRPr="00A10D79">
              <w:t>ements to obtain Australian Maritime Safety Authority (AMSA) certification as a Master up to 100 metres Near Coastal as specified in Marine Order 505.</w:t>
            </w:r>
          </w:p>
          <w:p w:rsidR="00000000" w:rsidRPr="00A10D79" w:rsidP="00A10D79">
            <w:pPr>
              <w:pStyle w:val="BodyText"/>
            </w:pPr>
            <w:r w:rsidRPr="00A10D79">
              <w:rPr>
                <w:rStyle w:val="SpecialBold"/>
              </w:rPr>
              <w:t>Blue Waters Qualifications:</w:t>
            </w:r>
          </w:p>
          <w:p w:rsidR="00000000" w:rsidRPr="00A10D79" w:rsidP="00A10D79">
            <w:pPr>
              <w:pStyle w:val="ListBullet"/>
            </w:pPr>
            <w:r w:rsidRPr="00A10D79">
              <w:t>This unit is one of the requirements to obtain AMSA certification as a Maste</w:t>
            </w:r>
            <w:r w:rsidRPr="00A10D79">
              <w:t>r of a commercial vessel up to 500 gross tonnage (GT), Master Unlimited or Watchkeeper Deck and to meet regulatory requirements this unit must be delivered consistent with Marine Orders and with the relevant sections of the International Convention on Stan</w:t>
            </w:r>
            <w:r w:rsidRPr="00A10D79">
              <w:t>dards of Training, Certification and Watchkeeping for Seafarers (STCW).</w:t>
            </w:r>
          </w:p>
          <w:p w:rsidR="00000000" w:rsidRPr="00A10D79" w:rsidP="00A10D79">
            <w:pPr>
              <w:pStyle w:val="BodyText"/>
            </w:pPr>
            <w:r w:rsidRPr="00A10D79">
              <w:t xml:space="preserve">Training providers seeking to offer this unit of competency must gain AMSA approval before the </w:t>
            </w:r>
            <w:r w:rsidRPr="00A10D79">
              <w:t>unit is offered.</w:t>
            </w:r>
          </w:p>
          <w:p w:rsidR="00000000" w:rsidRPr="00A10D79" w:rsidP="00A10D79">
            <w:pPr>
              <w:pStyle w:val="BodyText"/>
            </w:pPr>
            <w:r w:rsidRPr="00A10D79">
              <w:t>Seafarers seeking certification should check with AMSA.</w:t>
            </w:r>
          </w:p>
        </w:tc>
      </w:tr>
    </w:tbl>
    <w:p w:rsidR="00000000" w:rsidRPr="00A10D79" w:rsidP="00A10D79">
      <w:pPr>
        <w:pStyle w:val="NoPaddingFontSize1"/>
      </w:pPr>
    </w:p>
    <w:p w:rsidR="00000000" w:rsidRPr="00A10D79" w:rsidP="00A10D79">
      <w:pPr>
        <w:pStyle w:val="AllowPageBreak"/>
      </w:pPr>
    </w:p>
    <w:p w:rsidR="00000000" w:rsidRPr="00A10D79" w:rsidP="00A10D79">
      <w:pPr>
        <w:pStyle w:val="Heading1"/>
      </w:pPr>
      <w:bookmarkStart w:id="3" w:name="O_1285595"/>
      <w:bookmarkEnd w:id="3"/>
      <w:r w:rsidRPr="00A10D79">
        <w:t>Pre-requisite Unit</w:t>
      </w:r>
    </w:p>
    <w:tbl>
      <w:tblPr>
        <w:tblW w:w="9497" w:type="dxa"/>
        <w:tblLayout w:type="fixed"/>
        <w:tblCellMar>
          <w:left w:w="62" w:type="dxa"/>
          <w:right w:w="62" w:type="dxa"/>
        </w:tblCellMar>
        <w:tblLook w:val="0000"/>
      </w:tblPr>
      <w:tblGrid>
        <w:gridCol w:w="9497"/>
      </w:tblGrid>
      <w:tr w:rsidTr="00A1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t>Not applicable.</w:t>
            </w:r>
          </w:p>
        </w:tc>
      </w:tr>
    </w:tbl>
    <w:p w:rsidR="00442D1F" w:rsidP="00A10D79">
      <w:pPr>
        <w:pStyle w:val="NoPaddingFontSize1"/>
      </w:pPr>
    </w:p>
    <w:p w:rsidR="00442D1F" w:rsidP="00A10D79">
      <w:pPr>
        <w:pStyle w:val="NoPaddingFontSize1"/>
      </w:pPr>
    </w:p>
    <w:p w:rsidR="00000000" w:rsidRPr="00A10D79" w:rsidP="00A10D79">
      <w:pPr>
        <w:pStyle w:val="Heading1"/>
      </w:pPr>
      <w:bookmarkStart w:id="4" w:name="O_1285594"/>
      <w:bookmarkEnd w:id="4"/>
      <w:r w:rsidRPr="00A10D79">
        <w:t>Competency Field</w:t>
      </w:r>
    </w:p>
    <w:tbl>
      <w:tblPr>
        <w:tblW w:w="9497" w:type="dxa"/>
        <w:tblLayout w:type="fixed"/>
        <w:tblCellMar>
          <w:left w:w="62" w:type="dxa"/>
          <w:right w:w="62" w:type="dxa"/>
        </w:tblCellMar>
        <w:tblLook w:val="0000"/>
      </w:tblPr>
      <w:tblGrid>
        <w:gridCol w:w="9497"/>
      </w:tblGrid>
      <w:tr w:rsidTr="00A1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t>H – Navigation</w:t>
            </w:r>
          </w:p>
        </w:tc>
      </w:tr>
    </w:tbl>
    <w:p w:rsidR="00442D1F" w:rsidP="00A10D79">
      <w:pPr>
        <w:pStyle w:val="NoPaddingFontSize1"/>
      </w:pPr>
    </w:p>
    <w:p w:rsidR="00442D1F" w:rsidP="00A10D79">
      <w:pPr>
        <w:pStyle w:val="NoPaddingFontSize1"/>
      </w:pPr>
    </w:p>
    <w:p w:rsidR="00000000" w:rsidRPr="00A10D79" w:rsidP="00A10D79">
      <w:pPr>
        <w:pStyle w:val="Heading1"/>
      </w:pPr>
      <w:bookmarkStart w:id="5" w:name="O_1285593"/>
      <w:bookmarkEnd w:id="5"/>
      <w:r w:rsidRPr="00A10D79">
        <w:t>Unit Sector</w:t>
      </w:r>
    </w:p>
    <w:tbl>
      <w:tblPr>
        <w:tblW w:w="9497" w:type="dxa"/>
        <w:tblLayout w:type="fixed"/>
        <w:tblCellMar>
          <w:left w:w="62" w:type="dxa"/>
          <w:right w:w="62" w:type="dxa"/>
        </w:tblCellMar>
        <w:tblLook w:val="0000"/>
      </w:tblPr>
      <w:tblGrid>
        <w:gridCol w:w="9497"/>
      </w:tblGrid>
      <w:tr w:rsidTr="00A1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t>Not applicable.</w:t>
            </w:r>
          </w:p>
        </w:tc>
      </w:tr>
    </w:tbl>
    <w:p w:rsidR="00442D1F" w:rsidP="00A10D79">
      <w:pPr>
        <w:pStyle w:val="NoPaddingFontSize1"/>
      </w:pPr>
    </w:p>
    <w:p w:rsidR="00442D1F" w:rsidP="00A10D79">
      <w:pPr>
        <w:pStyle w:val="NoPaddingFontSize1"/>
      </w:pPr>
    </w:p>
    <w:p w:rsidR="00000000" w:rsidRPr="00A10D79" w:rsidP="00A10D79">
      <w:pPr>
        <w:pStyle w:val="Heading1"/>
      </w:pPr>
      <w:bookmarkStart w:id="6" w:name="O_1285592"/>
      <w:bookmarkEnd w:id="6"/>
      <w:r w:rsidRPr="00A10D7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10D7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PERFORMANCE CRITERIA</w:t>
            </w:r>
          </w:p>
        </w:tc>
      </w:tr>
      <w:tr w:rsidTr="00A10D7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Performance criteria describe the performance needed to demonstrate achievement of the element.</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rPr>
                <w:rStyle w:val="SpecialBold"/>
              </w:rPr>
              <w:t>Use radar and ARPA to safely navigate</w:t>
            </w: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Radar is operated according to manufacturer instructions to produce da</w:t>
            </w:r>
            <w:r w:rsidRPr="00A10D79">
              <w:t>ta on position of vessel, other vessels and fixed objects</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Radar plot is constructed on radar plotting sheet and automatic plotting devices are initialised</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Systematic radar and/or ARPA observations of vessels in the vicinity are made and risk of collision is determined</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Radar data is used to obtain a position fix for vessel using electronic bearing lines and variable range markers</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 xml:space="preserve">Radar bearings </w:t>
            </w:r>
            <w:r w:rsidRPr="00A10D79">
              <w:t>are corrected for vessel heading and compass error, as appropriate</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Adjustments are made to vessel course and speed to maintain safety of navigation</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Manoeuvring signals are made at appropriate time according to regulations</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ARPA information is analysed and interpreted taking into account limitation of equipment and prevailing circumstances and conditions</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rPr>
                <w:rStyle w:val="SpecialBold"/>
              </w:rPr>
              <w:t>Set up bridge equipment</w:t>
            </w: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Bridge equipment is initialised and displays are set up and maintained</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Operational pe</w:t>
            </w:r>
            <w:r w:rsidRPr="00A10D79">
              <w:t>rformance and accuracy of bridge equipment is confirmed, and appropriate action is taken when performance is out of limits</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Bridge navigation watch alarm system (BNWAS) and voyage data recorder are activated according to manufacturer requirements and organisational procedures</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Any false echoes and misrepresentations are detected, identified and rejected</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rPr>
                <w:rStyle w:val="SpecialBold"/>
              </w:rPr>
              <w:t>Use bridge equi</w:t>
            </w:r>
            <w:r w:rsidRPr="00A10D79">
              <w:rPr>
                <w:rStyle w:val="SpecialBold"/>
              </w:rPr>
              <w:t>pment to safely navigate</w:t>
            </w: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Bridge equipment is safely and efficiently used to conduct navigation of vessel</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Position of vessel is monitored during voyage to ensure planned passage is followed</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Movements of vessels in the vicinity are monitore</w:t>
            </w:r>
            <w:r w:rsidRPr="00A10D79">
              <w:t>d to ensure collision situations do not occur</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Adjustments are made to vessel course and speed to maintain safety of navigation</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Manoeuvring signals are made at appropriate time according to regulations</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Bridge equipment is used and maintained according to manufacturer requirements and organisational procedures</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rPr>
                <w:rStyle w:val="SpecialBold"/>
              </w:rPr>
              <w:t>Maintain navigational records</w:t>
            </w: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Navigational data produced by bridge equipment that should be retained to conform with organisational procedur</w:t>
            </w:r>
            <w:r w:rsidRPr="00A10D79">
              <w:t>es and regulatory requirements is identified</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t>Navigational data is stored electronically or in hard copy as required by organisational procedures and regulatory requirements</w:t>
            </w:r>
          </w:p>
        </w:tc>
      </w:tr>
      <w:tr w:rsidTr="00A10D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0D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0D79">
            <w:pPr>
              <w:pStyle w:val="BodyText"/>
              <w:rPr>
                <w:lang w:val="en-NZ"/>
              </w:rPr>
            </w:pPr>
            <w:r w:rsidRPr="00A10D7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t>Security and access requirements for data are adhered to according to organisational procedures</w:t>
            </w:r>
          </w:p>
        </w:tc>
      </w:tr>
    </w:tbl>
    <w:p w:rsidR="00442D1F" w:rsidP="00A10D79">
      <w:pPr>
        <w:pStyle w:val="NoPaddingFontSize1"/>
      </w:pPr>
    </w:p>
    <w:p w:rsidR="00442D1F" w:rsidP="00A10D79">
      <w:pPr>
        <w:pStyle w:val="NoPaddingFontSize1"/>
      </w:pPr>
    </w:p>
    <w:p w:rsidR="00000000" w:rsidRPr="00A10D79" w:rsidP="00A10D79">
      <w:pPr>
        <w:pStyle w:val="Heading1"/>
      </w:pPr>
      <w:bookmarkStart w:id="7" w:name="O_1285591"/>
      <w:bookmarkEnd w:id="7"/>
      <w:r w:rsidRPr="00A10D79">
        <w:t>Foundation Skills</w:t>
      </w:r>
    </w:p>
    <w:tbl>
      <w:tblPr>
        <w:tblW w:w="9497" w:type="dxa"/>
        <w:tblLayout w:type="fixed"/>
        <w:tblCellMar>
          <w:left w:w="62" w:type="dxa"/>
          <w:right w:w="62" w:type="dxa"/>
        </w:tblCellMar>
        <w:tblLook w:val="0000"/>
      </w:tblPr>
      <w:tblGrid>
        <w:gridCol w:w="9497"/>
      </w:tblGrid>
      <w:tr w:rsidTr="00A1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t>Foundation skills essential to performance are explicit in the performance criteria of this unit of competency.</w:t>
            </w:r>
          </w:p>
        </w:tc>
      </w:tr>
    </w:tbl>
    <w:p w:rsidR="00442D1F" w:rsidP="00A10D79">
      <w:pPr>
        <w:pStyle w:val="NoPaddingFontSize1"/>
      </w:pPr>
    </w:p>
    <w:p w:rsidR="00442D1F" w:rsidP="00A10D79">
      <w:pPr>
        <w:pStyle w:val="NoPaddingFontSize1"/>
      </w:pPr>
    </w:p>
    <w:p w:rsidR="00000000" w:rsidRPr="00A10D79" w:rsidP="00A10D79">
      <w:pPr>
        <w:pStyle w:val="Heading1"/>
      </w:pPr>
      <w:bookmarkStart w:id="8" w:name="O_1285590"/>
      <w:bookmarkEnd w:id="8"/>
      <w:r w:rsidRPr="00A10D79">
        <w:t>Range of Conditions</w:t>
      </w:r>
    </w:p>
    <w:tbl>
      <w:tblPr>
        <w:tblW w:w="9497" w:type="dxa"/>
        <w:tblLayout w:type="fixed"/>
        <w:tblCellMar>
          <w:left w:w="62" w:type="dxa"/>
          <w:right w:w="62" w:type="dxa"/>
        </w:tblCellMar>
        <w:tblLook w:val="0000"/>
      </w:tblPr>
      <w:tblGrid>
        <w:gridCol w:w="9497"/>
      </w:tblGrid>
      <w:tr w:rsidTr="00A1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t>Range is restricted to essential operating conditions and any other variables essential to the work environment.</w:t>
            </w:r>
          </w:p>
        </w:tc>
      </w:tr>
    </w:tbl>
    <w:p w:rsidR="00442D1F" w:rsidP="00A10D79">
      <w:pPr>
        <w:pStyle w:val="NoPaddingFontSize1"/>
      </w:pPr>
    </w:p>
    <w:p w:rsidR="00442D1F" w:rsidP="00A10D79">
      <w:pPr>
        <w:pStyle w:val="NoPaddingFontSize1"/>
      </w:pPr>
    </w:p>
    <w:p w:rsidR="00000000" w:rsidRPr="00A10D79" w:rsidP="00A10D79">
      <w:pPr>
        <w:pStyle w:val="Heading1"/>
      </w:pPr>
      <w:bookmarkStart w:id="9" w:name="O_1285589"/>
      <w:bookmarkEnd w:id="9"/>
      <w:r w:rsidRPr="00A10D79">
        <w:t>Unit Mapping Information</w:t>
      </w:r>
    </w:p>
    <w:tbl>
      <w:tblPr>
        <w:tblW w:w="9497" w:type="dxa"/>
        <w:tblLayout w:type="fixed"/>
        <w:tblCellMar>
          <w:left w:w="62" w:type="dxa"/>
          <w:right w:w="62" w:type="dxa"/>
        </w:tblCellMar>
        <w:tblLook w:val="0000"/>
      </w:tblPr>
      <w:tblGrid>
        <w:gridCol w:w="9497"/>
      </w:tblGrid>
      <w:tr w:rsidTr="00A1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D79" w:rsidP="00A10D79">
            <w:pPr>
              <w:pStyle w:val="BodyText"/>
            </w:pPr>
            <w:r w:rsidRPr="00A10D79">
              <w:t>This unit replaces and is equivalent to MARH010 Use bridge</w:t>
            </w:r>
            <w:r w:rsidRPr="00A10D79">
              <w:t xml:space="preserve"> equipment to determine vessel position.</w:t>
            </w:r>
          </w:p>
        </w:tc>
      </w:tr>
    </w:tbl>
    <w:p w:rsidR="00442D1F" w:rsidP="00A10D79">
      <w:pPr>
        <w:pStyle w:val="NoPaddingFontSize1"/>
      </w:pPr>
    </w:p>
    <w:p w:rsidR="00442D1F" w:rsidP="00A10D79">
      <w:pPr>
        <w:pStyle w:val="NoPaddingFontSize1"/>
      </w:pPr>
    </w:p>
    <w:p w:rsidR="00000000" w:rsidRPr="00A10D79" w:rsidP="00A10D79">
      <w:pPr>
        <w:pStyle w:val="Heading1"/>
      </w:pPr>
      <w:bookmarkStart w:id="10" w:name="O_1285598"/>
      <w:bookmarkEnd w:id="10"/>
      <w:r w:rsidRPr="00A10D79">
        <w:t>Links</w:t>
      </w:r>
    </w:p>
    <w:p w:rsidR="00000000" w:rsidRPr="00A10D79" w:rsidP="00442D1F">
      <w:pPr>
        <w:pStyle w:val="BodyText"/>
      </w:pPr>
      <w:r w:rsidRPr="00A10D7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C5A57">
        <w:rPr>
          <w:rStyle w:val="Hyperlink"/>
        </w:rPr>
        <w:t>https://vetnet.gov.au/Pages/TrainingDocs.aspx?q=772efb7b-4cce-47fe-9bbd-ee3b1d1eb4c2</w:t>
      </w:r>
      <w:r>
        <w:fldChar w:fldCharType="end"/>
      </w:r>
    </w:p>
    <w:p w:rsidR="00000000" w:rsidRPr="00A10D79" w:rsidP="00A10D79"/>
    <w:sectPr w:rsidSect="00A10D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D79" w:rsidRPr="00442D1F" w:rsidP="00442D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1F" w:rsidP="00A10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2D1F" w:rsidP="00A10D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42D1F" w:rsidP="00A10D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0D79" w:rsidRPr="00442D1F" w:rsidP="00442D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1F" w:rsidRPr="002D2AF8" w:rsidP="00A10D79">
    <w:pPr>
      <w:pStyle w:val="Header"/>
      <w:framePr w:wrap="around"/>
    </w:pPr>
    <w:r>
      <w:fldChar w:fldCharType="begin"/>
    </w:r>
    <w:r>
      <w:instrText xml:space="preserve"> TITLE   \* MERGEFORMAT </w:instrText>
    </w:r>
    <w:r>
      <w:fldChar w:fldCharType="separate"/>
    </w:r>
    <w:r>
      <w:t>MARH024 Use of radar and other bridge equipment to maintain safety of navigation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442D1F" w:rsidP="00A10D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B237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FEED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D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D79"/>
    <w:pPr>
      <w:spacing w:before="360" w:after="60"/>
      <w:outlineLvl w:val="0"/>
    </w:pPr>
    <w:rPr>
      <w:sz w:val="32"/>
    </w:rPr>
  </w:style>
  <w:style w:type="paragraph" w:styleId="Heading2">
    <w:name w:val="heading 2"/>
    <w:basedOn w:val="HeadingBase"/>
    <w:next w:val="BodyText"/>
    <w:link w:val="Heading2Char"/>
    <w:qFormat/>
    <w:rsid w:val="00A10D79"/>
    <w:pPr>
      <w:keepLines/>
      <w:spacing w:before="240" w:after="120"/>
      <w:outlineLvl w:val="1"/>
    </w:pPr>
    <w:rPr>
      <w:sz w:val="28"/>
      <w:szCs w:val="40"/>
    </w:rPr>
  </w:style>
  <w:style w:type="paragraph" w:styleId="Heading3">
    <w:name w:val="heading 3"/>
    <w:basedOn w:val="HeadingBase"/>
    <w:next w:val="BodyText"/>
    <w:link w:val="Heading3Char"/>
    <w:qFormat/>
    <w:rsid w:val="00A10D79"/>
    <w:pPr>
      <w:spacing w:before="180" w:after="120"/>
      <w:outlineLvl w:val="2"/>
    </w:pPr>
    <w:rPr>
      <w:spacing w:val="-10"/>
      <w:kern w:val="32"/>
    </w:rPr>
  </w:style>
  <w:style w:type="paragraph" w:styleId="Heading4">
    <w:name w:val="heading 4"/>
    <w:basedOn w:val="HeadingBase"/>
    <w:next w:val="BodyText"/>
    <w:link w:val="Heading4Char"/>
    <w:qFormat/>
    <w:rsid w:val="00A10D79"/>
    <w:pPr>
      <w:spacing w:before="160" w:after="120"/>
      <w:outlineLvl w:val="3"/>
    </w:pPr>
    <w:rPr>
      <w:sz w:val="22"/>
    </w:rPr>
  </w:style>
  <w:style w:type="paragraph" w:styleId="Heading5">
    <w:name w:val="heading 5"/>
    <w:basedOn w:val="HeadingBase"/>
    <w:next w:val="Normal"/>
    <w:link w:val="Heading5Char"/>
    <w:qFormat/>
    <w:rsid w:val="00A10D79"/>
    <w:pPr>
      <w:spacing w:before="80"/>
      <w:outlineLvl w:val="4"/>
    </w:pPr>
    <w:rPr>
      <w:color w:val="918585"/>
      <w:sz w:val="20"/>
    </w:rPr>
  </w:style>
  <w:style w:type="paragraph" w:styleId="Heading6">
    <w:name w:val="heading 6"/>
    <w:basedOn w:val="HeadingBase"/>
    <w:next w:val="Normal"/>
    <w:link w:val="Heading6Char"/>
    <w:qFormat/>
    <w:rsid w:val="00A10D79"/>
    <w:pPr>
      <w:spacing w:before="60"/>
      <w:outlineLvl w:val="5"/>
    </w:pPr>
    <w:rPr>
      <w:color w:val="918585"/>
      <w:sz w:val="20"/>
    </w:rPr>
  </w:style>
  <w:style w:type="paragraph" w:styleId="Heading7">
    <w:name w:val="heading 7"/>
    <w:basedOn w:val="Normal"/>
    <w:next w:val="Normal"/>
    <w:link w:val="Heading7Char"/>
    <w:qFormat/>
    <w:rsid w:val="00A10D79"/>
    <w:pPr>
      <w:ind w:left="720"/>
      <w:outlineLvl w:val="6"/>
    </w:pPr>
    <w:rPr>
      <w:i/>
    </w:rPr>
  </w:style>
  <w:style w:type="paragraph" w:styleId="Heading8">
    <w:name w:val="heading 8"/>
    <w:basedOn w:val="Normal"/>
    <w:next w:val="Normal"/>
    <w:link w:val="Heading8Char"/>
    <w:qFormat/>
    <w:rsid w:val="00A10D79"/>
    <w:pPr>
      <w:ind w:left="720"/>
      <w:outlineLvl w:val="7"/>
    </w:pPr>
    <w:rPr>
      <w:i/>
    </w:rPr>
  </w:style>
  <w:style w:type="paragraph" w:styleId="Heading9">
    <w:name w:val="heading 9"/>
    <w:basedOn w:val="Normal"/>
    <w:next w:val="Normal"/>
    <w:link w:val="Heading9Char"/>
    <w:qFormat/>
    <w:rsid w:val="00A10D79"/>
    <w:pPr>
      <w:ind w:left="720"/>
      <w:outlineLvl w:val="8"/>
    </w:pPr>
    <w:rPr>
      <w:i/>
    </w:rPr>
  </w:style>
  <w:style w:type="character" w:default="1" w:styleId="DefaultParagraphFont">
    <w:name w:val="Default Paragraph Font"/>
    <w:uiPriority w:val="1"/>
    <w:unhideWhenUsed/>
    <w:rsid w:val="00A10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D79"/>
  </w:style>
  <w:style w:type="character" w:customStyle="1" w:styleId="Heading1Char">
    <w:name w:val="Heading 1 Char"/>
    <w:basedOn w:val="DefaultParagraphFont"/>
    <w:link w:val="Heading1"/>
    <w:rsid w:val="00A10D79"/>
    <w:rPr>
      <w:rFonts w:ascii="Times New Roman" w:eastAsia="Times New Roman" w:hAnsi="Times New Roman" w:cs="Times New Roman"/>
      <w:b/>
      <w:sz w:val="32"/>
      <w:szCs w:val="20"/>
      <w:lang w:eastAsia="en-US"/>
    </w:rPr>
  </w:style>
  <w:style w:type="paragraph" w:styleId="BodyText">
    <w:name w:val="Body Text"/>
    <w:basedOn w:val="Normal"/>
    <w:link w:val="BodyTextChar"/>
    <w:rsid w:val="00A10D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0D79"/>
    <w:rPr>
      <w:rFonts w:ascii="Times New Roman" w:eastAsia="Times New Roman" w:hAnsi="Times New Roman" w:cs="Times New Roman"/>
      <w:sz w:val="24"/>
      <w:lang w:eastAsia="en-US"/>
    </w:rPr>
  </w:style>
  <w:style w:type="paragraph" w:styleId="ListBullet">
    <w:name w:val="List Bullet"/>
    <w:basedOn w:val="List"/>
    <w:rsid w:val="00A10D79"/>
    <w:pPr>
      <w:numPr>
        <w:numId w:val="11"/>
      </w:numPr>
      <w:tabs>
        <w:tab w:val="clear" w:pos="340"/>
      </w:tabs>
      <w:spacing w:before="40" w:after="40"/>
    </w:pPr>
  </w:style>
  <w:style w:type="character" w:customStyle="1" w:styleId="SpecialBold">
    <w:name w:val="Special Bold"/>
    <w:basedOn w:val="DefaultParagraphFont"/>
    <w:rsid w:val="00A10D79"/>
    <w:rPr>
      <w:b/>
      <w:spacing w:val="0"/>
    </w:rPr>
  </w:style>
  <w:style w:type="paragraph" w:customStyle="1" w:styleId="SuperHeading">
    <w:name w:val="SuperHeading"/>
    <w:basedOn w:val="Normal"/>
    <w:rsid w:val="00A10D79"/>
    <w:pPr>
      <w:spacing w:before="240" w:after="120"/>
      <w:outlineLvl w:val="0"/>
    </w:pPr>
    <w:rPr>
      <w:rFonts w:ascii="Times New Roman" w:hAnsi="Times New Roman"/>
      <w:b/>
      <w:sz w:val="32"/>
    </w:rPr>
  </w:style>
  <w:style w:type="paragraph" w:customStyle="1" w:styleId="AllowPageBreak">
    <w:name w:val="AllowPageBreak"/>
    <w:rsid w:val="00A10D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0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D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D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D79"/>
    <w:rPr>
      <w:rFonts w:ascii="Courier New" w:eastAsia="Times New Roman" w:hAnsi="Courier New" w:cs="Times New Roman"/>
      <w:i/>
      <w:szCs w:val="20"/>
      <w:lang w:eastAsia="en-US"/>
    </w:rPr>
  </w:style>
  <w:style w:type="paragraph" w:customStyle="1" w:styleId="HeadingBase">
    <w:name w:val="Heading Base"/>
    <w:rsid w:val="00A10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D79"/>
    <w:pPr>
      <w:tabs>
        <w:tab w:val="right" w:leader="dot" w:pos="9072"/>
      </w:tabs>
      <w:ind w:left="567"/>
    </w:pPr>
    <w:rPr>
      <w:szCs w:val="22"/>
    </w:rPr>
  </w:style>
  <w:style w:type="paragraph" w:customStyle="1" w:styleId="TOCBase">
    <w:name w:val="TOC Base"/>
    <w:rsid w:val="00A10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D79"/>
    <w:pPr>
      <w:tabs>
        <w:tab w:val="right" w:leader="dot" w:pos="9072"/>
      </w:tabs>
      <w:spacing w:before="40" w:after="40"/>
      <w:ind w:left="284"/>
    </w:pPr>
    <w:rPr>
      <w:rFonts w:ascii="Times New Roman" w:hAnsi="Times New Roman"/>
    </w:rPr>
  </w:style>
  <w:style w:type="paragraph" w:styleId="TOC1">
    <w:name w:val="toc 1"/>
    <w:basedOn w:val="TOCBase"/>
    <w:next w:val="Normal"/>
    <w:rsid w:val="00A10D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D79"/>
    <w:rPr>
      <w:rFonts w:ascii="Times New Roman" w:eastAsia="Times New Roman" w:hAnsi="Times New Roman" w:cs="Times New Roman"/>
      <w:sz w:val="16"/>
      <w:lang w:eastAsia="en-US"/>
    </w:rPr>
  </w:style>
  <w:style w:type="paragraph" w:styleId="Title">
    <w:name w:val="Title"/>
    <w:basedOn w:val="HeadingBase"/>
    <w:link w:val="TitleChar"/>
    <w:qFormat/>
    <w:rsid w:val="00A10D79"/>
    <w:pPr>
      <w:spacing w:before="5040"/>
      <w:jc w:val="center"/>
    </w:pPr>
    <w:rPr>
      <w:sz w:val="48"/>
      <w:szCs w:val="72"/>
      <w:lang w:val="en-US"/>
    </w:rPr>
  </w:style>
  <w:style w:type="character" w:customStyle="1" w:styleId="TitleChar">
    <w:name w:val="Title Char"/>
    <w:basedOn w:val="DefaultParagraphFont"/>
    <w:link w:val="Title"/>
    <w:rsid w:val="00A10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D79"/>
    <w:pPr>
      <w:tabs>
        <w:tab w:val="left" w:pos="3600"/>
        <w:tab w:val="left" w:pos="3958"/>
      </w:tabs>
    </w:pPr>
  </w:style>
  <w:style w:type="paragraph" w:styleId="List">
    <w:name w:val="List"/>
    <w:basedOn w:val="BodyText"/>
    <w:next w:val="BodyText"/>
    <w:rsid w:val="00A10D79"/>
    <w:pPr>
      <w:tabs>
        <w:tab w:val="left" w:pos="340"/>
      </w:tabs>
      <w:spacing w:before="60" w:after="60"/>
      <w:ind w:left="340" w:hanging="340"/>
    </w:pPr>
  </w:style>
  <w:style w:type="paragraph" w:customStyle="1" w:styleId="Note">
    <w:name w:val="Note"/>
    <w:basedOn w:val="BodyText"/>
    <w:rsid w:val="00A10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D79"/>
    <w:pPr>
      <w:framePr w:wrap="auto" w:hAnchor="text" w:y="6049"/>
    </w:pPr>
    <w:rPr>
      <w:color w:val="000000"/>
      <w:sz w:val="40"/>
    </w:rPr>
  </w:style>
  <w:style w:type="paragraph" w:customStyle="1" w:styleId="TOCTitle">
    <w:name w:val="TOCTitle"/>
    <w:basedOn w:val="Heading1"/>
    <w:rsid w:val="00A10D79"/>
    <w:pPr>
      <w:spacing w:after="240"/>
      <w:jc w:val="center"/>
      <w:outlineLvl w:val="9"/>
    </w:pPr>
    <w:rPr>
      <w:caps/>
    </w:rPr>
  </w:style>
  <w:style w:type="paragraph" w:customStyle="1" w:styleId="Version">
    <w:name w:val="Version"/>
    <w:rsid w:val="00A10D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0D79"/>
    <w:pPr>
      <w:numPr>
        <w:numId w:val="12"/>
      </w:numPr>
      <w:tabs>
        <w:tab w:val="clear" w:pos="680"/>
      </w:tabs>
    </w:pPr>
  </w:style>
  <w:style w:type="paragraph" w:styleId="Index1">
    <w:name w:val="index 1"/>
    <w:basedOn w:val="Normal"/>
    <w:next w:val="Normal"/>
    <w:semiHidden/>
    <w:rsid w:val="00A10D79"/>
    <w:pPr>
      <w:keepNext w:val="0"/>
      <w:tabs>
        <w:tab w:val="right" w:pos="4176"/>
      </w:tabs>
      <w:ind w:left="198" w:hanging="198"/>
    </w:pPr>
    <w:rPr>
      <w:rFonts w:ascii="Garamond" w:hAnsi="Garamond"/>
    </w:rPr>
  </w:style>
  <w:style w:type="paragraph" w:styleId="IndexHeading">
    <w:name w:val="index heading"/>
    <w:basedOn w:val="Normal"/>
    <w:next w:val="Index1"/>
    <w:semiHidden/>
    <w:rsid w:val="00A10D79"/>
    <w:pPr>
      <w:spacing w:before="120" w:after="120"/>
    </w:pPr>
    <w:rPr>
      <w:rFonts w:ascii="Arial" w:hAnsi="Arial"/>
      <w:b/>
      <w:color w:val="918585"/>
      <w:sz w:val="24"/>
    </w:rPr>
  </w:style>
  <w:style w:type="paragraph" w:styleId="Header">
    <w:name w:val="header"/>
    <w:basedOn w:val="Normal"/>
    <w:link w:val="HeaderChar"/>
    <w:rsid w:val="00A10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D79"/>
    <w:rPr>
      <w:rFonts w:ascii="Times New Roman" w:eastAsia="Times New Roman" w:hAnsi="Times New Roman" w:cs="Times New Roman"/>
      <w:sz w:val="16"/>
      <w:szCs w:val="20"/>
      <w:lang w:val="en-GB" w:eastAsia="en-US"/>
    </w:rPr>
  </w:style>
  <w:style w:type="paragraph" w:customStyle="1" w:styleId="Chapter">
    <w:name w:val="Chapter"/>
    <w:basedOn w:val="Normal"/>
    <w:rsid w:val="00A10D79"/>
    <w:pPr>
      <w:spacing w:before="240"/>
    </w:pPr>
    <w:rPr>
      <w:rFonts w:ascii="Times New Roman" w:hAnsi="Times New Roman"/>
      <w:smallCaps/>
      <w:spacing w:val="80"/>
      <w:sz w:val="28"/>
    </w:rPr>
  </w:style>
  <w:style w:type="paragraph" w:customStyle="1" w:styleId="InChapter">
    <w:name w:val="InChapter"/>
    <w:basedOn w:val="Heading3"/>
    <w:rsid w:val="00A10D79"/>
    <w:pPr>
      <w:spacing w:after="240"/>
      <w:outlineLvl w:val="9"/>
    </w:pPr>
    <w:rPr>
      <w:noProof/>
    </w:rPr>
  </w:style>
  <w:style w:type="paragraph" w:styleId="Index2">
    <w:name w:val="index 2"/>
    <w:basedOn w:val="Normal"/>
    <w:next w:val="Normal"/>
    <w:semiHidden/>
    <w:rsid w:val="00A10D79"/>
    <w:pPr>
      <w:tabs>
        <w:tab w:val="right" w:pos="4176"/>
      </w:tabs>
      <w:ind w:left="568" w:hanging="284"/>
    </w:pPr>
    <w:rPr>
      <w:rFonts w:ascii="Garamond" w:hAnsi="Garamond"/>
    </w:rPr>
  </w:style>
  <w:style w:type="paragraph" w:customStyle="1" w:styleId="Byline">
    <w:name w:val="Byline"/>
    <w:rsid w:val="00A10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D79"/>
    <w:pPr>
      <w:tabs>
        <w:tab w:val="clear" w:pos="3600"/>
        <w:tab w:val="clear" w:pos="3958"/>
      </w:tabs>
      <w:jc w:val="right"/>
    </w:pPr>
  </w:style>
  <w:style w:type="character" w:styleId="Emphasis">
    <w:name w:val="Emphasis"/>
    <w:basedOn w:val="DefaultParagraphFont"/>
    <w:qFormat/>
    <w:rsid w:val="00A10D79"/>
    <w:rPr>
      <w:i/>
    </w:rPr>
  </w:style>
  <w:style w:type="paragraph" w:styleId="Caption">
    <w:name w:val="caption"/>
    <w:basedOn w:val="BodyText"/>
    <w:next w:val="Normal"/>
    <w:qFormat/>
    <w:rsid w:val="00A10D79"/>
    <w:pPr>
      <w:framePr w:w="2268" w:hSpace="181" w:vSpace="181" w:wrap="around" w:vAnchor="text" w:hAnchor="page" w:x="1135" w:y="285" w:anchorLock="1"/>
    </w:pPr>
    <w:rPr>
      <w:i/>
    </w:rPr>
  </w:style>
  <w:style w:type="paragraph" w:customStyle="1" w:styleId="MiniTOCTitle">
    <w:name w:val="MiniTOCTitle"/>
    <w:basedOn w:val="Heading4"/>
    <w:rsid w:val="00A10D79"/>
    <w:pPr>
      <w:spacing w:before="240"/>
      <w:outlineLvl w:val="9"/>
    </w:pPr>
    <w:rPr>
      <w:noProof/>
      <w:sz w:val="24"/>
    </w:rPr>
  </w:style>
  <w:style w:type="paragraph" w:customStyle="1" w:styleId="MiniTOCItem">
    <w:name w:val="MiniTOCItem"/>
    <w:basedOn w:val="ListBullet"/>
    <w:rsid w:val="00A10D79"/>
    <w:pPr>
      <w:numPr>
        <w:numId w:val="0"/>
      </w:numPr>
      <w:tabs>
        <w:tab w:val="right" w:leader="dot" w:pos="6521"/>
      </w:tabs>
      <w:spacing w:before="0" w:after="0"/>
    </w:pPr>
  </w:style>
  <w:style w:type="paragraph" w:customStyle="1" w:styleId="TOFTitle">
    <w:name w:val="TOFTitle"/>
    <w:basedOn w:val="TOCTitle"/>
    <w:rsid w:val="00A10D79"/>
  </w:style>
  <w:style w:type="paragraph" w:styleId="TableofFigures">
    <w:name w:val="table of figures"/>
    <w:basedOn w:val="Normal"/>
    <w:next w:val="Normal"/>
    <w:semiHidden/>
    <w:rsid w:val="00A10D79"/>
    <w:pPr>
      <w:tabs>
        <w:tab w:val="right" w:leader="dot" w:pos="9072"/>
      </w:tabs>
      <w:ind w:left="970" w:hanging="403"/>
    </w:pPr>
    <w:rPr>
      <w:rFonts w:ascii="Times New Roman" w:hAnsi="Times New Roman"/>
      <w:b/>
    </w:rPr>
  </w:style>
  <w:style w:type="paragraph" w:styleId="ListNumber">
    <w:name w:val="List Number"/>
    <w:basedOn w:val="List"/>
    <w:rsid w:val="00A10D79"/>
    <w:pPr>
      <w:numPr>
        <w:numId w:val="14"/>
      </w:numPr>
      <w:tabs>
        <w:tab w:val="clear" w:pos="340"/>
      </w:tabs>
    </w:pPr>
  </w:style>
  <w:style w:type="character" w:customStyle="1" w:styleId="WingdingSymbols">
    <w:name w:val="Wingding Symbols"/>
    <w:rsid w:val="00A10D79"/>
    <w:rPr>
      <w:rFonts w:ascii="Wingdings" w:hAnsi="Wingdings"/>
    </w:rPr>
  </w:style>
  <w:style w:type="paragraph" w:customStyle="1" w:styleId="TableHeading">
    <w:name w:val="Table Heading"/>
    <w:basedOn w:val="HeadingBase"/>
    <w:rsid w:val="00A10D79"/>
    <w:pPr>
      <w:keepLines/>
      <w:pBdr>
        <w:bottom w:val="single" w:sz="6" w:space="1" w:color="918585"/>
      </w:pBdr>
      <w:spacing w:before="240"/>
    </w:pPr>
  </w:style>
  <w:style w:type="character" w:customStyle="1" w:styleId="HotSpot">
    <w:name w:val="HotSpot"/>
    <w:rsid w:val="00A10D79"/>
    <w:rPr>
      <w:color w:val="0033CC"/>
      <w:u w:val="none"/>
    </w:rPr>
  </w:style>
  <w:style w:type="paragraph" w:customStyle="1" w:styleId="BodyTextRight">
    <w:name w:val="Body Text Right"/>
    <w:basedOn w:val="BodyText"/>
    <w:rsid w:val="00A10D79"/>
    <w:pPr>
      <w:spacing w:before="0" w:after="0"/>
      <w:jc w:val="right"/>
    </w:pPr>
  </w:style>
  <w:style w:type="paragraph" w:styleId="Index3">
    <w:name w:val="index 3"/>
    <w:basedOn w:val="ListNumber2"/>
    <w:next w:val="Normal"/>
    <w:semiHidden/>
    <w:rsid w:val="00A10D79"/>
    <w:pPr>
      <w:numPr>
        <w:numId w:val="0"/>
      </w:numPr>
      <w:tabs>
        <w:tab w:val="right" w:leader="dot" w:pos="4176"/>
      </w:tabs>
    </w:pPr>
  </w:style>
  <w:style w:type="paragraph" w:styleId="ListNumber2">
    <w:name w:val="List Number 2"/>
    <w:basedOn w:val="List2"/>
    <w:rsid w:val="00A10D79"/>
    <w:pPr>
      <w:numPr>
        <w:numId w:val="9"/>
      </w:numPr>
      <w:tabs>
        <w:tab w:val="clear" w:pos="1060"/>
      </w:tabs>
    </w:pPr>
  </w:style>
  <w:style w:type="paragraph" w:customStyle="1" w:styleId="MarginNote">
    <w:name w:val="Margin Note"/>
    <w:basedOn w:val="BodyText"/>
    <w:rsid w:val="00A10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D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D79"/>
    <w:rPr>
      <w:sz w:val="32"/>
    </w:rPr>
  </w:style>
  <w:style w:type="paragraph" w:customStyle="1" w:styleId="HeadingProcedure">
    <w:name w:val="Heading Procedure"/>
    <w:basedOn w:val="HeadingBase"/>
    <w:next w:val="Normal"/>
    <w:rsid w:val="00A10D79"/>
    <w:pPr>
      <w:tabs>
        <w:tab w:val="left" w:pos="0"/>
      </w:tabs>
      <w:spacing w:before="120" w:after="60"/>
    </w:pPr>
    <w:rPr>
      <w:i/>
      <w:color w:val="918585"/>
      <w:sz w:val="22"/>
    </w:rPr>
  </w:style>
  <w:style w:type="paragraph" w:customStyle="1" w:styleId="TableBodyText">
    <w:name w:val="Table Body Text"/>
    <w:basedOn w:val="BodyText"/>
    <w:rsid w:val="00A10D79"/>
    <w:pPr>
      <w:spacing w:before="60" w:after="60"/>
    </w:pPr>
  </w:style>
  <w:style w:type="paragraph" w:styleId="ListContinue">
    <w:name w:val="List Continue"/>
    <w:basedOn w:val="List"/>
    <w:rsid w:val="00A10D79"/>
    <w:pPr>
      <w:ind w:firstLine="0"/>
    </w:pPr>
  </w:style>
  <w:style w:type="paragraph" w:customStyle="1" w:styleId="ListNote">
    <w:name w:val="List Note"/>
    <w:basedOn w:val="List"/>
    <w:rsid w:val="00A10D79"/>
    <w:pPr>
      <w:pBdr>
        <w:top w:val="single" w:sz="6" w:space="2" w:color="918585"/>
        <w:bottom w:val="single" w:sz="6" w:space="2" w:color="918585"/>
      </w:pBdr>
      <w:tabs>
        <w:tab w:val="left" w:pos="1021"/>
      </w:tabs>
      <w:ind w:firstLine="0"/>
    </w:pPr>
  </w:style>
  <w:style w:type="paragraph" w:customStyle="1" w:styleId="Warning">
    <w:name w:val="Warning"/>
    <w:basedOn w:val="BodyText"/>
    <w:rsid w:val="00A10D79"/>
    <w:pPr>
      <w:shd w:val="clear" w:color="auto" w:fill="D9D9D9"/>
      <w:tabs>
        <w:tab w:val="left" w:pos="992"/>
      </w:tabs>
      <w:ind w:left="119" w:right="119"/>
    </w:pPr>
    <w:rPr>
      <w:sz w:val="20"/>
    </w:rPr>
  </w:style>
  <w:style w:type="paragraph" w:customStyle="1" w:styleId="MarginIcons">
    <w:name w:val="Margin Icons"/>
    <w:basedOn w:val="BodyText"/>
    <w:rsid w:val="00A10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D79"/>
    <w:rPr>
      <w:rFonts w:ascii="Courier New" w:hAnsi="Courier New"/>
    </w:rPr>
  </w:style>
  <w:style w:type="paragraph" w:customStyle="1" w:styleId="NoteBullet">
    <w:name w:val="Note Bullet"/>
    <w:basedOn w:val="Note"/>
    <w:rsid w:val="00A10D79"/>
    <w:pPr>
      <w:tabs>
        <w:tab w:val="clear" w:pos="680"/>
      </w:tabs>
      <w:spacing w:before="60" w:after="60"/>
    </w:pPr>
  </w:style>
  <w:style w:type="paragraph" w:customStyle="1" w:styleId="SubHeading2">
    <w:name w:val="SubHeading2"/>
    <w:basedOn w:val="HeadingBase"/>
    <w:rsid w:val="00A10D79"/>
    <w:pPr>
      <w:spacing w:before="240" w:after="60"/>
    </w:pPr>
    <w:rPr>
      <w:sz w:val="20"/>
    </w:rPr>
  </w:style>
  <w:style w:type="paragraph" w:customStyle="1" w:styleId="SubHeading1">
    <w:name w:val="SubHeading1"/>
    <w:basedOn w:val="HeadingBase"/>
    <w:rsid w:val="00A10D79"/>
    <w:pPr>
      <w:spacing w:before="240" w:after="60"/>
    </w:pPr>
    <w:rPr>
      <w:color w:val="918585"/>
      <w:sz w:val="22"/>
    </w:rPr>
  </w:style>
  <w:style w:type="paragraph" w:customStyle="1" w:styleId="SideHeading">
    <w:name w:val="Side Heading"/>
    <w:basedOn w:val="HeadingBase"/>
    <w:rsid w:val="00A10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D79"/>
    <w:pPr>
      <w:numPr>
        <w:numId w:val="10"/>
      </w:numPr>
    </w:pPr>
  </w:style>
  <w:style w:type="paragraph" w:styleId="PlainText">
    <w:name w:val="Plain Text"/>
    <w:basedOn w:val="Normal"/>
    <w:link w:val="PlainTextChar"/>
    <w:rsid w:val="00A10D79"/>
    <w:rPr>
      <w:sz w:val="20"/>
    </w:rPr>
  </w:style>
  <w:style w:type="character" w:customStyle="1" w:styleId="PlainTextChar">
    <w:name w:val="Plain Text Char"/>
    <w:basedOn w:val="DefaultParagraphFont"/>
    <w:link w:val="PlainText"/>
    <w:rsid w:val="00A10D79"/>
    <w:rPr>
      <w:rFonts w:ascii="Courier New" w:eastAsia="Times New Roman" w:hAnsi="Courier New" w:cs="Times New Roman"/>
      <w:sz w:val="20"/>
      <w:szCs w:val="20"/>
      <w:lang w:eastAsia="en-US"/>
    </w:rPr>
  </w:style>
  <w:style w:type="character" w:customStyle="1" w:styleId="MenuOption">
    <w:name w:val="Menu Option"/>
    <w:basedOn w:val="DefaultParagraphFont"/>
    <w:rsid w:val="00A10D79"/>
    <w:rPr>
      <w:b/>
      <w:smallCaps/>
    </w:rPr>
  </w:style>
  <w:style w:type="paragraph" w:customStyle="1" w:styleId="TableListNumber">
    <w:name w:val="Table List Number"/>
    <w:basedOn w:val="ListNumber"/>
    <w:rsid w:val="00A10D79"/>
    <w:pPr>
      <w:numPr>
        <w:numId w:val="0"/>
      </w:numPr>
    </w:pPr>
  </w:style>
  <w:style w:type="paragraph" w:styleId="TOC4">
    <w:name w:val="toc 4"/>
    <w:basedOn w:val="TOCBase"/>
    <w:next w:val="Normal"/>
    <w:semiHidden/>
    <w:rsid w:val="00A10D79"/>
    <w:pPr>
      <w:tabs>
        <w:tab w:val="right" w:leader="dot" w:pos="9071"/>
      </w:tabs>
      <w:ind w:left="1701"/>
    </w:pPr>
  </w:style>
  <w:style w:type="paragraph" w:customStyle="1" w:styleId="ListAlpha">
    <w:name w:val="List Alpha"/>
    <w:basedOn w:val="List"/>
    <w:rsid w:val="00A10D79"/>
    <w:pPr>
      <w:numPr>
        <w:numId w:val="8"/>
      </w:numPr>
    </w:pPr>
  </w:style>
  <w:style w:type="paragraph" w:customStyle="1" w:styleId="ListAlpha2">
    <w:name w:val="List Alpha 2"/>
    <w:basedOn w:val="List2"/>
    <w:rsid w:val="00A10D79"/>
    <w:pPr>
      <w:numPr>
        <w:numId w:val="7"/>
      </w:numPr>
    </w:pPr>
  </w:style>
  <w:style w:type="paragraph" w:styleId="List2">
    <w:name w:val="List 2"/>
    <w:basedOn w:val="BodyText"/>
    <w:rsid w:val="00A10D79"/>
    <w:pPr>
      <w:tabs>
        <w:tab w:val="left" w:pos="680"/>
      </w:tabs>
      <w:spacing w:before="60" w:after="60"/>
      <w:ind w:left="680" w:hanging="340"/>
    </w:pPr>
  </w:style>
  <w:style w:type="paragraph" w:styleId="List3">
    <w:name w:val="List 3"/>
    <w:basedOn w:val="BodyText"/>
    <w:rsid w:val="00A10D79"/>
    <w:pPr>
      <w:tabs>
        <w:tab w:val="left" w:pos="1021"/>
      </w:tabs>
      <w:spacing w:before="60" w:after="60"/>
      <w:ind w:left="1020" w:hanging="340"/>
    </w:pPr>
  </w:style>
  <w:style w:type="paragraph" w:styleId="List4">
    <w:name w:val="List 4"/>
    <w:basedOn w:val="BodyText"/>
    <w:rsid w:val="00A10D79"/>
    <w:pPr>
      <w:tabs>
        <w:tab w:val="left" w:pos="1361"/>
      </w:tabs>
      <w:spacing w:before="60" w:after="60"/>
      <w:ind w:left="1361" w:hanging="340"/>
    </w:pPr>
  </w:style>
  <w:style w:type="paragraph" w:styleId="List5">
    <w:name w:val="List 5"/>
    <w:basedOn w:val="BodyText"/>
    <w:rsid w:val="00A10D79"/>
    <w:pPr>
      <w:tabs>
        <w:tab w:val="left" w:pos="1701"/>
      </w:tabs>
      <w:spacing w:before="60" w:after="60"/>
      <w:ind w:left="1701" w:hanging="340"/>
    </w:pPr>
  </w:style>
  <w:style w:type="paragraph" w:styleId="ListBullet3">
    <w:name w:val="List Bullet 3"/>
    <w:basedOn w:val="List3"/>
    <w:rsid w:val="00A10D79"/>
    <w:pPr>
      <w:numPr>
        <w:numId w:val="13"/>
      </w:numPr>
      <w:tabs>
        <w:tab w:val="clear" w:pos="1021"/>
      </w:tabs>
      <w:ind w:left="1037" w:hanging="357"/>
    </w:pPr>
  </w:style>
  <w:style w:type="paragraph" w:styleId="ListBullet4">
    <w:name w:val="List Bullet 4"/>
    <w:basedOn w:val="List4"/>
    <w:rsid w:val="00A10D79"/>
    <w:pPr>
      <w:numPr>
        <w:numId w:val="2"/>
      </w:numPr>
      <w:tabs>
        <w:tab w:val="clear" w:pos="1361"/>
      </w:tabs>
    </w:pPr>
  </w:style>
  <w:style w:type="paragraph" w:styleId="ListBullet5">
    <w:name w:val="List Bullet 5"/>
    <w:basedOn w:val="List5"/>
    <w:rsid w:val="00A10D79"/>
    <w:pPr>
      <w:numPr>
        <w:numId w:val="3"/>
      </w:numPr>
    </w:pPr>
  </w:style>
  <w:style w:type="paragraph" w:styleId="ListContinue2">
    <w:name w:val="List Continue 2"/>
    <w:basedOn w:val="List2"/>
    <w:rsid w:val="00A10D79"/>
    <w:pPr>
      <w:ind w:firstLine="0"/>
    </w:pPr>
  </w:style>
  <w:style w:type="paragraph" w:styleId="ListContinue3">
    <w:name w:val="List Continue 3"/>
    <w:basedOn w:val="List3"/>
    <w:rsid w:val="00A10D79"/>
    <w:pPr>
      <w:ind w:left="1021" w:firstLine="0"/>
    </w:pPr>
  </w:style>
  <w:style w:type="paragraph" w:styleId="ListContinue4">
    <w:name w:val="List Continue 4"/>
    <w:basedOn w:val="List4"/>
    <w:rsid w:val="00A10D79"/>
    <w:pPr>
      <w:ind w:firstLine="0"/>
    </w:pPr>
  </w:style>
  <w:style w:type="paragraph" w:styleId="ListContinue5">
    <w:name w:val="List Continue 5"/>
    <w:basedOn w:val="List5"/>
    <w:rsid w:val="00A10D79"/>
    <w:pPr>
      <w:ind w:firstLine="0"/>
    </w:pPr>
  </w:style>
  <w:style w:type="paragraph" w:styleId="ListNumber3">
    <w:name w:val="List Number 3"/>
    <w:basedOn w:val="List3"/>
    <w:rsid w:val="00A10D79"/>
    <w:pPr>
      <w:numPr>
        <w:numId w:val="4"/>
      </w:numPr>
    </w:pPr>
  </w:style>
  <w:style w:type="paragraph" w:styleId="ListNumber4">
    <w:name w:val="List Number 4"/>
    <w:basedOn w:val="List4"/>
    <w:rsid w:val="00A10D79"/>
    <w:pPr>
      <w:numPr>
        <w:numId w:val="5"/>
      </w:numPr>
    </w:pPr>
  </w:style>
  <w:style w:type="paragraph" w:styleId="ListNumber5">
    <w:name w:val="List Number 5"/>
    <w:basedOn w:val="List5"/>
    <w:rsid w:val="00A10D79"/>
    <w:pPr>
      <w:numPr>
        <w:numId w:val="6"/>
      </w:numPr>
    </w:pPr>
  </w:style>
  <w:style w:type="paragraph" w:styleId="BlockText">
    <w:name w:val="Block Text"/>
    <w:basedOn w:val="Normal"/>
    <w:rsid w:val="00A10D79"/>
    <w:pPr>
      <w:spacing w:after="120"/>
      <w:ind w:left="1440" w:right="1440"/>
    </w:pPr>
  </w:style>
  <w:style w:type="character" w:customStyle="1" w:styleId="Subscript">
    <w:name w:val="Subscript"/>
    <w:basedOn w:val="DefaultParagraphFont"/>
    <w:rsid w:val="00A10D79"/>
    <w:rPr>
      <w:sz w:val="16"/>
      <w:vertAlign w:val="subscript"/>
    </w:rPr>
  </w:style>
  <w:style w:type="character" w:customStyle="1" w:styleId="Superscript">
    <w:name w:val="Superscript"/>
    <w:basedOn w:val="DefaultParagraphFont"/>
    <w:rsid w:val="00A10D79"/>
    <w:rPr>
      <w:sz w:val="16"/>
      <w:vertAlign w:val="superscript"/>
    </w:rPr>
  </w:style>
  <w:style w:type="character" w:customStyle="1" w:styleId="Symbols">
    <w:name w:val="Symbols"/>
    <w:basedOn w:val="DefaultParagraphFont"/>
    <w:rsid w:val="00A10D79"/>
    <w:rPr>
      <w:rFonts w:ascii="Symbol" w:hAnsi="Symbol"/>
    </w:rPr>
  </w:style>
  <w:style w:type="character" w:customStyle="1" w:styleId="MenuOptions">
    <w:name w:val="Menu Options"/>
    <w:basedOn w:val="DefaultParagraphFont"/>
    <w:rsid w:val="00A10D79"/>
    <w:rPr>
      <w:rFonts w:ascii="Arial Narrow" w:hAnsi="Arial Narrow"/>
      <w:smallCaps/>
    </w:rPr>
  </w:style>
  <w:style w:type="character" w:customStyle="1" w:styleId="Buttons">
    <w:name w:val="Buttons"/>
    <w:basedOn w:val="DefaultParagraphFont"/>
    <w:rsid w:val="00A10D79"/>
    <w:rPr>
      <w:b/>
    </w:rPr>
  </w:style>
  <w:style w:type="character" w:customStyle="1" w:styleId="Underlined">
    <w:name w:val="Underlined"/>
    <w:basedOn w:val="DefaultParagraphFont"/>
    <w:rsid w:val="00A10D79"/>
    <w:rPr>
      <w:u w:val="single"/>
    </w:rPr>
  </w:style>
  <w:style w:type="paragraph" w:customStyle="1" w:styleId="TableBodyTextRight">
    <w:name w:val="Table Body Text Right"/>
    <w:basedOn w:val="TableBodyText"/>
    <w:rsid w:val="00A10D79"/>
    <w:pPr>
      <w:widowControl w:val="0"/>
      <w:autoSpaceDE w:val="0"/>
      <w:autoSpaceDN w:val="0"/>
      <w:adjustRightInd w:val="0"/>
      <w:jc w:val="right"/>
    </w:pPr>
    <w:rPr>
      <w:rFonts w:cs="Arial"/>
      <w:szCs w:val="18"/>
    </w:rPr>
  </w:style>
  <w:style w:type="paragraph" w:customStyle="1" w:styleId="CopyrightText">
    <w:name w:val="Copyright Text"/>
    <w:basedOn w:val="BodyText"/>
    <w:rsid w:val="00A10D79"/>
    <w:rPr>
      <w:sz w:val="18"/>
    </w:rPr>
  </w:style>
  <w:style w:type="paragraph" w:customStyle="1" w:styleId="BodySmallRight">
    <w:name w:val="Body Small Right"/>
    <w:basedOn w:val="BodyTextRight"/>
    <w:rsid w:val="00A10D79"/>
    <w:rPr>
      <w:sz w:val="18"/>
      <w:szCs w:val="18"/>
    </w:rPr>
  </w:style>
  <w:style w:type="paragraph" w:customStyle="1" w:styleId="MarginEdition">
    <w:name w:val="Margin Edition"/>
    <w:basedOn w:val="MarginNote"/>
    <w:rsid w:val="00A10D79"/>
    <w:pPr>
      <w:spacing w:before="0" w:after="0"/>
    </w:pPr>
    <w:rPr>
      <w:rFonts w:ascii="Times New Roman" w:hAnsi="Times New Roman"/>
      <w:color w:val="999999"/>
    </w:rPr>
  </w:style>
  <w:style w:type="paragraph" w:customStyle="1" w:styleId="Spacer">
    <w:name w:val="Spacer"/>
    <w:basedOn w:val="Normal"/>
    <w:rsid w:val="00A10D79"/>
    <w:rPr>
      <w:sz w:val="2"/>
      <w:szCs w:val="2"/>
    </w:rPr>
  </w:style>
  <w:style w:type="character" w:customStyle="1" w:styleId="Small">
    <w:name w:val="Small"/>
    <w:basedOn w:val="DefaultParagraphFont"/>
    <w:rsid w:val="00A10D79"/>
    <w:rPr>
      <w:sz w:val="16"/>
    </w:rPr>
  </w:style>
  <w:style w:type="paragraph" w:customStyle="1" w:styleId="WideTable">
    <w:name w:val="Wide Table"/>
    <w:basedOn w:val="Normal"/>
    <w:rsid w:val="00A10D79"/>
    <w:pPr>
      <w:ind w:left="-1418"/>
    </w:pPr>
    <w:rPr>
      <w:sz w:val="2"/>
      <w:szCs w:val="2"/>
    </w:rPr>
  </w:style>
  <w:style w:type="character" w:styleId="PageNumber">
    <w:name w:val="page number"/>
    <w:basedOn w:val="DefaultParagraphFont"/>
    <w:rsid w:val="00A10D79"/>
  </w:style>
  <w:style w:type="paragraph" w:styleId="Quote">
    <w:name w:val="Quote"/>
    <w:basedOn w:val="Heading1"/>
    <w:link w:val="QuoteChar"/>
    <w:qFormat/>
    <w:rsid w:val="00A10D79"/>
    <w:rPr>
      <w:b w:val="0"/>
      <w:sz w:val="72"/>
      <w:szCs w:val="72"/>
      <w:lang w:val="en-NZ"/>
    </w:rPr>
  </w:style>
  <w:style w:type="character" w:customStyle="1" w:styleId="QuoteChar">
    <w:name w:val="Quote Char"/>
    <w:basedOn w:val="DefaultParagraphFont"/>
    <w:link w:val="Quote"/>
    <w:rsid w:val="00A10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D79"/>
    <w:pPr>
      <w:pageBreakBefore/>
    </w:pPr>
  </w:style>
  <w:style w:type="paragraph" w:customStyle="1" w:styleId="Border">
    <w:name w:val="Border"/>
    <w:basedOn w:val="Normal"/>
    <w:qFormat/>
    <w:rsid w:val="00A10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D79"/>
    <w:rPr>
      <w:b/>
      <w:bCs/>
      <w:i/>
      <w:iCs/>
      <w:color w:val="auto"/>
    </w:rPr>
  </w:style>
  <w:style w:type="paragraph" w:styleId="IntenseQuote">
    <w:name w:val="Intense Quote"/>
    <w:basedOn w:val="Normal"/>
    <w:next w:val="Normal"/>
    <w:link w:val="IntenseQuoteChar"/>
    <w:uiPriority w:val="30"/>
    <w:qFormat/>
    <w:rsid w:val="00A10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D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D79"/>
    <w:rPr>
      <w:smallCaps/>
      <w:color w:val="auto"/>
      <w:u w:val="single"/>
    </w:rPr>
  </w:style>
  <w:style w:type="character" w:styleId="IntenseReference">
    <w:name w:val="Intense Reference"/>
    <w:basedOn w:val="DefaultParagraphFont"/>
    <w:uiPriority w:val="32"/>
    <w:qFormat/>
    <w:rsid w:val="00A10D79"/>
    <w:rPr>
      <w:b/>
      <w:bCs/>
      <w:smallCaps/>
      <w:color w:val="auto"/>
      <w:spacing w:val="5"/>
      <w:u w:val="single"/>
    </w:rPr>
  </w:style>
  <w:style w:type="paragraph" w:customStyle="1" w:styleId="2ColumnHeading">
    <w:name w:val="2Column Heading"/>
    <w:basedOn w:val="BodyText"/>
    <w:qFormat/>
    <w:rsid w:val="00A10D79"/>
    <w:pPr>
      <w:spacing w:after="60"/>
      <w:ind w:left="-2268"/>
    </w:pPr>
    <w:rPr>
      <w:b/>
    </w:rPr>
  </w:style>
  <w:style w:type="paragraph" w:customStyle="1" w:styleId="Heading1TOC">
    <w:name w:val="Heading1 TOC"/>
    <w:basedOn w:val="Normal"/>
    <w:qFormat/>
    <w:rsid w:val="00A10D79"/>
    <w:pPr>
      <w:spacing w:before="240" w:after="120"/>
    </w:pPr>
    <w:rPr>
      <w:rFonts w:ascii="Times New Roman" w:hAnsi="Times New Roman"/>
      <w:b/>
      <w:sz w:val="32"/>
    </w:rPr>
  </w:style>
  <w:style w:type="paragraph" w:customStyle="1" w:styleId="Heading2TOC">
    <w:name w:val="Heading2 TOC"/>
    <w:basedOn w:val="Normal"/>
    <w:qFormat/>
    <w:rsid w:val="00A10D79"/>
    <w:pPr>
      <w:spacing w:before="240" w:after="60"/>
    </w:pPr>
    <w:rPr>
      <w:rFonts w:ascii="Times New Roman" w:hAnsi="Times New Roman"/>
      <w:b/>
      <w:sz w:val="28"/>
    </w:rPr>
  </w:style>
  <w:style w:type="character" w:customStyle="1" w:styleId="Underline">
    <w:name w:val="Underline"/>
    <w:basedOn w:val="DefaultParagraphFont"/>
    <w:qFormat/>
    <w:rsid w:val="00A10D79"/>
    <w:rPr>
      <w:u w:val="single"/>
    </w:rPr>
  </w:style>
  <w:style w:type="character" w:customStyle="1" w:styleId="BoldandItalics">
    <w:name w:val="Bold and Italics"/>
    <w:qFormat/>
    <w:rsid w:val="00A10D79"/>
    <w:rPr>
      <w:b/>
      <w:i/>
      <w:u w:val="none"/>
    </w:rPr>
  </w:style>
  <w:style w:type="paragraph" w:styleId="BalloonText">
    <w:name w:val="Balloon Text"/>
    <w:basedOn w:val="Normal"/>
    <w:link w:val="BalloonTextChar"/>
    <w:rsid w:val="00A10D79"/>
    <w:rPr>
      <w:rFonts w:ascii="Tahoma" w:hAnsi="Tahoma" w:cs="Tahoma"/>
      <w:sz w:val="16"/>
      <w:szCs w:val="16"/>
    </w:rPr>
  </w:style>
  <w:style w:type="character" w:customStyle="1" w:styleId="BalloonTextChar">
    <w:name w:val="Balloon Text Char"/>
    <w:basedOn w:val="DefaultParagraphFont"/>
    <w:link w:val="BalloonText"/>
    <w:rsid w:val="00A10D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D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0D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D79"/>
    <w:rPr>
      <w:b/>
      <w:color w:val="660033"/>
      <w:spacing w:val="0"/>
    </w:rPr>
  </w:style>
  <w:style w:type="paragraph" w:customStyle="1" w:styleId="Nameditemlist">
    <w:name w:val="Named item list"/>
    <w:basedOn w:val="BodyText"/>
    <w:qFormat/>
    <w:rsid w:val="00A10D79"/>
    <w:pPr>
      <w:tabs>
        <w:tab w:val="left" w:pos="2835"/>
      </w:tabs>
      <w:ind w:left="2835" w:hanging="2835"/>
    </w:pPr>
  </w:style>
  <w:style w:type="paragraph" w:customStyle="1" w:styleId="BodyTextnopadding">
    <w:name w:val="Body Text no padding"/>
    <w:basedOn w:val="BodyText"/>
    <w:qFormat/>
    <w:rsid w:val="00A10D79"/>
    <w:pPr>
      <w:spacing w:before="0" w:after="0"/>
    </w:pPr>
  </w:style>
  <w:style w:type="paragraph" w:customStyle="1" w:styleId="BodyTextBold">
    <w:name w:val="Body Text Bold"/>
    <w:basedOn w:val="BodyText"/>
    <w:qFormat/>
    <w:rsid w:val="00A10D79"/>
    <w:rPr>
      <w:b/>
    </w:rPr>
  </w:style>
  <w:style w:type="character" w:styleId="Hyperlink">
    <w:name w:val="Hyperlink"/>
    <w:basedOn w:val="DefaultParagraphFont"/>
    <w:uiPriority w:val="99"/>
    <w:unhideWhenUsed/>
    <w:rsid w:val="00442D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4881</Characters>
  <Application>Microsoft Office Word</Application>
  <DocSecurity>0</DocSecurity>
  <Lines>212</Lines>
  <Paragraphs>111</Paragraphs>
  <ScaleCrop>false</ScaleCrop>
  <Company>Author-it Software Corporation Ltd.</Company>
  <LinksUpToDate>false</LinksUpToDate>
  <CharactersWithSpaces>5593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MARH024 Use of radar and other bridge equipment to maintain safety of navigation</dc:title>
  <dc:subject>Approved</dc:subject>
  <dc:creator>Industry Skills Australia</dc:creator>
  <cp:keywords>Release: 2</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