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843" w:rsidP="00763843">
      <w:pPr>
        <w:pStyle w:val="Title"/>
      </w:pPr>
      <w:r>
        <w:fldChar w:fldCharType="begin"/>
      </w:r>
      <w:r>
        <w:instrText xml:space="preserve"> TITLE   \* MERGEFORMAT </w:instrText>
      </w:r>
      <w:r>
        <w:fldChar w:fldCharType="separate"/>
      </w:r>
      <w:r>
        <w:t>Assessment Requirements for MARH018 Apply command navigation procedures on vessels limited by tonnage or near coastal operations</w:t>
      </w:r>
      <w:r>
        <w:fldChar w:fldCharType="end"/>
      </w:r>
    </w:p>
    <w:p w:rsidR="00763843" w:rsidP="00763843">
      <w:pPr>
        <w:pStyle w:val="Version"/>
        <w:sectPr w:rsidSect="001078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0783E" w:rsidP="0010783E">
      <w:pPr>
        <w:pStyle w:val="SuperHeading"/>
      </w:pPr>
      <w:r w:rsidRPr="0010783E">
        <w:t>Assessment Requirements for MARH018 Apply command navigation procedures on vessels limited by tonnage or near coastal operations</w:t>
      </w:r>
    </w:p>
    <w:p w:rsidR="00000000" w:rsidRPr="0010783E" w:rsidP="0010783E">
      <w:pPr>
        <w:pStyle w:val="Heading1"/>
      </w:pPr>
      <w:bookmarkStart w:id="1" w:name="O_1285515"/>
      <w:bookmarkEnd w:id="1"/>
      <w:r w:rsidRPr="0010783E">
        <w:t>Modification History</w:t>
      </w:r>
    </w:p>
    <w:tbl>
      <w:tblPr>
        <w:tblW w:w="9497" w:type="dxa"/>
        <w:tblLayout w:type="fixed"/>
        <w:tblCellMar>
          <w:left w:w="62" w:type="dxa"/>
          <w:right w:w="62" w:type="dxa"/>
        </w:tblCellMar>
        <w:tblLook w:val="0000"/>
      </w:tblPr>
      <w:tblGrid>
        <w:gridCol w:w="9497"/>
      </w:tblGrid>
      <w:tr w:rsidTr="001078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783E" w:rsidP="0010783E">
            <w:pPr>
              <w:pStyle w:val="BodyText"/>
            </w:pPr>
            <w:r w:rsidRPr="0010783E">
              <w:rPr>
                <w:rStyle w:val="SpecialBold"/>
              </w:rPr>
              <w:t>Release 2</w:t>
            </w:r>
            <w:r w:rsidRPr="0010783E">
              <w:t>. This is the second release of this unit of compe</w:t>
            </w:r>
            <w:r w:rsidRPr="0010783E">
              <w:t>tency in the MAR Maritime Training Package.</w:t>
            </w:r>
          </w:p>
          <w:p w:rsidR="00000000" w:rsidP="0010783E">
            <w:pPr>
              <w:pStyle w:val="ListBullet"/>
              <w:rPr>
                <w:lang w:val="en-NZ"/>
              </w:rPr>
            </w:pPr>
            <w:r w:rsidRPr="0010783E">
              <w:t>Minor statement changes in unit Application.</w:t>
            </w:r>
          </w:p>
        </w:tc>
      </w:tr>
      <w:tr w:rsidTr="001078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783E" w:rsidP="0010783E">
            <w:pPr>
              <w:pStyle w:val="BodyText"/>
            </w:pPr>
            <w:r w:rsidRPr="0010783E">
              <w:rPr>
                <w:rStyle w:val="SpecialBold"/>
              </w:rPr>
              <w:t>Release 1</w:t>
            </w:r>
            <w:r w:rsidRPr="0010783E">
              <w:t>. This is the first release of this unit of competency in the MAR Maritime Training Package.</w:t>
            </w:r>
          </w:p>
        </w:tc>
      </w:tr>
    </w:tbl>
    <w:p w:rsidR="00000000" w:rsidRPr="0010783E" w:rsidP="0010783E">
      <w:pPr>
        <w:pStyle w:val="NoPaddingFontSize1"/>
      </w:pPr>
    </w:p>
    <w:p w:rsidR="00000000" w:rsidRPr="0010783E" w:rsidP="0010783E">
      <w:pPr>
        <w:pStyle w:val="AllowPageBreak"/>
      </w:pPr>
    </w:p>
    <w:p w:rsidR="00000000" w:rsidRPr="0010783E" w:rsidP="0010783E">
      <w:pPr>
        <w:pStyle w:val="Heading1"/>
      </w:pPr>
      <w:bookmarkStart w:id="2" w:name="O_1285514"/>
      <w:bookmarkEnd w:id="2"/>
      <w:r w:rsidRPr="0010783E">
        <w:t>Performance Evidence</w:t>
      </w:r>
    </w:p>
    <w:tbl>
      <w:tblPr>
        <w:tblW w:w="9497" w:type="dxa"/>
        <w:tblLayout w:type="fixed"/>
        <w:tblCellMar>
          <w:left w:w="62" w:type="dxa"/>
          <w:right w:w="62" w:type="dxa"/>
        </w:tblCellMar>
        <w:tblLook w:val="0000"/>
      </w:tblPr>
      <w:tblGrid>
        <w:gridCol w:w="9497"/>
      </w:tblGrid>
      <w:tr w:rsidTr="001078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783E" w:rsidP="0010783E">
            <w:pPr>
              <w:pStyle w:val="BodyText"/>
            </w:pPr>
            <w:r w:rsidRPr="0010783E">
              <w:t xml:space="preserve">Evidence required to </w:t>
            </w:r>
            <w:r w:rsidRPr="0010783E">
              <w:t>demonstrate competence in this unit must be relevant to and satisfy all of the requirements of the elements and performance criteria on at least one occasion and include:</w:t>
            </w:r>
          </w:p>
          <w:p w:rsidR="00000000" w:rsidRPr="0010783E" w:rsidP="0010783E">
            <w:pPr>
              <w:pStyle w:val="ListBullet"/>
            </w:pPr>
            <w:r w:rsidRPr="0010783E">
              <w:t xml:space="preserve">applying fatigue management strategies </w:t>
            </w:r>
          </w:p>
          <w:p w:rsidR="00000000" w:rsidRPr="0010783E" w:rsidP="0010783E">
            <w:pPr>
              <w:pStyle w:val="ListBullet"/>
            </w:pPr>
            <w:r w:rsidRPr="0010783E">
              <w:t>assessing:</w:t>
            </w:r>
          </w:p>
          <w:p w:rsidR="00000000" w:rsidRPr="0010783E" w:rsidP="0010783E">
            <w:pPr>
              <w:pStyle w:val="ListBullet2"/>
            </w:pPr>
            <w:r w:rsidRPr="0010783E">
              <w:t>circumstances requiring Master t</w:t>
            </w:r>
            <w:r w:rsidRPr="0010783E">
              <w:t>o call for assistance from a second qualified watchkeeper</w:t>
            </w:r>
          </w:p>
          <w:p w:rsidR="00000000" w:rsidRPr="0010783E" w:rsidP="0010783E">
            <w:pPr>
              <w:pStyle w:val="ListBullet2"/>
            </w:pPr>
            <w:r w:rsidRPr="0010783E">
              <w:t>necessary actions to be taken when called to bridge by officer of watch</w:t>
            </w:r>
          </w:p>
          <w:p w:rsidR="00000000" w:rsidRPr="0010783E" w:rsidP="0010783E">
            <w:pPr>
              <w:pStyle w:val="ListBullet"/>
            </w:pPr>
            <w:r w:rsidRPr="0010783E">
              <w:t>briefing officers of watch on passage plan and their watchkeeping duties</w:t>
            </w:r>
          </w:p>
          <w:p w:rsidR="00000000" w:rsidRPr="0010783E" w:rsidP="0010783E">
            <w:pPr>
              <w:pStyle w:val="ListBullet"/>
            </w:pPr>
            <w:r w:rsidRPr="0010783E">
              <w:t>communicating effectively with other personnel when managing safe navigational watchkeeping activities</w:t>
            </w:r>
          </w:p>
          <w:p w:rsidR="00000000" w:rsidRPr="0010783E" w:rsidP="0010783E">
            <w:pPr>
              <w:pStyle w:val="ListBullet"/>
            </w:pPr>
            <w:r w:rsidRPr="0010783E">
              <w:t>complying with mandatory rules, regulations and International Maritime Organization (IMO) conventions and codes, including relevant sections of Australia</w:t>
            </w:r>
            <w:r w:rsidRPr="0010783E">
              <w:t>n Maritime Safety Authority (AMSA) Marine Orders and ensuring codes, guidelines and standards recommended by IMO, classification societies and maritime industry organisations are taken into account</w:t>
            </w:r>
          </w:p>
          <w:p w:rsidR="00000000" w:rsidRPr="0010783E" w:rsidP="0010783E">
            <w:pPr>
              <w:pStyle w:val="ListBullet"/>
            </w:pPr>
            <w:r w:rsidRPr="0010783E">
              <w:t>conducting emergency procedures</w:t>
            </w:r>
          </w:p>
          <w:p w:rsidR="00000000" w:rsidRPr="0010783E" w:rsidP="0010783E">
            <w:pPr>
              <w:pStyle w:val="ListBullet"/>
            </w:pPr>
            <w:r w:rsidRPr="0010783E">
              <w:t>determining:</w:t>
            </w:r>
          </w:p>
          <w:p w:rsidR="00000000" w:rsidRPr="0010783E" w:rsidP="0010783E">
            <w:pPr>
              <w:pStyle w:val="ListBullet2"/>
            </w:pPr>
            <w:r w:rsidRPr="0010783E">
              <w:t>actions to t</w:t>
            </w:r>
            <w:r w:rsidRPr="0010783E">
              <w:t>ake with respect to executing passage plan</w:t>
            </w:r>
          </w:p>
          <w:p w:rsidR="00000000" w:rsidRPr="0010783E" w:rsidP="0010783E">
            <w:pPr>
              <w:pStyle w:val="ListBullet2"/>
            </w:pPr>
            <w:r w:rsidRPr="0010783E">
              <w:t>most important watchkeeping task at any given time</w:t>
            </w:r>
          </w:p>
          <w:p w:rsidR="00000000" w:rsidRPr="0010783E" w:rsidP="0010783E">
            <w:pPr>
              <w:pStyle w:val="ListBullet"/>
            </w:pPr>
            <w:r w:rsidRPr="0010783E">
              <w:t>ensuring established passage plan is correctly carried out</w:t>
            </w:r>
          </w:p>
          <w:p w:rsidR="00000000" w:rsidRPr="0010783E" w:rsidP="0010783E">
            <w:pPr>
              <w:pStyle w:val="ListBullet"/>
            </w:pPr>
            <w:r w:rsidRPr="0010783E">
              <w:t>exchanging information with pilot about pilotage plan and conduct of bridge team</w:t>
            </w:r>
          </w:p>
          <w:p w:rsidR="00000000" w:rsidRPr="0010783E" w:rsidP="0010783E">
            <w:pPr>
              <w:pStyle w:val="ListBullet"/>
            </w:pPr>
            <w:r w:rsidRPr="0010783E">
              <w:t>managing watchkeeping</w:t>
            </w:r>
            <w:r w:rsidRPr="0010783E">
              <w:t xml:space="preserve"> arrangements while underway, when berthed or moored, when slipped or in dry dock, and during routine or unplanned events</w:t>
            </w:r>
          </w:p>
          <w:p w:rsidR="00000000" w:rsidRPr="0010783E" w:rsidP="0010783E">
            <w:pPr>
              <w:pStyle w:val="ListBullet"/>
            </w:pPr>
            <w:r w:rsidRPr="0010783E">
              <w:t>performing pilotage duties, where permitted</w:t>
            </w:r>
          </w:p>
          <w:p w:rsidR="00000000" w:rsidRPr="0010783E" w:rsidP="0010783E">
            <w:pPr>
              <w:pStyle w:val="ListBullet"/>
            </w:pPr>
            <w:r w:rsidRPr="0010783E">
              <w:t>providing leadership to bridge team</w:t>
            </w:r>
          </w:p>
          <w:p w:rsidR="00000000" w:rsidRPr="0010783E" w:rsidP="0010783E">
            <w:pPr>
              <w:pStyle w:val="ListBullet"/>
            </w:pPr>
            <w:r w:rsidRPr="0010783E">
              <w:t>recognising and adapting appropriately to cultural dif</w:t>
            </w:r>
            <w:r w:rsidRPr="0010783E">
              <w:t>ferences in the workplace, including modes of behaviour, and interactions and communication with others</w:t>
            </w:r>
          </w:p>
          <w:p w:rsidR="00000000" w:rsidRPr="0010783E" w:rsidP="0010783E">
            <w:pPr>
              <w:pStyle w:val="ListBullet"/>
            </w:pPr>
            <w:r w:rsidRPr="0010783E">
              <w:t>recognising situations warranting alterations to bridge team, including situations where vessel is under pilotage</w:t>
            </w:r>
          </w:p>
          <w:p w:rsidR="00000000" w:rsidRPr="0010783E" w:rsidP="0010783E">
            <w:pPr>
              <w:pStyle w:val="ListBullet"/>
            </w:pPr>
            <w:r w:rsidRPr="0010783E">
              <w:t>solving</w:t>
            </w:r>
            <w:r w:rsidRPr="0010783E">
              <w:t xml:space="preserve"> problems that may arise when managing bridge team</w:t>
            </w:r>
          </w:p>
          <w:p w:rsidR="00000000" w:rsidRPr="0010783E" w:rsidP="0010783E">
            <w:pPr>
              <w:pStyle w:val="ListBullet"/>
            </w:pPr>
            <w:r w:rsidRPr="0010783E">
              <w:t>taking prompt actions to report and/or rectify watchkeeping incidents according to established procedures</w:t>
            </w:r>
          </w:p>
          <w:p w:rsidR="00000000" w:rsidRPr="0010783E" w:rsidP="0010783E">
            <w:pPr>
              <w:pStyle w:val="ListBullet"/>
            </w:pPr>
            <w:r w:rsidRPr="0010783E">
              <w:t>using available technology when managing navigational watchkeeping activities.</w:t>
            </w:r>
          </w:p>
        </w:tc>
      </w:tr>
    </w:tbl>
    <w:p w:rsidR="00000000" w:rsidRPr="0010783E" w:rsidP="0010783E">
      <w:pPr>
        <w:pStyle w:val="NoPaddingFontSize1"/>
      </w:pPr>
    </w:p>
    <w:p w:rsidR="00000000" w:rsidRPr="0010783E" w:rsidP="0010783E">
      <w:pPr>
        <w:pStyle w:val="AllowPageBreak"/>
      </w:pPr>
    </w:p>
    <w:p w:rsidR="00000000" w:rsidRPr="0010783E" w:rsidP="0010783E">
      <w:pPr>
        <w:pStyle w:val="Heading1"/>
      </w:pPr>
      <w:bookmarkStart w:id="3" w:name="O_1285513"/>
      <w:bookmarkEnd w:id="3"/>
      <w:r w:rsidRPr="0010783E">
        <w:t>Knowledge Evidence</w:t>
      </w:r>
    </w:p>
    <w:tbl>
      <w:tblPr>
        <w:tblW w:w="9497" w:type="dxa"/>
        <w:tblLayout w:type="fixed"/>
        <w:tblCellMar>
          <w:left w:w="62" w:type="dxa"/>
          <w:right w:w="62" w:type="dxa"/>
        </w:tblCellMar>
        <w:tblLook w:val="0000"/>
      </w:tblPr>
      <w:tblGrid>
        <w:gridCol w:w="9497"/>
      </w:tblGrid>
      <w:tr w:rsidTr="001078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783E" w:rsidP="0010783E">
            <w:pPr>
              <w:pStyle w:val="BodyText"/>
            </w:pPr>
            <w:r w:rsidRPr="0010783E">
              <w:t>Evidence required to demonstrate competence in this unit must be relevant to and satisfy all of the requirements of the elements and performance criteria and include knowledge of:</w:t>
            </w:r>
          </w:p>
          <w:p w:rsidR="00000000" w:rsidRPr="0010783E" w:rsidP="0010783E">
            <w:pPr>
              <w:pStyle w:val="ListBullet"/>
            </w:pPr>
            <w:r w:rsidRPr="0010783E">
              <w:t>applicable legislation, regulations and codes of practi</w:t>
            </w:r>
            <w:r w:rsidRPr="0010783E">
              <w:t>ce</w:t>
            </w:r>
          </w:p>
          <w:p w:rsidR="00000000" w:rsidRPr="0010783E" w:rsidP="0010783E">
            <w:pPr>
              <w:pStyle w:val="ListBullet"/>
            </w:pPr>
            <w:r w:rsidRPr="0010783E">
              <w:t>bridge watch handover procedures</w:t>
            </w:r>
          </w:p>
          <w:p w:rsidR="00000000" w:rsidRPr="0010783E" w:rsidP="0010783E">
            <w:pPr>
              <w:pStyle w:val="ListBullet"/>
            </w:pPr>
            <w:r w:rsidRPr="0010783E">
              <w:t>causes of groundings, collisions and casualties when onboard vessel</w:t>
            </w:r>
          </w:p>
          <w:p w:rsidR="00000000" w:rsidRPr="0010783E" w:rsidP="0010783E">
            <w:pPr>
              <w:pStyle w:val="ListBullet"/>
            </w:pPr>
            <w:r w:rsidRPr="0010783E">
              <w:t>documentation and records, including:</w:t>
            </w:r>
          </w:p>
          <w:p w:rsidR="00000000" w:rsidRPr="0010783E" w:rsidP="0010783E">
            <w:pPr>
              <w:pStyle w:val="ListBullet2"/>
            </w:pPr>
            <w:r w:rsidRPr="0010783E">
              <w:t>company safety management system (SMS)</w:t>
            </w:r>
          </w:p>
          <w:p w:rsidR="00000000" w:rsidRPr="0010783E" w:rsidP="0010783E">
            <w:pPr>
              <w:pStyle w:val="ListBullet2"/>
            </w:pPr>
            <w:r w:rsidRPr="0010783E">
              <w:t>established passage plan</w:t>
            </w:r>
          </w:p>
          <w:p w:rsidR="00000000" w:rsidRPr="0010783E" w:rsidP="0010783E">
            <w:pPr>
              <w:pStyle w:val="ListBullet2"/>
            </w:pPr>
            <w:r w:rsidRPr="0010783E">
              <w:t>instructions of relevant maritime authorities</w:t>
            </w:r>
          </w:p>
          <w:p w:rsidR="00000000" w:rsidRPr="0010783E" w:rsidP="0010783E">
            <w:pPr>
              <w:pStyle w:val="ListBullet2"/>
            </w:pPr>
            <w:r w:rsidRPr="0010783E">
              <w:t>Master standing and night orders</w:t>
            </w:r>
          </w:p>
          <w:p w:rsidR="00000000" w:rsidRPr="0010783E" w:rsidP="0010783E">
            <w:pPr>
              <w:pStyle w:val="ListBullet2"/>
            </w:pPr>
            <w:r w:rsidRPr="0010783E">
              <w:t>navigational charts</w:t>
            </w:r>
          </w:p>
          <w:p w:rsidR="00000000" w:rsidRPr="0010783E" w:rsidP="0010783E">
            <w:pPr>
              <w:pStyle w:val="ListBullet2"/>
            </w:pPr>
            <w:r w:rsidRPr="0010783E">
              <w:t>operational orders</w:t>
            </w:r>
          </w:p>
          <w:p w:rsidR="00000000" w:rsidRPr="0010783E" w:rsidP="0010783E">
            <w:pPr>
              <w:pStyle w:val="ListBullet2"/>
            </w:pPr>
            <w:r w:rsidRPr="0010783E">
              <w:t>relevant maritime regulations as they relate to watchkeeping functions and operations during a coastal voyage</w:t>
            </w:r>
          </w:p>
          <w:p w:rsidR="00000000" w:rsidRPr="0010783E" w:rsidP="0010783E">
            <w:pPr>
              <w:pStyle w:val="ListBullet2"/>
            </w:pPr>
            <w:r w:rsidRPr="0010783E">
              <w:t>vessel log</w:t>
            </w:r>
          </w:p>
          <w:p w:rsidR="00000000" w:rsidRPr="0010783E" w:rsidP="0010783E">
            <w:pPr>
              <w:pStyle w:val="ListBullet"/>
            </w:pPr>
            <w:r w:rsidRPr="0010783E">
              <w:t xml:space="preserve">emergency situations </w:t>
            </w:r>
          </w:p>
          <w:p w:rsidR="00000000" w:rsidRPr="0010783E" w:rsidP="0010783E">
            <w:pPr>
              <w:pStyle w:val="ListBullet"/>
            </w:pPr>
            <w:r w:rsidRPr="0010783E">
              <w:t>fatigue management principles and techni</w:t>
            </w:r>
            <w:r w:rsidRPr="0010783E">
              <w:t xml:space="preserve">ques </w:t>
            </w:r>
          </w:p>
          <w:p w:rsidR="00000000" w:rsidRPr="0010783E" w:rsidP="0010783E">
            <w:pPr>
              <w:pStyle w:val="ListBullet"/>
            </w:pPr>
            <w:r w:rsidRPr="0010783E">
              <w:t>International Regulations for Preventing Collisions at Sea (COLREGs)</w:t>
            </w:r>
          </w:p>
          <w:p w:rsidR="00000000" w:rsidRPr="0010783E" w:rsidP="0010783E">
            <w:pPr>
              <w:pStyle w:val="ListBullet"/>
            </w:pPr>
            <w:r w:rsidRPr="0010783E">
              <w:t>navigational aids, including:</w:t>
            </w:r>
          </w:p>
          <w:p w:rsidR="00000000" w:rsidRPr="0010783E" w:rsidP="0010783E">
            <w:pPr>
              <w:pStyle w:val="ListBullet2"/>
            </w:pPr>
            <w:r w:rsidRPr="0010783E">
              <w:t>compass and azimuth mirror</w:t>
            </w:r>
          </w:p>
          <w:p w:rsidR="00000000" w:rsidRPr="0010783E" w:rsidP="0010783E">
            <w:pPr>
              <w:pStyle w:val="ListBullet2"/>
            </w:pPr>
            <w:r w:rsidRPr="0010783E">
              <w:t>electronic charts</w:t>
            </w:r>
          </w:p>
          <w:p w:rsidR="00000000" w:rsidRPr="0010783E" w:rsidP="0010783E">
            <w:pPr>
              <w:pStyle w:val="ListBullet2"/>
            </w:pPr>
            <w:r w:rsidRPr="0010783E">
              <w:t>electronic navigation systems</w:t>
            </w:r>
          </w:p>
          <w:p w:rsidR="00000000" w:rsidRPr="0010783E" w:rsidP="0010783E">
            <w:pPr>
              <w:pStyle w:val="ListBullet2"/>
            </w:pPr>
            <w:r w:rsidRPr="0010783E">
              <w:t>radar</w:t>
            </w:r>
          </w:p>
          <w:p w:rsidR="00000000" w:rsidRPr="0010783E" w:rsidP="0010783E">
            <w:pPr>
              <w:pStyle w:val="ListBullet"/>
            </w:pPr>
            <w:r w:rsidRPr="0010783E">
              <w:t>navigational hazards during voyage and implications for watchkeeping</w:t>
            </w:r>
          </w:p>
          <w:p w:rsidR="00000000" w:rsidRPr="0010783E" w:rsidP="0010783E">
            <w:pPr>
              <w:pStyle w:val="ListBullet"/>
            </w:pPr>
            <w:r w:rsidRPr="0010783E">
              <w:t>precautions necessary when navigating in or near traffic separation schemes or other routeing measures</w:t>
            </w:r>
          </w:p>
          <w:p w:rsidR="00000000" w:rsidRPr="0010783E" w:rsidP="0010783E">
            <w:pPr>
              <w:pStyle w:val="ListBullet"/>
            </w:pPr>
            <w:r w:rsidRPr="0010783E">
              <w:t xml:space="preserve">principles for maintaining a safe navigational watch on vessels with potentially limited qualified personnel </w:t>
            </w:r>
          </w:p>
          <w:p w:rsidR="00000000" w:rsidRPr="0010783E" w:rsidP="0010783E">
            <w:pPr>
              <w:pStyle w:val="ListBullet"/>
            </w:pPr>
            <w:r w:rsidRPr="0010783E">
              <w:t>principles of bridge team management</w:t>
            </w:r>
          </w:p>
          <w:p w:rsidR="00000000" w:rsidRPr="0010783E" w:rsidP="0010783E">
            <w:pPr>
              <w:pStyle w:val="ListBullet"/>
            </w:pPr>
            <w:r w:rsidRPr="0010783E">
              <w:t>range</w:t>
            </w:r>
            <w:r w:rsidRPr="0010783E">
              <w:t xml:space="preserve"> of factors that can affect watchkeeping functions on vessels under 500 gross tonnage (GT) and their implications, including:</w:t>
            </w:r>
          </w:p>
          <w:p w:rsidR="00000000" w:rsidRPr="0010783E" w:rsidP="0010783E">
            <w:pPr>
              <w:pStyle w:val="ListBullet2"/>
            </w:pPr>
            <w:r w:rsidRPr="0010783E">
              <w:t>attention necessary when navigating in or near traffic separation schemes or other routeing measures</w:t>
            </w:r>
          </w:p>
          <w:p w:rsidR="00000000" w:rsidRPr="0010783E" w:rsidP="0010783E">
            <w:pPr>
              <w:pStyle w:val="ListBullet2"/>
            </w:pPr>
            <w:r w:rsidRPr="0010783E">
              <w:t>maintaining proper lookout b</w:t>
            </w:r>
            <w:r w:rsidRPr="0010783E">
              <w:t>y all available means at all times</w:t>
            </w:r>
          </w:p>
          <w:p w:rsidR="00000000" w:rsidRPr="0010783E" w:rsidP="0010783E">
            <w:pPr>
              <w:pStyle w:val="ListBullet2"/>
            </w:pPr>
            <w:r w:rsidRPr="0010783E">
              <w:t>need to adhere to established passage plan</w:t>
            </w:r>
          </w:p>
          <w:p w:rsidR="00000000" w:rsidRPr="0010783E" w:rsidP="0010783E">
            <w:pPr>
              <w:pStyle w:val="ListBullet2"/>
            </w:pPr>
            <w:r w:rsidRPr="0010783E">
              <w:t>never leaving the bridge unattended</w:t>
            </w:r>
          </w:p>
          <w:p w:rsidR="00000000" w:rsidRPr="0010783E" w:rsidP="0010783E">
            <w:pPr>
              <w:pStyle w:val="ListBullet2"/>
            </w:pPr>
            <w:r w:rsidRPr="0010783E">
              <w:t>operational status of bridge instrumentation, controls and alarms and failure</w:t>
            </w:r>
          </w:p>
          <w:p w:rsidR="00000000" w:rsidRPr="0010783E" w:rsidP="0010783E">
            <w:pPr>
              <w:pStyle w:val="ListBullet2"/>
            </w:pPr>
            <w:r w:rsidRPr="0010783E">
              <w:t xml:space="preserve">provision on bridge of unmanned machinery space (UMS) controls, </w:t>
            </w:r>
            <w:r w:rsidRPr="0010783E">
              <w:t>alarms and indicators, including loss of:</w:t>
            </w:r>
          </w:p>
          <w:p w:rsidR="00000000" w:rsidRPr="0010783E" w:rsidP="0010783E">
            <w:pPr>
              <w:pStyle w:val="ListBullet3"/>
            </w:pPr>
            <w:r w:rsidRPr="0010783E">
              <w:t>main engines</w:t>
            </w:r>
          </w:p>
          <w:p w:rsidR="00000000" w:rsidRPr="0010783E" w:rsidP="0010783E">
            <w:pPr>
              <w:pStyle w:val="ListBullet3"/>
            </w:pPr>
            <w:r w:rsidRPr="0010783E">
              <w:t>mooring lines or winches when berthing</w:t>
            </w:r>
          </w:p>
          <w:p w:rsidR="00000000" w:rsidRPr="0010783E" w:rsidP="0010783E">
            <w:pPr>
              <w:pStyle w:val="ListBullet3"/>
            </w:pPr>
            <w:r w:rsidRPr="0010783E">
              <w:t>watertight integrity</w:t>
            </w:r>
          </w:p>
          <w:p w:rsidR="00000000" w:rsidRPr="0010783E" w:rsidP="0010783E">
            <w:pPr>
              <w:pStyle w:val="ListBullet2"/>
            </w:pPr>
            <w:r w:rsidRPr="0010783E">
              <w:t>proximity of navigational hazards</w:t>
            </w:r>
          </w:p>
          <w:p w:rsidR="00000000" w:rsidRPr="0010783E" w:rsidP="0010783E">
            <w:pPr>
              <w:pStyle w:val="ListBullet2"/>
            </w:pPr>
            <w:r w:rsidRPr="0010783E">
              <w:t>rudder and propeller control and vessel manoeuvring characteristics</w:t>
            </w:r>
          </w:p>
          <w:p w:rsidR="00000000" w:rsidRPr="0010783E" w:rsidP="0010783E">
            <w:pPr>
              <w:pStyle w:val="ListBullet2"/>
            </w:pPr>
            <w:r w:rsidRPr="0010783E">
              <w:t>size of vessel and field of vision available from conning position</w:t>
            </w:r>
          </w:p>
          <w:p w:rsidR="00000000" w:rsidRPr="0010783E" w:rsidP="0010783E">
            <w:pPr>
              <w:pStyle w:val="ListBullet2"/>
            </w:pPr>
            <w:r w:rsidRPr="0010783E">
              <w:t>traffic density and other activities occurring in area in which vessel is navigating</w:t>
            </w:r>
          </w:p>
          <w:p w:rsidR="00000000" w:rsidRPr="0010783E" w:rsidP="0010783E">
            <w:pPr>
              <w:pStyle w:val="ListBullet2"/>
            </w:pPr>
            <w:r w:rsidRPr="0010783E">
              <w:t>unusual demands on navigational watch arising from operational conditions</w:t>
            </w:r>
          </w:p>
          <w:p w:rsidR="00000000" w:rsidRPr="0010783E" w:rsidP="0010783E">
            <w:pPr>
              <w:pStyle w:val="ListBullet2"/>
            </w:pPr>
            <w:r w:rsidRPr="0010783E">
              <w:t xml:space="preserve">use and operational condition </w:t>
            </w:r>
            <w:r w:rsidRPr="0010783E">
              <w:t>of navigational aids and failure of bridge equipment, steering equipment and navigational lights</w:t>
            </w:r>
          </w:p>
          <w:p w:rsidR="00000000" w:rsidRPr="0010783E" w:rsidP="0010783E">
            <w:pPr>
              <w:pStyle w:val="ListBullet2"/>
            </w:pPr>
            <w:r w:rsidRPr="0010783E">
              <w:t>weather and sea conditions, visibility and whether there is daylight or darkness</w:t>
            </w:r>
          </w:p>
          <w:p w:rsidR="00000000" w:rsidRPr="0010783E" w:rsidP="0010783E">
            <w:pPr>
              <w:pStyle w:val="ListBullet"/>
            </w:pPr>
            <w:r w:rsidRPr="0010783E">
              <w:t>relevant work health and safety (WHS)/occupational health and safety (OHS) le</w:t>
            </w:r>
            <w:r w:rsidRPr="0010783E">
              <w:t>gislation and policies</w:t>
            </w:r>
          </w:p>
          <w:p w:rsidR="00000000" w:rsidRPr="0010783E" w:rsidP="0010783E">
            <w:pPr>
              <w:pStyle w:val="ListBullet"/>
            </w:pPr>
            <w:r w:rsidRPr="0010783E">
              <w:t>responsibility for safety of navigation, including:</w:t>
            </w:r>
          </w:p>
          <w:p w:rsidR="00000000" w:rsidRPr="0010783E" w:rsidP="0010783E">
            <w:pPr>
              <w:pStyle w:val="ListBullet2"/>
            </w:pPr>
            <w:r w:rsidRPr="0010783E">
              <w:t>periods under pilotage</w:t>
            </w:r>
          </w:p>
          <w:p w:rsidR="00000000" w:rsidRPr="0010783E" w:rsidP="0010783E">
            <w:pPr>
              <w:pStyle w:val="ListBullet2"/>
            </w:pPr>
            <w:r w:rsidRPr="0010783E">
              <w:t>periods when Master is on bridge.</w:t>
            </w:r>
          </w:p>
        </w:tc>
      </w:tr>
    </w:tbl>
    <w:p w:rsidR="00000000" w:rsidRPr="0010783E" w:rsidP="0010783E">
      <w:pPr>
        <w:pStyle w:val="BodyText"/>
      </w:pPr>
    </w:p>
    <w:p w:rsidR="00000000" w:rsidRPr="0010783E" w:rsidP="0010783E">
      <w:pPr>
        <w:pStyle w:val="AllowPageBreak"/>
      </w:pPr>
    </w:p>
    <w:p w:rsidR="00000000" w:rsidRPr="0010783E" w:rsidP="0010783E">
      <w:pPr>
        <w:pStyle w:val="Heading1"/>
      </w:pPr>
      <w:bookmarkStart w:id="4" w:name="O_1285512"/>
      <w:bookmarkEnd w:id="4"/>
      <w:r w:rsidRPr="0010783E">
        <w:t>Assessment Conditions</w:t>
      </w:r>
    </w:p>
    <w:tbl>
      <w:tblPr>
        <w:tblW w:w="9497" w:type="dxa"/>
        <w:tblLayout w:type="fixed"/>
        <w:tblCellMar>
          <w:left w:w="62" w:type="dxa"/>
          <w:right w:w="62" w:type="dxa"/>
        </w:tblCellMar>
        <w:tblLook w:val="0000"/>
      </w:tblPr>
      <w:tblGrid>
        <w:gridCol w:w="9497"/>
      </w:tblGrid>
      <w:tr w:rsidTr="001078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783E" w:rsidP="0010783E">
            <w:pPr>
              <w:pStyle w:val="BodyText"/>
            </w:pPr>
            <w:r w:rsidRPr="0010783E">
              <w:t>Assessors must hold credentials specified within the Standards for Registered Training Organisations current at the time of assessment.</w:t>
            </w:r>
          </w:p>
          <w:p w:rsidR="00000000" w:rsidRPr="0010783E" w:rsidP="0010783E">
            <w:pPr>
              <w:pStyle w:val="BodyText"/>
            </w:pPr>
            <w:r w:rsidRPr="0010783E">
              <w:t>Assessment must satisfy the Principles of Assessment and Rules of Evidence and all regulatory requirements included within the Standards for Registered Training Organisations current at the time of assessment.</w:t>
            </w:r>
          </w:p>
          <w:p w:rsidR="00000000" w:rsidRPr="0010783E" w:rsidP="0010783E">
            <w:pPr>
              <w:pStyle w:val="BodyText"/>
            </w:pPr>
            <w:r w:rsidRPr="0010783E">
              <w:t>Assessment processes and techniques must be ap</w:t>
            </w:r>
            <w:r w:rsidRPr="0010783E">
              <w:t>propriate to the language, literacy and numeracy requirements of the work being performed and the needs of the candidate.</w:t>
            </w:r>
          </w:p>
          <w:p w:rsidR="00000000" w:rsidRPr="0010783E" w:rsidP="0010783E">
            <w:pPr>
              <w:pStyle w:val="BodyText"/>
            </w:pPr>
            <w:r w:rsidRPr="0010783E">
              <w:t xml:space="preserve">Practical assessment must occur in a workplace, or realistic simulated workplace, under the normal range of workplace conditions. </w:t>
            </w:r>
          </w:p>
          <w:p w:rsidR="00000000" w:rsidRPr="0010783E" w:rsidP="0010783E">
            <w:pPr>
              <w:pStyle w:val="BodyText"/>
            </w:pPr>
            <w:r w:rsidRPr="0010783E">
              <w:t>Sim</w:t>
            </w:r>
            <w:r w:rsidRPr="0010783E">
              <w:t xml:space="preserve">ulations and scenarios may be used where situations cannot be provided in the workplace or may occur only rarely, in particular for situations relating to emergency procedures and adverse weather conditions where assessment would be unsafe, impractical or </w:t>
            </w:r>
            <w:r w:rsidRPr="0010783E">
              <w:t>may lead to environmental damage.</w:t>
            </w:r>
          </w:p>
          <w:p w:rsidR="00000000" w:rsidRPr="0010783E" w:rsidP="0010783E">
            <w:pPr>
              <w:pStyle w:val="BodyText"/>
            </w:pPr>
            <w:r w:rsidRPr="0010783E">
              <w:t>Resources for assessment must include access to:</w:t>
            </w:r>
          </w:p>
          <w:p w:rsidR="00000000" w:rsidRPr="0010783E" w:rsidP="0010783E">
            <w:pPr>
              <w:pStyle w:val="ListBullet"/>
            </w:pPr>
            <w:r w:rsidRPr="0010783E">
              <w:t>applicable documentation, such as legislation, regulations, codes of practice, workplace procedures and operational manuals</w:t>
            </w:r>
          </w:p>
          <w:p w:rsidR="00000000" w:rsidRPr="0010783E" w:rsidP="0010783E">
            <w:pPr>
              <w:pStyle w:val="ListBullet"/>
            </w:pPr>
            <w:r w:rsidRPr="0010783E">
              <w:t>tools, equipment, machinery, materials and relev</w:t>
            </w:r>
            <w:r w:rsidRPr="0010783E">
              <w:t>ant personal protective equipment (PPE) currently used in industry.</w:t>
            </w:r>
          </w:p>
        </w:tc>
      </w:tr>
    </w:tbl>
    <w:p w:rsidR="00000000" w:rsidRPr="0010783E" w:rsidP="0010783E">
      <w:pPr>
        <w:pStyle w:val="NoPaddingFontSize1"/>
      </w:pPr>
    </w:p>
    <w:p w:rsidR="00000000" w:rsidRPr="0010783E" w:rsidP="0010783E">
      <w:pPr>
        <w:pStyle w:val="AllowPageBreak"/>
      </w:pPr>
    </w:p>
    <w:p w:rsidR="00000000" w:rsidRPr="0010783E" w:rsidP="0010783E">
      <w:pPr>
        <w:pStyle w:val="Heading1"/>
      </w:pPr>
      <w:bookmarkStart w:id="5" w:name="O_1285527"/>
      <w:bookmarkEnd w:id="5"/>
      <w:r w:rsidRPr="0010783E">
        <w:t>Links</w:t>
      </w:r>
    </w:p>
    <w:p w:rsidR="00000000" w:rsidRPr="0010783E" w:rsidP="00763843">
      <w:pPr>
        <w:pStyle w:val="BodyText"/>
      </w:pPr>
      <w:r w:rsidRPr="0010783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B106B">
        <w:rPr>
          <w:rStyle w:val="Hyperlink"/>
        </w:rPr>
        <w:t>https://vetnet.gov.au/Pages/TrainingDocs.aspx?q=772efb7b-4cce-47fe-9bbd-ee3b1d1eb4c2</w:t>
      </w:r>
      <w:r>
        <w:fldChar w:fldCharType="end"/>
      </w:r>
    </w:p>
    <w:p w:rsidR="00000000" w:rsidRPr="0010783E" w:rsidP="0010783E"/>
    <w:sectPr w:rsidSect="001078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8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83E" w:rsidRPr="00763843" w:rsidP="007638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8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843" w:rsidP="001078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3843" w:rsidP="0010783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763843" w:rsidP="001078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8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8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783E" w:rsidRPr="00763843" w:rsidP="007638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8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843" w:rsidRPr="002D2AF8" w:rsidP="0010783E">
    <w:pPr>
      <w:pStyle w:val="Header"/>
      <w:framePr w:wrap="around"/>
    </w:pPr>
    <w:r>
      <w:fldChar w:fldCharType="begin"/>
    </w:r>
    <w:r>
      <w:instrText xml:space="preserve"> TITLE   \* MERGEFORMAT </w:instrText>
    </w:r>
    <w:r>
      <w:fldChar w:fldCharType="separate"/>
    </w:r>
    <w:r>
      <w:t>Assessment Requirements for MARH018 Apply command navigation procedures on vessels limited by tonnage or near coastal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763843" w:rsidP="001078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0AFF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7A1A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E038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8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783E"/>
    <w:pPr>
      <w:spacing w:before="360" w:after="60"/>
      <w:outlineLvl w:val="0"/>
    </w:pPr>
    <w:rPr>
      <w:sz w:val="32"/>
    </w:rPr>
  </w:style>
  <w:style w:type="paragraph" w:styleId="Heading2">
    <w:name w:val="heading 2"/>
    <w:basedOn w:val="HeadingBase"/>
    <w:next w:val="BodyText"/>
    <w:link w:val="Heading2Char"/>
    <w:qFormat/>
    <w:rsid w:val="0010783E"/>
    <w:pPr>
      <w:keepLines/>
      <w:spacing w:before="240" w:after="120"/>
      <w:outlineLvl w:val="1"/>
    </w:pPr>
    <w:rPr>
      <w:sz w:val="28"/>
      <w:szCs w:val="40"/>
    </w:rPr>
  </w:style>
  <w:style w:type="paragraph" w:styleId="Heading3">
    <w:name w:val="heading 3"/>
    <w:basedOn w:val="HeadingBase"/>
    <w:next w:val="BodyText"/>
    <w:link w:val="Heading3Char"/>
    <w:qFormat/>
    <w:rsid w:val="0010783E"/>
    <w:pPr>
      <w:spacing w:before="180" w:after="120"/>
      <w:outlineLvl w:val="2"/>
    </w:pPr>
    <w:rPr>
      <w:spacing w:val="-10"/>
      <w:kern w:val="32"/>
    </w:rPr>
  </w:style>
  <w:style w:type="paragraph" w:styleId="Heading4">
    <w:name w:val="heading 4"/>
    <w:basedOn w:val="HeadingBase"/>
    <w:next w:val="BodyText"/>
    <w:link w:val="Heading4Char"/>
    <w:qFormat/>
    <w:rsid w:val="0010783E"/>
    <w:pPr>
      <w:spacing w:before="160" w:after="120"/>
      <w:outlineLvl w:val="3"/>
    </w:pPr>
    <w:rPr>
      <w:sz w:val="22"/>
    </w:rPr>
  </w:style>
  <w:style w:type="paragraph" w:styleId="Heading5">
    <w:name w:val="heading 5"/>
    <w:basedOn w:val="HeadingBase"/>
    <w:next w:val="Normal"/>
    <w:link w:val="Heading5Char"/>
    <w:qFormat/>
    <w:rsid w:val="0010783E"/>
    <w:pPr>
      <w:spacing w:before="80"/>
      <w:outlineLvl w:val="4"/>
    </w:pPr>
    <w:rPr>
      <w:color w:val="918585"/>
      <w:sz w:val="20"/>
    </w:rPr>
  </w:style>
  <w:style w:type="paragraph" w:styleId="Heading6">
    <w:name w:val="heading 6"/>
    <w:basedOn w:val="HeadingBase"/>
    <w:next w:val="Normal"/>
    <w:link w:val="Heading6Char"/>
    <w:qFormat/>
    <w:rsid w:val="0010783E"/>
    <w:pPr>
      <w:spacing w:before="60"/>
      <w:outlineLvl w:val="5"/>
    </w:pPr>
    <w:rPr>
      <w:color w:val="918585"/>
      <w:sz w:val="20"/>
    </w:rPr>
  </w:style>
  <w:style w:type="paragraph" w:styleId="Heading7">
    <w:name w:val="heading 7"/>
    <w:basedOn w:val="Normal"/>
    <w:next w:val="Normal"/>
    <w:link w:val="Heading7Char"/>
    <w:qFormat/>
    <w:rsid w:val="0010783E"/>
    <w:pPr>
      <w:ind w:left="720"/>
      <w:outlineLvl w:val="6"/>
    </w:pPr>
    <w:rPr>
      <w:i/>
    </w:rPr>
  </w:style>
  <w:style w:type="paragraph" w:styleId="Heading8">
    <w:name w:val="heading 8"/>
    <w:basedOn w:val="Normal"/>
    <w:next w:val="Normal"/>
    <w:link w:val="Heading8Char"/>
    <w:qFormat/>
    <w:rsid w:val="0010783E"/>
    <w:pPr>
      <w:ind w:left="720"/>
      <w:outlineLvl w:val="7"/>
    </w:pPr>
    <w:rPr>
      <w:i/>
    </w:rPr>
  </w:style>
  <w:style w:type="paragraph" w:styleId="Heading9">
    <w:name w:val="heading 9"/>
    <w:basedOn w:val="Normal"/>
    <w:next w:val="Normal"/>
    <w:link w:val="Heading9Char"/>
    <w:qFormat/>
    <w:rsid w:val="0010783E"/>
    <w:pPr>
      <w:ind w:left="720"/>
      <w:outlineLvl w:val="8"/>
    </w:pPr>
    <w:rPr>
      <w:i/>
    </w:rPr>
  </w:style>
  <w:style w:type="character" w:default="1" w:styleId="DefaultParagraphFont">
    <w:name w:val="Default Paragraph Font"/>
    <w:uiPriority w:val="1"/>
    <w:unhideWhenUsed/>
    <w:rsid w:val="001078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783E"/>
  </w:style>
  <w:style w:type="character" w:customStyle="1" w:styleId="Heading1Char">
    <w:name w:val="Heading 1 Char"/>
    <w:basedOn w:val="DefaultParagraphFont"/>
    <w:link w:val="Heading1"/>
    <w:rsid w:val="0010783E"/>
    <w:rPr>
      <w:rFonts w:ascii="Times New Roman" w:eastAsia="Times New Roman" w:hAnsi="Times New Roman" w:cs="Times New Roman"/>
      <w:b/>
      <w:sz w:val="32"/>
      <w:szCs w:val="20"/>
      <w:lang w:eastAsia="en-US"/>
    </w:rPr>
  </w:style>
  <w:style w:type="paragraph" w:styleId="BodyText">
    <w:name w:val="Body Text"/>
    <w:basedOn w:val="Normal"/>
    <w:link w:val="BodyTextChar"/>
    <w:rsid w:val="001078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783E"/>
    <w:rPr>
      <w:rFonts w:ascii="Times New Roman" w:eastAsia="Times New Roman" w:hAnsi="Times New Roman" w:cs="Times New Roman"/>
      <w:sz w:val="24"/>
      <w:lang w:eastAsia="en-US"/>
    </w:rPr>
  </w:style>
  <w:style w:type="paragraph" w:styleId="ListBullet">
    <w:name w:val="List Bullet"/>
    <w:basedOn w:val="List"/>
    <w:rsid w:val="0010783E"/>
    <w:pPr>
      <w:numPr>
        <w:numId w:val="13"/>
      </w:numPr>
      <w:tabs>
        <w:tab w:val="clear" w:pos="340"/>
      </w:tabs>
      <w:spacing w:before="40" w:after="40"/>
    </w:pPr>
  </w:style>
  <w:style w:type="character" w:customStyle="1" w:styleId="SpecialBold">
    <w:name w:val="Special Bold"/>
    <w:basedOn w:val="DefaultParagraphFont"/>
    <w:rsid w:val="0010783E"/>
    <w:rPr>
      <w:b/>
      <w:spacing w:val="0"/>
    </w:rPr>
  </w:style>
  <w:style w:type="paragraph" w:styleId="ListBullet2">
    <w:name w:val="List Bullet 2"/>
    <w:basedOn w:val="List2"/>
    <w:rsid w:val="0010783E"/>
    <w:pPr>
      <w:numPr>
        <w:numId w:val="14"/>
      </w:numPr>
      <w:tabs>
        <w:tab w:val="clear" w:pos="680"/>
      </w:tabs>
    </w:pPr>
  </w:style>
  <w:style w:type="paragraph" w:customStyle="1" w:styleId="SuperHeading">
    <w:name w:val="SuperHeading"/>
    <w:basedOn w:val="Normal"/>
    <w:rsid w:val="0010783E"/>
    <w:pPr>
      <w:spacing w:before="240" w:after="120"/>
      <w:outlineLvl w:val="0"/>
    </w:pPr>
    <w:rPr>
      <w:rFonts w:ascii="Times New Roman" w:hAnsi="Times New Roman"/>
      <w:b/>
      <w:sz w:val="32"/>
    </w:rPr>
  </w:style>
  <w:style w:type="paragraph" w:customStyle="1" w:styleId="AllowPageBreak">
    <w:name w:val="AllowPageBreak"/>
    <w:rsid w:val="0010783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0783E"/>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078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78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78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78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78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78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78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783E"/>
    <w:rPr>
      <w:rFonts w:ascii="Courier New" w:eastAsia="Times New Roman" w:hAnsi="Courier New" w:cs="Times New Roman"/>
      <w:i/>
      <w:szCs w:val="20"/>
      <w:lang w:eastAsia="en-US"/>
    </w:rPr>
  </w:style>
  <w:style w:type="paragraph" w:customStyle="1" w:styleId="HeadingBase">
    <w:name w:val="Heading Base"/>
    <w:rsid w:val="001078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783E"/>
    <w:pPr>
      <w:tabs>
        <w:tab w:val="right" w:leader="dot" w:pos="9072"/>
      </w:tabs>
      <w:ind w:left="567"/>
    </w:pPr>
    <w:rPr>
      <w:szCs w:val="22"/>
    </w:rPr>
  </w:style>
  <w:style w:type="paragraph" w:customStyle="1" w:styleId="TOCBase">
    <w:name w:val="TOC Base"/>
    <w:rsid w:val="001078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783E"/>
    <w:pPr>
      <w:tabs>
        <w:tab w:val="right" w:leader="dot" w:pos="9072"/>
      </w:tabs>
      <w:spacing w:before="40" w:after="40"/>
      <w:ind w:left="284"/>
    </w:pPr>
    <w:rPr>
      <w:rFonts w:ascii="Times New Roman" w:hAnsi="Times New Roman"/>
    </w:rPr>
  </w:style>
  <w:style w:type="paragraph" w:styleId="TOC1">
    <w:name w:val="toc 1"/>
    <w:basedOn w:val="TOCBase"/>
    <w:next w:val="Normal"/>
    <w:rsid w:val="001078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78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783E"/>
    <w:rPr>
      <w:rFonts w:ascii="Times New Roman" w:eastAsia="Times New Roman" w:hAnsi="Times New Roman" w:cs="Times New Roman"/>
      <w:sz w:val="16"/>
      <w:lang w:eastAsia="en-US"/>
    </w:rPr>
  </w:style>
  <w:style w:type="paragraph" w:styleId="Title">
    <w:name w:val="Title"/>
    <w:basedOn w:val="HeadingBase"/>
    <w:link w:val="TitleChar"/>
    <w:qFormat/>
    <w:rsid w:val="0010783E"/>
    <w:pPr>
      <w:spacing w:before="5040"/>
      <w:jc w:val="center"/>
    </w:pPr>
    <w:rPr>
      <w:sz w:val="48"/>
      <w:szCs w:val="72"/>
      <w:lang w:val="en-US"/>
    </w:rPr>
  </w:style>
  <w:style w:type="character" w:customStyle="1" w:styleId="TitleChar">
    <w:name w:val="Title Char"/>
    <w:basedOn w:val="DefaultParagraphFont"/>
    <w:link w:val="Title"/>
    <w:rsid w:val="001078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783E"/>
    <w:pPr>
      <w:tabs>
        <w:tab w:val="left" w:pos="3600"/>
        <w:tab w:val="left" w:pos="3958"/>
      </w:tabs>
    </w:pPr>
  </w:style>
  <w:style w:type="paragraph" w:styleId="List">
    <w:name w:val="List"/>
    <w:basedOn w:val="BodyText"/>
    <w:next w:val="BodyText"/>
    <w:rsid w:val="0010783E"/>
    <w:pPr>
      <w:tabs>
        <w:tab w:val="left" w:pos="340"/>
      </w:tabs>
      <w:spacing w:before="60" w:after="60"/>
      <w:ind w:left="340" w:hanging="340"/>
    </w:pPr>
  </w:style>
  <w:style w:type="paragraph" w:customStyle="1" w:styleId="Note">
    <w:name w:val="Note"/>
    <w:basedOn w:val="BodyText"/>
    <w:rsid w:val="001078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783E"/>
    <w:pPr>
      <w:framePr w:wrap="auto" w:hAnchor="text" w:y="6049"/>
    </w:pPr>
    <w:rPr>
      <w:color w:val="000000"/>
      <w:sz w:val="40"/>
    </w:rPr>
  </w:style>
  <w:style w:type="paragraph" w:customStyle="1" w:styleId="TOCTitle">
    <w:name w:val="TOCTitle"/>
    <w:basedOn w:val="Heading1"/>
    <w:rsid w:val="0010783E"/>
    <w:pPr>
      <w:spacing w:after="240"/>
      <w:jc w:val="center"/>
      <w:outlineLvl w:val="9"/>
    </w:pPr>
    <w:rPr>
      <w:caps/>
    </w:rPr>
  </w:style>
  <w:style w:type="paragraph" w:customStyle="1" w:styleId="Version">
    <w:name w:val="Version"/>
    <w:rsid w:val="001078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783E"/>
    <w:pPr>
      <w:keepNext w:val="0"/>
      <w:tabs>
        <w:tab w:val="right" w:pos="4176"/>
      </w:tabs>
      <w:ind w:left="198" w:hanging="198"/>
    </w:pPr>
    <w:rPr>
      <w:rFonts w:ascii="Garamond" w:hAnsi="Garamond"/>
    </w:rPr>
  </w:style>
  <w:style w:type="paragraph" w:styleId="IndexHeading">
    <w:name w:val="index heading"/>
    <w:basedOn w:val="Normal"/>
    <w:next w:val="Index1"/>
    <w:semiHidden/>
    <w:rsid w:val="0010783E"/>
    <w:pPr>
      <w:spacing w:before="120" w:after="120"/>
    </w:pPr>
    <w:rPr>
      <w:rFonts w:ascii="Arial" w:hAnsi="Arial"/>
      <w:b/>
      <w:color w:val="918585"/>
      <w:sz w:val="24"/>
    </w:rPr>
  </w:style>
  <w:style w:type="paragraph" w:styleId="Header">
    <w:name w:val="header"/>
    <w:basedOn w:val="Normal"/>
    <w:link w:val="HeaderChar"/>
    <w:rsid w:val="001078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783E"/>
    <w:rPr>
      <w:rFonts w:ascii="Times New Roman" w:eastAsia="Times New Roman" w:hAnsi="Times New Roman" w:cs="Times New Roman"/>
      <w:sz w:val="16"/>
      <w:szCs w:val="20"/>
      <w:lang w:val="en-GB" w:eastAsia="en-US"/>
    </w:rPr>
  </w:style>
  <w:style w:type="paragraph" w:customStyle="1" w:styleId="Chapter">
    <w:name w:val="Chapter"/>
    <w:basedOn w:val="Normal"/>
    <w:rsid w:val="0010783E"/>
    <w:pPr>
      <w:spacing w:before="240"/>
    </w:pPr>
    <w:rPr>
      <w:rFonts w:ascii="Times New Roman" w:hAnsi="Times New Roman"/>
      <w:smallCaps/>
      <w:spacing w:val="80"/>
      <w:sz w:val="28"/>
    </w:rPr>
  </w:style>
  <w:style w:type="paragraph" w:customStyle="1" w:styleId="InChapter">
    <w:name w:val="InChapter"/>
    <w:basedOn w:val="Heading3"/>
    <w:rsid w:val="0010783E"/>
    <w:pPr>
      <w:spacing w:after="240"/>
      <w:outlineLvl w:val="9"/>
    </w:pPr>
    <w:rPr>
      <w:noProof/>
    </w:rPr>
  </w:style>
  <w:style w:type="paragraph" w:styleId="Index2">
    <w:name w:val="index 2"/>
    <w:basedOn w:val="Normal"/>
    <w:next w:val="Normal"/>
    <w:semiHidden/>
    <w:rsid w:val="0010783E"/>
    <w:pPr>
      <w:tabs>
        <w:tab w:val="right" w:pos="4176"/>
      </w:tabs>
      <w:ind w:left="568" w:hanging="284"/>
    </w:pPr>
    <w:rPr>
      <w:rFonts w:ascii="Garamond" w:hAnsi="Garamond"/>
    </w:rPr>
  </w:style>
  <w:style w:type="paragraph" w:customStyle="1" w:styleId="Byline">
    <w:name w:val="Byline"/>
    <w:rsid w:val="001078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783E"/>
    <w:pPr>
      <w:tabs>
        <w:tab w:val="clear" w:pos="3600"/>
        <w:tab w:val="clear" w:pos="3958"/>
      </w:tabs>
      <w:jc w:val="right"/>
    </w:pPr>
  </w:style>
  <w:style w:type="character" w:styleId="Emphasis">
    <w:name w:val="Emphasis"/>
    <w:basedOn w:val="DefaultParagraphFont"/>
    <w:qFormat/>
    <w:rsid w:val="0010783E"/>
    <w:rPr>
      <w:i/>
    </w:rPr>
  </w:style>
  <w:style w:type="paragraph" w:styleId="Caption">
    <w:name w:val="caption"/>
    <w:basedOn w:val="BodyText"/>
    <w:next w:val="Normal"/>
    <w:qFormat/>
    <w:rsid w:val="0010783E"/>
    <w:pPr>
      <w:framePr w:w="2268" w:hSpace="181" w:vSpace="181" w:wrap="around" w:vAnchor="text" w:hAnchor="page" w:x="1135" w:y="285" w:anchorLock="1"/>
    </w:pPr>
    <w:rPr>
      <w:i/>
    </w:rPr>
  </w:style>
  <w:style w:type="paragraph" w:customStyle="1" w:styleId="MiniTOCTitle">
    <w:name w:val="MiniTOCTitle"/>
    <w:basedOn w:val="Heading4"/>
    <w:rsid w:val="0010783E"/>
    <w:pPr>
      <w:spacing w:before="240"/>
      <w:outlineLvl w:val="9"/>
    </w:pPr>
    <w:rPr>
      <w:noProof/>
      <w:sz w:val="24"/>
    </w:rPr>
  </w:style>
  <w:style w:type="paragraph" w:customStyle="1" w:styleId="MiniTOCItem">
    <w:name w:val="MiniTOCItem"/>
    <w:basedOn w:val="ListBullet"/>
    <w:rsid w:val="0010783E"/>
    <w:pPr>
      <w:numPr>
        <w:numId w:val="0"/>
      </w:numPr>
      <w:tabs>
        <w:tab w:val="right" w:leader="dot" w:pos="6521"/>
      </w:tabs>
      <w:spacing w:before="0" w:after="0"/>
    </w:pPr>
  </w:style>
  <w:style w:type="paragraph" w:customStyle="1" w:styleId="TOFTitle">
    <w:name w:val="TOFTitle"/>
    <w:basedOn w:val="TOCTitle"/>
    <w:rsid w:val="0010783E"/>
  </w:style>
  <w:style w:type="paragraph" w:styleId="TableofFigures">
    <w:name w:val="table of figures"/>
    <w:basedOn w:val="Normal"/>
    <w:next w:val="Normal"/>
    <w:semiHidden/>
    <w:rsid w:val="0010783E"/>
    <w:pPr>
      <w:tabs>
        <w:tab w:val="right" w:leader="dot" w:pos="9072"/>
      </w:tabs>
      <w:ind w:left="970" w:hanging="403"/>
    </w:pPr>
    <w:rPr>
      <w:rFonts w:ascii="Times New Roman" w:hAnsi="Times New Roman"/>
      <w:b/>
    </w:rPr>
  </w:style>
  <w:style w:type="paragraph" w:styleId="ListNumber">
    <w:name w:val="List Number"/>
    <w:basedOn w:val="List"/>
    <w:rsid w:val="0010783E"/>
    <w:pPr>
      <w:numPr>
        <w:numId w:val="16"/>
      </w:numPr>
      <w:tabs>
        <w:tab w:val="clear" w:pos="340"/>
      </w:tabs>
    </w:pPr>
  </w:style>
  <w:style w:type="character" w:customStyle="1" w:styleId="WingdingSymbols">
    <w:name w:val="Wingding Symbols"/>
    <w:rsid w:val="0010783E"/>
    <w:rPr>
      <w:rFonts w:ascii="Wingdings" w:hAnsi="Wingdings"/>
    </w:rPr>
  </w:style>
  <w:style w:type="paragraph" w:customStyle="1" w:styleId="TableHeading">
    <w:name w:val="Table Heading"/>
    <w:basedOn w:val="HeadingBase"/>
    <w:rsid w:val="0010783E"/>
    <w:pPr>
      <w:keepLines/>
      <w:pBdr>
        <w:bottom w:val="single" w:sz="6" w:space="1" w:color="918585"/>
      </w:pBdr>
      <w:spacing w:before="240"/>
    </w:pPr>
  </w:style>
  <w:style w:type="character" w:customStyle="1" w:styleId="HotSpot">
    <w:name w:val="HotSpot"/>
    <w:rsid w:val="0010783E"/>
    <w:rPr>
      <w:color w:val="0033CC"/>
      <w:u w:val="none"/>
    </w:rPr>
  </w:style>
  <w:style w:type="paragraph" w:customStyle="1" w:styleId="BodyTextRight">
    <w:name w:val="Body Text Right"/>
    <w:basedOn w:val="BodyText"/>
    <w:rsid w:val="0010783E"/>
    <w:pPr>
      <w:spacing w:before="0" w:after="0"/>
      <w:jc w:val="right"/>
    </w:pPr>
  </w:style>
  <w:style w:type="paragraph" w:styleId="Index3">
    <w:name w:val="index 3"/>
    <w:basedOn w:val="ListNumber2"/>
    <w:next w:val="Normal"/>
    <w:semiHidden/>
    <w:rsid w:val="0010783E"/>
    <w:pPr>
      <w:numPr>
        <w:numId w:val="0"/>
      </w:numPr>
      <w:tabs>
        <w:tab w:val="right" w:leader="dot" w:pos="4176"/>
      </w:tabs>
    </w:pPr>
  </w:style>
  <w:style w:type="paragraph" w:styleId="ListNumber2">
    <w:name w:val="List Number 2"/>
    <w:basedOn w:val="List2"/>
    <w:rsid w:val="0010783E"/>
    <w:pPr>
      <w:numPr>
        <w:numId w:val="11"/>
      </w:numPr>
      <w:tabs>
        <w:tab w:val="clear" w:pos="1060"/>
      </w:tabs>
    </w:pPr>
  </w:style>
  <w:style w:type="paragraph" w:customStyle="1" w:styleId="MarginNote">
    <w:name w:val="Margin Note"/>
    <w:basedOn w:val="BodyText"/>
    <w:rsid w:val="001078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78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78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783E"/>
    <w:rPr>
      <w:sz w:val="32"/>
    </w:rPr>
  </w:style>
  <w:style w:type="paragraph" w:customStyle="1" w:styleId="HeadingProcedure">
    <w:name w:val="Heading Procedure"/>
    <w:basedOn w:val="HeadingBase"/>
    <w:next w:val="Normal"/>
    <w:rsid w:val="0010783E"/>
    <w:pPr>
      <w:tabs>
        <w:tab w:val="left" w:pos="0"/>
      </w:tabs>
      <w:spacing w:before="120" w:after="60"/>
    </w:pPr>
    <w:rPr>
      <w:i/>
      <w:color w:val="918585"/>
      <w:sz w:val="22"/>
    </w:rPr>
  </w:style>
  <w:style w:type="paragraph" w:customStyle="1" w:styleId="TableBodyText">
    <w:name w:val="Table Body Text"/>
    <w:basedOn w:val="BodyText"/>
    <w:rsid w:val="0010783E"/>
    <w:pPr>
      <w:spacing w:before="60" w:after="60"/>
    </w:pPr>
  </w:style>
  <w:style w:type="paragraph" w:styleId="ListContinue">
    <w:name w:val="List Continue"/>
    <w:basedOn w:val="List"/>
    <w:rsid w:val="0010783E"/>
    <w:pPr>
      <w:ind w:firstLine="0"/>
    </w:pPr>
  </w:style>
  <w:style w:type="paragraph" w:customStyle="1" w:styleId="ListNote">
    <w:name w:val="List Note"/>
    <w:basedOn w:val="List"/>
    <w:rsid w:val="0010783E"/>
    <w:pPr>
      <w:pBdr>
        <w:top w:val="single" w:sz="6" w:space="2" w:color="918585"/>
        <w:bottom w:val="single" w:sz="6" w:space="2" w:color="918585"/>
      </w:pBdr>
      <w:tabs>
        <w:tab w:val="left" w:pos="1021"/>
      </w:tabs>
      <w:ind w:firstLine="0"/>
    </w:pPr>
  </w:style>
  <w:style w:type="paragraph" w:customStyle="1" w:styleId="Warning">
    <w:name w:val="Warning"/>
    <w:basedOn w:val="BodyText"/>
    <w:rsid w:val="0010783E"/>
    <w:pPr>
      <w:shd w:val="clear" w:color="auto" w:fill="D9D9D9"/>
      <w:tabs>
        <w:tab w:val="left" w:pos="992"/>
      </w:tabs>
      <w:ind w:left="119" w:right="119"/>
    </w:pPr>
    <w:rPr>
      <w:sz w:val="20"/>
    </w:rPr>
  </w:style>
  <w:style w:type="paragraph" w:customStyle="1" w:styleId="MarginIcons">
    <w:name w:val="Margin Icons"/>
    <w:basedOn w:val="BodyText"/>
    <w:rsid w:val="001078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783E"/>
    <w:rPr>
      <w:rFonts w:ascii="Courier New" w:hAnsi="Courier New"/>
    </w:rPr>
  </w:style>
  <w:style w:type="paragraph" w:customStyle="1" w:styleId="NoteBullet">
    <w:name w:val="Note Bullet"/>
    <w:basedOn w:val="Note"/>
    <w:rsid w:val="0010783E"/>
    <w:pPr>
      <w:tabs>
        <w:tab w:val="clear" w:pos="680"/>
      </w:tabs>
      <w:spacing w:before="60" w:after="60"/>
    </w:pPr>
  </w:style>
  <w:style w:type="paragraph" w:customStyle="1" w:styleId="SubHeading2">
    <w:name w:val="SubHeading2"/>
    <w:basedOn w:val="HeadingBase"/>
    <w:rsid w:val="0010783E"/>
    <w:pPr>
      <w:spacing w:before="240" w:after="60"/>
    </w:pPr>
    <w:rPr>
      <w:sz w:val="20"/>
    </w:rPr>
  </w:style>
  <w:style w:type="paragraph" w:customStyle="1" w:styleId="SubHeading1">
    <w:name w:val="SubHeading1"/>
    <w:basedOn w:val="HeadingBase"/>
    <w:rsid w:val="0010783E"/>
    <w:pPr>
      <w:spacing w:before="240" w:after="60"/>
    </w:pPr>
    <w:rPr>
      <w:color w:val="918585"/>
      <w:sz w:val="22"/>
    </w:rPr>
  </w:style>
  <w:style w:type="paragraph" w:customStyle="1" w:styleId="SideHeading">
    <w:name w:val="Side Heading"/>
    <w:basedOn w:val="HeadingBase"/>
    <w:rsid w:val="001078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783E"/>
    <w:pPr>
      <w:numPr>
        <w:numId w:val="12"/>
      </w:numPr>
    </w:pPr>
  </w:style>
  <w:style w:type="paragraph" w:styleId="PlainText">
    <w:name w:val="Plain Text"/>
    <w:basedOn w:val="Normal"/>
    <w:link w:val="PlainTextChar"/>
    <w:rsid w:val="0010783E"/>
    <w:rPr>
      <w:sz w:val="20"/>
    </w:rPr>
  </w:style>
  <w:style w:type="character" w:customStyle="1" w:styleId="PlainTextChar">
    <w:name w:val="Plain Text Char"/>
    <w:basedOn w:val="DefaultParagraphFont"/>
    <w:link w:val="PlainText"/>
    <w:rsid w:val="0010783E"/>
    <w:rPr>
      <w:rFonts w:ascii="Courier New" w:eastAsia="Times New Roman" w:hAnsi="Courier New" w:cs="Times New Roman"/>
      <w:sz w:val="20"/>
      <w:szCs w:val="20"/>
      <w:lang w:eastAsia="en-US"/>
    </w:rPr>
  </w:style>
  <w:style w:type="character" w:customStyle="1" w:styleId="MenuOption">
    <w:name w:val="Menu Option"/>
    <w:basedOn w:val="DefaultParagraphFont"/>
    <w:rsid w:val="0010783E"/>
    <w:rPr>
      <w:b/>
      <w:smallCaps/>
    </w:rPr>
  </w:style>
  <w:style w:type="paragraph" w:customStyle="1" w:styleId="TableListNumber">
    <w:name w:val="Table List Number"/>
    <w:basedOn w:val="ListNumber"/>
    <w:rsid w:val="0010783E"/>
    <w:pPr>
      <w:numPr>
        <w:numId w:val="0"/>
      </w:numPr>
    </w:pPr>
  </w:style>
  <w:style w:type="paragraph" w:styleId="TOC4">
    <w:name w:val="toc 4"/>
    <w:basedOn w:val="TOCBase"/>
    <w:next w:val="Normal"/>
    <w:semiHidden/>
    <w:rsid w:val="0010783E"/>
    <w:pPr>
      <w:tabs>
        <w:tab w:val="right" w:leader="dot" w:pos="9071"/>
      </w:tabs>
      <w:ind w:left="1701"/>
    </w:pPr>
  </w:style>
  <w:style w:type="paragraph" w:customStyle="1" w:styleId="ListAlpha">
    <w:name w:val="List Alpha"/>
    <w:basedOn w:val="List"/>
    <w:rsid w:val="0010783E"/>
    <w:pPr>
      <w:numPr>
        <w:numId w:val="10"/>
      </w:numPr>
    </w:pPr>
  </w:style>
  <w:style w:type="paragraph" w:customStyle="1" w:styleId="ListAlpha2">
    <w:name w:val="List Alpha 2"/>
    <w:basedOn w:val="List2"/>
    <w:rsid w:val="0010783E"/>
    <w:pPr>
      <w:numPr>
        <w:numId w:val="9"/>
      </w:numPr>
    </w:pPr>
  </w:style>
  <w:style w:type="paragraph" w:styleId="List2">
    <w:name w:val="List 2"/>
    <w:basedOn w:val="BodyText"/>
    <w:rsid w:val="0010783E"/>
    <w:pPr>
      <w:tabs>
        <w:tab w:val="left" w:pos="680"/>
      </w:tabs>
      <w:spacing w:before="60" w:after="60"/>
      <w:ind w:left="680" w:hanging="340"/>
    </w:pPr>
  </w:style>
  <w:style w:type="paragraph" w:styleId="List3">
    <w:name w:val="List 3"/>
    <w:basedOn w:val="BodyText"/>
    <w:rsid w:val="0010783E"/>
    <w:pPr>
      <w:tabs>
        <w:tab w:val="left" w:pos="1021"/>
      </w:tabs>
      <w:spacing w:before="60" w:after="60"/>
      <w:ind w:left="1020" w:hanging="340"/>
    </w:pPr>
  </w:style>
  <w:style w:type="paragraph" w:styleId="List4">
    <w:name w:val="List 4"/>
    <w:basedOn w:val="BodyText"/>
    <w:rsid w:val="0010783E"/>
    <w:pPr>
      <w:tabs>
        <w:tab w:val="left" w:pos="1361"/>
      </w:tabs>
      <w:spacing w:before="60" w:after="60"/>
      <w:ind w:left="1361" w:hanging="340"/>
    </w:pPr>
  </w:style>
  <w:style w:type="paragraph" w:styleId="List5">
    <w:name w:val="List 5"/>
    <w:basedOn w:val="BodyText"/>
    <w:rsid w:val="0010783E"/>
    <w:pPr>
      <w:tabs>
        <w:tab w:val="left" w:pos="1701"/>
      </w:tabs>
      <w:spacing w:before="60" w:after="60"/>
      <w:ind w:left="1701" w:hanging="340"/>
    </w:pPr>
  </w:style>
  <w:style w:type="paragraph" w:styleId="ListBullet4">
    <w:name w:val="List Bullet 4"/>
    <w:basedOn w:val="List4"/>
    <w:rsid w:val="0010783E"/>
    <w:pPr>
      <w:numPr>
        <w:numId w:val="4"/>
      </w:numPr>
      <w:tabs>
        <w:tab w:val="clear" w:pos="1361"/>
      </w:tabs>
    </w:pPr>
  </w:style>
  <w:style w:type="paragraph" w:styleId="ListBullet5">
    <w:name w:val="List Bullet 5"/>
    <w:basedOn w:val="List5"/>
    <w:rsid w:val="0010783E"/>
    <w:pPr>
      <w:numPr>
        <w:numId w:val="5"/>
      </w:numPr>
    </w:pPr>
  </w:style>
  <w:style w:type="paragraph" w:styleId="ListContinue2">
    <w:name w:val="List Continue 2"/>
    <w:basedOn w:val="List2"/>
    <w:rsid w:val="0010783E"/>
    <w:pPr>
      <w:ind w:firstLine="0"/>
    </w:pPr>
  </w:style>
  <w:style w:type="paragraph" w:styleId="ListContinue3">
    <w:name w:val="List Continue 3"/>
    <w:basedOn w:val="List3"/>
    <w:rsid w:val="0010783E"/>
    <w:pPr>
      <w:ind w:left="1021" w:firstLine="0"/>
    </w:pPr>
  </w:style>
  <w:style w:type="paragraph" w:styleId="ListContinue4">
    <w:name w:val="List Continue 4"/>
    <w:basedOn w:val="List4"/>
    <w:rsid w:val="0010783E"/>
    <w:pPr>
      <w:ind w:firstLine="0"/>
    </w:pPr>
  </w:style>
  <w:style w:type="paragraph" w:styleId="ListContinue5">
    <w:name w:val="List Continue 5"/>
    <w:basedOn w:val="List5"/>
    <w:rsid w:val="0010783E"/>
    <w:pPr>
      <w:ind w:firstLine="0"/>
    </w:pPr>
  </w:style>
  <w:style w:type="paragraph" w:styleId="ListNumber3">
    <w:name w:val="List Number 3"/>
    <w:basedOn w:val="List3"/>
    <w:rsid w:val="0010783E"/>
    <w:pPr>
      <w:numPr>
        <w:numId w:val="6"/>
      </w:numPr>
    </w:pPr>
  </w:style>
  <w:style w:type="paragraph" w:styleId="ListNumber4">
    <w:name w:val="List Number 4"/>
    <w:basedOn w:val="List4"/>
    <w:rsid w:val="0010783E"/>
    <w:pPr>
      <w:numPr>
        <w:numId w:val="7"/>
      </w:numPr>
    </w:pPr>
  </w:style>
  <w:style w:type="paragraph" w:styleId="ListNumber5">
    <w:name w:val="List Number 5"/>
    <w:basedOn w:val="List5"/>
    <w:rsid w:val="0010783E"/>
    <w:pPr>
      <w:numPr>
        <w:numId w:val="8"/>
      </w:numPr>
    </w:pPr>
  </w:style>
  <w:style w:type="paragraph" w:styleId="BlockText">
    <w:name w:val="Block Text"/>
    <w:basedOn w:val="Normal"/>
    <w:rsid w:val="0010783E"/>
    <w:pPr>
      <w:spacing w:after="120"/>
      <w:ind w:left="1440" w:right="1440"/>
    </w:pPr>
  </w:style>
  <w:style w:type="character" w:customStyle="1" w:styleId="Subscript">
    <w:name w:val="Subscript"/>
    <w:basedOn w:val="DefaultParagraphFont"/>
    <w:rsid w:val="0010783E"/>
    <w:rPr>
      <w:sz w:val="16"/>
      <w:vertAlign w:val="subscript"/>
    </w:rPr>
  </w:style>
  <w:style w:type="character" w:customStyle="1" w:styleId="Superscript">
    <w:name w:val="Superscript"/>
    <w:basedOn w:val="DefaultParagraphFont"/>
    <w:rsid w:val="0010783E"/>
    <w:rPr>
      <w:sz w:val="16"/>
      <w:vertAlign w:val="superscript"/>
    </w:rPr>
  </w:style>
  <w:style w:type="character" w:customStyle="1" w:styleId="Symbols">
    <w:name w:val="Symbols"/>
    <w:basedOn w:val="DefaultParagraphFont"/>
    <w:rsid w:val="0010783E"/>
    <w:rPr>
      <w:rFonts w:ascii="Symbol" w:hAnsi="Symbol"/>
    </w:rPr>
  </w:style>
  <w:style w:type="character" w:customStyle="1" w:styleId="MenuOptions">
    <w:name w:val="Menu Options"/>
    <w:basedOn w:val="DefaultParagraphFont"/>
    <w:rsid w:val="0010783E"/>
    <w:rPr>
      <w:rFonts w:ascii="Arial Narrow" w:hAnsi="Arial Narrow"/>
      <w:smallCaps/>
    </w:rPr>
  </w:style>
  <w:style w:type="character" w:customStyle="1" w:styleId="Buttons">
    <w:name w:val="Buttons"/>
    <w:basedOn w:val="DefaultParagraphFont"/>
    <w:rsid w:val="0010783E"/>
    <w:rPr>
      <w:b/>
    </w:rPr>
  </w:style>
  <w:style w:type="character" w:customStyle="1" w:styleId="Underlined">
    <w:name w:val="Underlined"/>
    <w:basedOn w:val="DefaultParagraphFont"/>
    <w:rsid w:val="0010783E"/>
    <w:rPr>
      <w:u w:val="single"/>
    </w:rPr>
  </w:style>
  <w:style w:type="paragraph" w:customStyle="1" w:styleId="TableBodyTextRight">
    <w:name w:val="Table Body Text Right"/>
    <w:basedOn w:val="TableBodyText"/>
    <w:rsid w:val="0010783E"/>
    <w:pPr>
      <w:widowControl w:val="0"/>
      <w:autoSpaceDE w:val="0"/>
      <w:autoSpaceDN w:val="0"/>
      <w:adjustRightInd w:val="0"/>
      <w:jc w:val="right"/>
    </w:pPr>
    <w:rPr>
      <w:rFonts w:cs="Arial"/>
      <w:szCs w:val="18"/>
    </w:rPr>
  </w:style>
  <w:style w:type="paragraph" w:customStyle="1" w:styleId="CopyrightText">
    <w:name w:val="Copyright Text"/>
    <w:basedOn w:val="BodyText"/>
    <w:rsid w:val="0010783E"/>
    <w:rPr>
      <w:sz w:val="18"/>
    </w:rPr>
  </w:style>
  <w:style w:type="paragraph" w:customStyle="1" w:styleId="BodySmallRight">
    <w:name w:val="Body Small Right"/>
    <w:basedOn w:val="BodyTextRight"/>
    <w:rsid w:val="0010783E"/>
    <w:rPr>
      <w:sz w:val="18"/>
      <w:szCs w:val="18"/>
    </w:rPr>
  </w:style>
  <w:style w:type="paragraph" w:customStyle="1" w:styleId="MarginEdition">
    <w:name w:val="Margin Edition"/>
    <w:basedOn w:val="MarginNote"/>
    <w:rsid w:val="0010783E"/>
    <w:pPr>
      <w:spacing w:before="0" w:after="0"/>
    </w:pPr>
    <w:rPr>
      <w:rFonts w:ascii="Times New Roman" w:hAnsi="Times New Roman"/>
      <w:color w:val="999999"/>
    </w:rPr>
  </w:style>
  <w:style w:type="paragraph" w:customStyle="1" w:styleId="Spacer">
    <w:name w:val="Spacer"/>
    <w:basedOn w:val="Normal"/>
    <w:rsid w:val="0010783E"/>
    <w:rPr>
      <w:sz w:val="2"/>
      <w:szCs w:val="2"/>
    </w:rPr>
  </w:style>
  <w:style w:type="character" w:customStyle="1" w:styleId="Small">
    <w:name w:val="Small"/>
    <w:basedOn w:val="DefaultParagraphFont"/>
    <w:rsid w:val="0010783E"/>
    <w:rPr>
      <w:sz w:val="16"/>
    </w:rPr>
  </w:style>
  <w:style w:type="paragraph" w:customStyle="1" w:styleId="WideTable">
    <w:name w:val="Wide Table"/>
    <w:basedOn w:val="Normal"/>
    <w:rsid w:val="0010783E"/>
    <w:pPr>
      <w:ind w:left="-1418"/>
    </w:pPr>
    <w:rPr>
      <w:sz w:val="2"/>
      <w:szCs w:val="2"/>
    </w:rPr>
  </w:style>
  <w:style w:type="character" w:styleId="PageNumber">
    <w:name w:val="page number"/>
    <w:basedOn w:val="DefaultParagraphFont"/>
    <w:rsid w:val="0010783E"/>
  </w:style>
  <w:style w:type="paragraph" w:styleId="Quote">
    <w:name w:val="Quote"/>
    <w:basedOn w:val="Heading1"/>
    <w:link w:val="QuoteChar"/>
    <w:qFormat/>
    <w:rsid w:val="0010783E"/>
    <w:rPr>
      <w:b w:val="0"/>
      <w:sz w:val="72"/>
      <w:szCs w:val="72"/>
      <w:lang w:val="en-NZ"/>
    </w:rPr>
  </w:style>
  <w:style w:type="character" w:customStyle="1" w:styleId="QuoteChar">
    <w:name w:val="Quote Char"/>
    <w:basedOn w:val="DefaultParagraphFont"/>
    <w:link w:val="Quote"/>
    <w:rsid w:val="001078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783E"/>
    <w:pPr>
      <w:pageBreakBefore/>
    </w:pPr>
  </w:style>
  <w:style w:type="paragraph" w:customStyle="1" w:styleId="Border">
    <w:name w:val="Border"/>
    <w:basedOn w:val="Normal"/>
    <w:qFormat/>
    <w:rsid w:val="001078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783E"/>
    <w:rPr>
      <w:b/>
      <w:bCs/>
      <w:i/>
      <w:iCs/>
      <w:color w:val="auto"/>
    </w:rPr>
  </w:style>
  <w:style w:type="paragraph" w:styleId="IntenseQuote">
    <w:name w:val="Intense Quote"/>
    <w:basedOn w:val="Normal"/>
    <w:next w:val="Normal"/>
    <w:link w:val="IntenseQuoteChar"/>
    <w:uiPriority w:val="30"/>
    <w:qFormat/>
    <w:rsid w:val="001078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78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783E"/>
    <w:rPr>
      <w:smallCaps/>
      <w:color w:val="auto"/>
      <w:u w:val="single"/>
    </w:rPr>
  </w:style>
  <w:style w:type="character" w:styleId="IntenseReference">
    <w:name w:val="Intense Reference"/>
    <w:basedOn w:val="DefaultParagraphFont"/>
    <w:uiPriority w:val="32"/>
    <w:qFormat/>
    <w:rsid w:val="0010783E"/>
    <w:rPr>
      <w:b/>
      <w:bCs/>
      <w:smallCaps/>
      <w:color w:val="auto"/>
      <w:spacing w:val="5"/>
      <w:u w:val="single"/>
    </w:rPr>
  </w:style>
  <w:style w:type="paragraph" w:customStyle="1" w:styleId="2ColumnHeading">
    <w:name w:val="2Column Heading"/>
    <w:basedOn w:val="BodyText"/>
    <w:qFormat/>
    <w:rsid w:val="0010783E"/>
    <w:pPr>
      <w:spacing w:after="60"/>
      <w:ind w:left="-2268"/>
    </w:pPr>
    <w:rPr>
      <w:b/>
    </w:rPr>
  </w:style>
  <w:style w:type="paragraph" w:customStyle="1" w:styleId="Heading1TOC">
    <w:name w:val="Heading1 TOC"/>
    <w:basedOn w:val="Normal"/>
    <w:qFormat/>
    <w:rsid w:val="0010783E"/>
    <w:pPr>
      <w:spacing w:before="240" w:after="120"/>
    </w:pPr>
    <w:rPr>
      <w:rFonts w:ascii="Times New Roman" w:hAnsi="Times New Roman"/>
      <w:b/>
      <w:sz w:val="32"/>
    </w:rPr>
  </w:style>
  <w:style w:type="paragraph" w:customStyle="1" w:styleId="Heading2TOC">
    <w:name w:val="Heading2 TOC"/>
    <w:basedOn w:val="Normal"/>
    <w:qFormat/>
    <w:rsid w:val="0010783E"/>
    <w:pPr>
      <w:spacing w:before="240" w:after="60"/>
    </w:pPr>
    <w:rPr>
      <w:rFonts w:ascii="Times New Roman" w:hAnsi="Times New Roman"/>
      <w:b/>
      <w:sz w:val="28"/>
    </w:rPr>
  </w:style>
  <w:style w:type="character" w:customStyle="1" w:styleId="Underline">
    <w:name w:val="Underline"/>
    <w:basedOn w:val="DefaultParagraphFont"/>
    <w:qFormat/>
    <w:rsid w:val="0010783E"/>
    <w:rPr>
      <w:u w:val="single"/>
    </w:rPr>
  </w:style>
  <w:style w:type="character" w:customStyle="1" w:styleId="BoldandItalics">
    <w:name w:val="Bold and Italics"/>
    <w:qFormat/>
    <w:rsid w:val="0010783E"/>
    <w:rPr>
      <w:b/>
      <w:i/>
      <w:u w:val="none"/>
    </w:rPr>
  </w:style>
  <w:style w:type="paragraph" w:styleId="BalloonText">
    <w:name w:val="Balloon Text"/>
    <w:basedOn w:val="Normal"/>
    <w:link w:val="BalloonTextChar"/>
    <w:rsid w:val="0010783E"/>
    <w:rPr>
      <w:rFonts w:ascii="Tahoma" w:hAnsi="Tahoma" w:cs="Tahoma"/>
      <w:sz w:val="16"/>
      <w:szCs w:val="16"/>
    </w:rPr>
  </w:style>
  <w:style w:type="character" w:customStyle="1" w:styleId="BalloonTextChar">
    <w:name w:val="Balloon Text Char"/>
    <w:basedOn w:val="DefaultParagraphFont"/>
    <w:link w:val="BalloonText"/>
    <w:rsid w:val="001078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78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78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783E"/>
    <w:rPr>
      <w:b/>
      <w:color w:val="660033"/>
      <w:spacing w:val="0"/>
    </w:rPr>
  </w:style>
  <w:style w:type="paragraph" w:customStyle="1" w:styleId="Nameditemlist">
    <w:name w:val="Named item list"/>
    <w:basedOn w:val="BodyText"/>
    <w:qFormat/>
    <w:rsid w:val="0010783E"/>
    <w:pPr>
      <w:tabs>
        <w:tab w:val="left" w:pos="2835"/>
      </w:tabs>
      <w:ind w:left="2835" w:hanging="2835"/>
    </w:pPr>
  </w:style>
  <w:style w:type="paragraph" w:customStyle="1" w:styleId="BodyTextnopadding">
    <w:name w:val="Body Text no padding"/>
    <w:basedOn w:val="BodyText"/>
    <w:qFormat/>
    <w:rsid w:val="0010783E"/>
    <w:pPr>
      <w:spacing w:before="0" w:after="0"/>
    </w:pPr>
  </w:style>
  <w:style w:type="paragraph" w:customStyle="1" w:styleId="BodyTextBold">
    <w:name w:val="Body Text Bold"/>
    <w:basedOn w:val="BodyText"/>
    <w:qFormat/>
    <w:rsid w:val="0010783E"/>
    <w:rPr>
      <w:b/>
    </w:rPr>
  </w:style>
  <w:style w:type="character" w:styleId="Hyperlink">
    <w:name w:val="Hyperlink"/>
    <w:basedOn w:val="DefaultParagraphFont"/>
    <w:uiPriority w:val="99"/>
    <w:unhideWhenUsed/>
    <w:rsid w:val="007638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895</Words>
  <Characters>5854</Characters>
  <Application>Microsoft Office Word</Application>
  <DocSecurity>0</DocSecurity>
  <Lines>136</Lines>
  <Paragraphs>102</Paragraphs>
  <ScaleCrop>false</ScaleCrop>
  <Company>Author-it Software Corporation Ltd.</Company>
  <LinksUpToDate>false</LinksUpToDate>
  <CharactersWithSpaces>6647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MARH018 Apply command navigation procedures on vessels limited by tonnage or near coastal operations</dc:title>
  <dc:subject>Approved</dc:subject>
  <dc:creator>Industry Skills Australia</dc:creator>
  <cp:keywords>Release: 2</cp:keywords>
  <dc:description>Review Date: 12 April 2008</dc:description>
  <cp:lastModifiedBy>HSD_TPCMSd.prod</cp:lastModifiedBy>
  <cp:revision>3</cp:revision>
  <dcterms:created xsi:type="dcterms:W3CDTF">2024-11-25T11:19:00Z</dcterms:created>
  <dcterms:modified xsi:type="dcterms:W3CDTF">2024-11-25T11:19:00Z</dcterms:modified>
</cp:coreProperties>
</file>