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A3F" w:rsidP="00E70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MARH017 Use wheelhouse equipment for safe navigation</w:t>
      </w:r>
      <w:r>
        <w:fldChar w:fldCharType="end"/>
      </w:r>
    </w:p>
    <w:p w:rsidR="00E70A3F" w:rsidP="00E70A3F">
      <w:pPr>
        <w:pStyle w:val="Version"/>
        <w:sectPr w:rsidSect="00045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52AC" w:rsidP="000452AC">
      <w:pPr>
        <w:pStyle w:val="SuperHeading"/>
      </w:pPr>
      <w:r w:rsidRPr="000452AC">
        <w:t>MARH017 Use wheelhouse equipment for safe navigation</w:t>
      </w:r>
    </w:p>
    <w:p w:rsidR="00000000" w:rsidRPr="000452AC" w:rsidP="000452AC">
      <w:pPr>
        <w:pStyle w:val="Heading1"/>
      </w:pPr>
      <w:bookmarkStart w:id="1" w:name="O_1285507"/>
      <w:bookmarkEnd w:id="1"/>
      <w:r w:rsidRPr="000452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Release 2</w:t>
            </w:r>
            <w:r w:rsidRPr="000452AC">
              <w:t>. This is the second release of this unit of competency in the MAR Maritime Training Package.</w:t>
            </w:r>
          </w:p>
          <w:p w:rsidR="00000000" w:rsidRPr="000452AC" w:rsidP="000452AC">
            <w:pPr>
              <w:pStyle w:val="ListBullet"/>
            </w:pPr>
            <w:r w:rsidRPr="000452AC">
              <w:t>Minor statement changes in unit Application</w:t>
            </w:r>
          </w:p>
          <w:p w:rsidR="00000000" w:rsidRPr="000452AC" w:rsidP="000452AC">
            <w:pPr>
              <w:pStyle w:val="ListBullet"/>
            </w:pPr>
            <w:r w:rsidRPr="000452AC">
              <w:t>Minor format changes in Performance Evidence</w:t>
            </w:r>
          </w:p>
          <w:p w:rsidR="00000000" w:rsidRPr="000452AC" w:rsidP="000452AC">
            <w:pPr>
              <w:pStyle w:val="ListBullet"/>
            </w:pPr>
            <w:r w:rsidRPr="000452AC">
              <w:t>Minor ECS statement chan</w:t>
            </w:r>
            <w:r w:rsidRPr="000452AC">
              <w:t>ges in Knowledge Evidence</w:t>
            </w:r>
          </w:p>
          <w:p w:rsidR="00000000" w:rsidP="000452AC">
            <w:pPr>
              <w:pStyle w:val="ListBullet"/>
              <w:rPr>
                <w:lang w:val="en-NZ"/>
              </w:rPr>
            </w:pPr>
            <w:r w:rsidRPr="000452AC">
              <w:t>Minor statement changes in Assessment Conditions.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Release 1</w:t>
            </w:r>
            <w:r w:rsidRPr="000452AC">
              <w:t>. New unit of competency. Licensing/regulatory information has been incorporated in accordance with Regulatory requirements. Assessment Requirements have been strengthene</w:t>
            </w:r>
            <w:r w:rsidRPr="000452AC">
              <w:t>d in accordance with Regulatory requirements.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2" w:name="O_1285506"/>
      <w:bookmarkEnd w:id="2"/>
      <w:r w:rsidRPr="000452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This unit involves the skills and knowledge required to maintain safe navigation of a commercial vessel through the use of radar and other equipment used for the navigation of a</w:t>
            </w:r>
            <w:r w:rsidRPr="000452AC">
              <w:t xml:space="preserve"> vessel.</w:t>
            </w:r>
          </w:p>
          <w:p w:rsidR="00000000" w:rsidRPr="000452AC" w:rsidP="000452AC">
            <w:pPr>
              <w:pStyle w:val="BodyText"/>
            </w:pPr>
            <w:r w:rsidRPr="000452AC">
              <w:t>This unit applies to people working in the maritime industry in the capacity of:</w:t>
            </w:r>
          </w:p>
          <w:p w:rsidR="00000000" w:rsidRPr="000452AC" w:rsidP="000452AC">
            <w:pPr>
              <w:pStyle w:val="ListBullet"/>
            </w:pPr>
            <w:r w:rsidRPr="000452AC">
              <w:t>Master up to 24 metres Near Coastal</w:t>
            </w:r>
          </w:p>
          <w:p w:rsidR="00000000" w:rsidRPr="000452AC" w:rsidP="000452AC">
            <w:pPr>
              <w:pStyle w:val="ListBullet"/>
            </w:pPr>
            <w:r w:rsidRPr="000452AC">
              <w:t>Master up to 45 metres Near Coastal.</w:t>
            </w:r>
          </w:p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Licensing/Regulatory Information</w:t>
            </w:r>
          </w:p>
          <w:p w:rsidR="00000000" w:rsidRPr="000452AC" w:rsidP="000452AC">
            <w:pPr>
              <w:pStyle w:val="BodyText"/>
            </w:pPr>
            <w:r w:rsidRPr="000452AC">
              <w:t>Legislative and regulatory requirements are applicable to this unit.</w:t>
            </w:r>
          </w:p>
          <w:p w:rsidR="00000000" w:rsidRPr="000452AC" w:rsidP="000452AC">
            <w:pPr>
              <w:pStyle w:val="BodyText"/>
            </w:pPr>
            <w:r w:rsidRPr="000452AC">
              <w:t xml:space="preserve">This unit is one of the requirements to obtain Australian Maritime Safety Authority (AMSA) certification as a Master up to 24m NC, Mate up to 100m NC and Master up to 45m NC as specified </w:t>
            </w:r>
            <w:r w:rsidRPr="000452AC">
              <w:t>in Marine Order 505.</w:t>
            </w:r>
          </w:p>
          <w:p w:rsidR="00000000" w:rsidRPr="000452AC" w:rsidP="000452AC">
            <w:pPr>
              <w:pStyle w:val="BodyText"/>
            </w:pPr>
            <w:r w:rsidRPr="000452AC">
              <w:t>Seafarers seeking certification should check with AMSA.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3" w:name="O_1285505"/>
      <w:bookmarkEnd w:id="3"/>
      <w:r w:rsidRPr="000452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Not Applicable.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4" w:name="O_1285504"/>
      <w:bookmarkEnd w:id="4"/>
      <w:r w:rsidRPr="000452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H – Navigation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5" w:name="O_1285503"/>
      <w:bookmarkEnd w:id="5"/>
      <w:r w:rsidRPr="000452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Not Applicable.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6" w:name="O_1285502"/>
      <w:bookmarkEnd w:id="6"/>
      <w:r w:rsidRPr="000452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PERFORMANCE CRITERIA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Performance criteria describe the performance needed to demonstrate achievement of the element.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1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Set up wheelhouse navigation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Wheelhouse navigation equipment is initialised and displays are set up and maintained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Operational performance and accuracy of wheelhouse equipment is confirmed and appropriate actions are taken when performance is out of limits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Misrepresentation of information is detected and corrected or allowed for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Use radar to navigate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Radar is operated according to manufacturer instructions to produce data on position and speed of vessel, other vessels and fixed objects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R</w:t>
            </w:r>
            <w:r w:rsidRPr="000452AC">
              <w:t>adar plot is constructed on a radar plotting sheet or automatic plotting devices are initialised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Systematic radar observations of vessels in the vicinity are made where there is a risk of collision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Radar d</w:t>
            </w:r>
            <w:r w:rsidRPr="000452AC">
              <w:t>ata is used to obtain a position fix for vessel using electronic bearing lines and variable range markers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Radar bearings are corrected for vessel heading and compass error as appropriate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Radar plotting data is analysed to anticipate potential</w:t>
            </w:r>
            <w:r w:rsidRPr="000452AC">
              <w:t xml:space="preserve"> collisions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2.7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Analysis is used to make informed command decisions on actions needed to avoid collisions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Use wheelhouse navigation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Wheelhouse navigation equipment is safely and efficiently used to conduct navigation of the vessel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Position of vessel is monitored during voyage to ensure planned passage is followed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Movement of vessels in the vicinity is monitored to ensure collision situations do not occur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3.4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Wheelhouse navigation equipment is maintained according to ma</w:t>
            </w:r>
            <w:r w:rsidRPr="000452AC">
              <w:t>nufacturer requirements and organisational procedures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rPr>
                <w:rStyle w:val="SpecialBold"/>
              </w:rPr>
              <w:t>Maintain navigational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Navigational data produced by wheelhouse navigation equipment that should be retained to conform with organisational procedures and regulatory requirements is identi</w:t>
            </w:r>
            <w:r w:rsidRPr="000452AC">
              <w:t xml:space="preserve">fied 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t>Navigational data is stored electronically or in hard copy as required by organisational procedures and regulatory requirements</w:t>
            </w:r>
          </w:p>
        </w:tc>
      </w:tr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2AC">
            <w:pPr>
              <w:pStyle w:val="BodyText"/>
              <w:rPr>
                <w:lang w:val="en-NZ"/>
              </w:rPr>
            </w:pPr>
            <w:r w:rsidRPr="000452AC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Security and access requirements for data are adhered to according to organisational procedures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7" w:name="O_1285501"/>
      <w:bookmarkEnd w:id="7"/>
      <w:r w:rsidRPr="000452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Foundation skills essential to performance are explicit in the performance criteria of this unit of competency.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8" w:name="O_1285500"/>
      <w:bookmarkEnd w:id="8"/>
      <w:r w:rsidRPr="000452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Range is restricted to essential operating conditions and any other variables essential to the work environment.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9" w:name="O_1285499"/>
      <w:bookmarkEnd w:id="9"/>
      <w:r w:rsidRPr="000452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2AC" w:rsidP="000452AC">
            <w:pPr>
              <w:pStyle w:val="BodyText"/>
            </w:pPr>
            <w:r w:rsidRPr="000452AC">
              <w:t>This unit replaces and is equivalent to MARH005 Use wheelhouse equipment for safe navigation.</w:t>
            </w:r>
          </w:p>
        </w:tc>
      </w:tr>
    </w:tbl>
    <w:p w:rsidR="00000000" w:rsidRPr="000452AC" w:rsidP="000452AC">
      <w:pPr>
        <w:pStyle w:val="NoPaddingFontSize1"/>
      </w:pPr>
    </w:p>
    <w:p w:rsidR="00000000" w:rsidRPr="000452AC" w:rsidP="000452AC">
      <w:pPr>
        <w:pStyle w:val="AllowPageBreak"/>
      </w:pPr>
    </w:p>
    <w:p w:rsidR="00000000" w:rsidRPr="000452AC" w:rsidP="000452AC">
      <w:pPr>
        <w:pStyle w:val="Heading1"/>
      </w:pPr>
      <w:bookmarkStart w:id="10" w:name="O_1285508"/>
      <w:bookmarkEnd w:id="10"/>
      <w:r w:rsidRPr="000452AC">
        <w:t>Links</w:t>
      </w:r>
    </w:p>
    <w:p w:rsidR="00000000" w:rsidRPr="000452AC" w:rsidP="00E70A3F">
      <w:pPr>
        <w:pStyle w:val="BodyText"/>
      </w:pPr>
      <w:r w:rsidRPr="00045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7328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452AC" w:rsidP="000452AC"/>
    <w:sectPr w:rsidSect="000452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AC" w:rsidRPr="00E70A3F" w:rsidP="00E70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3F" w:rsidP="00045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A3F" w:rsidP="00045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70A3F" w:rsidP="00045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2AC" w:rsidRPr="00E70A3F" w:rsidP="00E70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A3F" w:rsidRPr="002D2AF8" w:rsidP="00045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MARH017 Use wheelhouse equipment for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E70A3F" w:rsidP="00045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DCB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FA4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2AC"/>
  </w:style>
  <w:style w:type="character" w:customStyle="1" w:styleId="Heading1Char">
    <w:name w:val="Heading 1 Char"/>
    <w:basedOn w:val="DefaultParagraphFont"/>
    <w:link w:val="Heading1"/>
    <w:rsid w:val="00045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2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2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2AC"/>
    <w:rPr>
      <w:b/>
      <w:spacing w:val="0"/>
    </w:rPr>
  </w:style>
  <w:style w:type="paragraph" w:customStyle="1" w:styleId="SuperHeading">
    <w:name w:val="SuperHeading"/>
    <w:basedOn w:val="Normal"/>
    <w:rsid w:val="00045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2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2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2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2AC"/>
    <w:rPr>
      <w:i/>
    </w:rPr>
  </w:style>
  <w:style w:type="paragraph" w:styleId="Caption">
    <w:name w:val="caption"/>
    <w:basedOn w:val="BodyText"/>
    <w:next w:val="Normal"/>
    <w:qFormat/>
    <w:rsid w:val="00045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2AC"/>
  </w:style>
  <w:style w:type="paragraph" w:styleId="TableofFigures">
    <w:name w:val="table of figures"/>
    <w:basedOn w:val="Normal"/>
    <w:next w:val="Normal"/>
    <w:semiHidden/>
    <w:rsid w:val="00045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2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2AC"/>
    <w:rPr>
      <w:rFonts w:ascii="Wingdings" w:hAnsi="Wingdings"/>
    </w:rPr>
  </w:style>
  <w:style w:type="paragraph" w:customStyle="1" w:styleId="TableHeading">
    <w:name w:val="Table Heading"/>
    <w:basedOn w:val="HeadingBase"/>
    <w:rsid w:val="00045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2AC"/>
    <w:rPr>
      <w:color w:val="0033CC"/>
      <w:u w:val="none"/>
    </w:rPr>
  </w:style>
  <w:style w:type="paragraph" w:customStyle="1" w:styleId="BodyTextRight">
    <w:name w:val="Body Text Right"/>
    <w:basedOn w:val="BodyText"/>
    <w:rsid w:val="00045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2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2AC"/>
    <w:rPr>
      <w:sz w:val="32"/>
    </w:rPr>
  </w:style>
  <w:style w:type="paragraph" w:customStyle="1" w:styleId="HeadingProcedure">
    <w:name w:val="Heading Procedure"/>
    <w:basedOn w:val="HeadingBase"/>
    <w:next w:val="Normal"/>
    <w:rsid w:val="00045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2AC"/>
    <w:pPr>
      <w:spacing w:before="60" w:after="60"/>
    </w:pPr>
  </w:style>
  <w:style w:type="paragraph" w:styleId="ListContinue">
    <w:name w:val="List Continue"/>
    <w:basedOn w:val="List"/>
    <w:rsid w:val="000452AC"/>
    <w:pPr>
      <w:ind w:firstLine="0"/>
    </w:pPr>
  </w:style>
  <w:style w:type="paragraph" w:customStyle="1" w:styleId="ListNote">
    <w:name w:val="List Note"/>
    <w:basedOn w:val="List"/>
    <w:rsid w:val="00045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2AC"/>
    <w:rPr>
      <w:rFonts w:ascii="Courier New" w:hAnsi="Courier New"/>
    </w:rPr>
  </w:style>
  <w:style w:type="paragraph" w:customStyle="1" w:styleId="NoteBullet">
    <w:name w:val="Note Bullet"/>
    <w:basedOn w:val="Note"/>
    <w:rsid w:val="00045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2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2AC"/>
    <w:rPr>
      <w:b/>
      <w:smallCaps/>
    </w:rPr>
  </w:style>
  <w:style w:type="paragraph" w:customStyle="1" w:styleId="TableListNumber">
    <w:name w:val="Table List Number"/>
    <w:basedOn w:val="ListNumber"/>
    <w:rsid w:val="00045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2AC"/>
    <w:pPr>
      <w:numPr>
        <w:numId w:val="8"/>
      </w:numPr>
    </w:pPr>
  </w:style>
  <w:style w:type="paragraph" w:customStyle="1" w:styleId="ListAlpha2">
    <w:name w:val="List Alpha 2"/>
    <w:basedOn w:val="List2"/>
    <w:rsid w:val="000452AC"/>
    <w:pPr>
      <w:numPr>
        <w:numId w:val="7"/>
      </w:numPr>
    </w:pPr>
  </w:style>
  <w:style w:type="paragraph" w:styleId="List2">
    <w:name w:val="List 2"/>
    <w:basedOn w:val="BodyText"/>
    <w:rsid w:val="00045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2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2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2AC"/>
    <w:pPr>
      <w:numPr>
        <w:numId w:val="3"/>
      </w:numPr>
    </w:pPr>
  </w:style>
  <w:style w:type="paragraph" w:styleId="ListContinue2">
    <w:name w:val="List Continue 2"/>
    <w:basedOn w:val="List2"/>
    <w:rsid w:val="000452AC"/>
    <w:pPr>
      <w:ind w:firstLine="0"/>
    </w:pPr>
  </w:style>
  <w:style w:type="paragraph" w:styleId="ListContinue3">
    <w:name w:val="List Continue 3"/>
    <w:basedOn w:val="List3"/>
    <w:rsid w:val="000452AC"/>
    <w:pPr>
      <w:ind w:left="1021" w:firstLine="0"/>
    </w:pPr>
  </w:style>
  <w:style w:type="paragraph" w:styleId="ListContinue4">
    <w:name w:val="List Continue 4"/>
    <w:basedOn w:val="List4"/>
    <w:rsid w:val="000452AC"/>
    <w:pPr>
      <w:ind w:firstLine="0"/>
    </w:pPr>
  </w:style>
  <w:style w:type="paragraph" w:styleId="ListContinue5">
    <w:name w:val="List Continue 5"/>
    <w:basedOn w:val="List5"/>
    <w:rsid w:val="000452AC"/>
    <w:pPr>
      <w:ind w:firstLine="0"/>
    </w:pPr>
  </w:style>
  <w:style w:type="paragraph" w:styleId="ListNumber3">
    <w:name w:val="List Number 3"/>
    <w:basedOn w:val="List3"/>
    <w:rsid w:val="000452AC"/>
    <w:pPr>
      <w:numPr>
        <w:numId w:val="4"/>
      </w:numPr>
    </w:pPr>
  </w:style>
  <w:style w:type="paragraph" w:styleId="ListNumber4">
    <w:name w:val="List Number 4"/>
    <w:basedOn w:val="List4"/>
    <w:rsid w:val="000452AC"/>
    <w:pPr>
      <w:numPr>
        <w:numId w:val="5"/>
      </w:numPr>
    </w:pPr>
  </w:style>
  <w:style w:type="paragraph" w:styleId="ListNumber5">
    <w:name w:val="List Number 5"/>
    <w:basedOn w:val="List5"/>
    <w:rsid w:val="000452AC"/>
    <w:pPr>
      <w:numPr>
        <w:numId w:val="6"/>
      </w:numPr>
    </w:pPr>
  </w:style>
  <w:style w:type="paragraph" w:styleId="BlockText">
    <w:name w:val="Block Text"/>
    <w:basedOn w:val="Normal"/>
    <w:rsid w:val="00045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2AC"/>
    <w:rPr>
      <w:sz w:val="16"/>
      <w:vertAlign w:val="superscript"/>
    </w:rPr>
  </w:style>
  <w:style w:type="character" w:customStyle="1" w:styleId="Symbols">
    <w:name w:val="Symbols"/>
    <w:basedOn w:val="DefaultParagraphFont"/>
    <w:rsid w:val="000452AC"/>
    <w:rPr>
      <w:rFonts w:ascii="Symbol" w:hAnsi="Symbol"/>
    </w:rPr>
  </w:style>
  <w:style w:type="character" w:customStyle="1" w:styleId="MenuOptions">
    <w:name w:val="Menu Options"/>
    <w:basedOn w:val="DefaultParagraphFont"/>
    <w:rsid w:val="00045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2AC"/>
    <w:rPr>
      <w:b/>
    </w:rPr>
  </w:style>
  <w:style w:type="character" w:customStyle="1" w:styleId="Underlined">
    <w:name w:val="Underlined"/>
    <w:basedOn w:val="DefaultParagraphFont"/>
    <w:rsid w:val="000452AC"/>
    <w:rPr>
      <w:u w:val="single"/>
    </w:rPr>
  </w:style>
  <w:style w:type="paragraph" w:customStyle="1" w:styleId="TableBodyTextRight">
    <w:name w:val="Table Body Text Right"/>
    <w:basedOn w:val="TableBodyText"/>
    <w:rsid w:val="00045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2AC"/>
    <w:rPr>
      <w:sz w:val="18"/>
    </w:rPr>
  </w:style>
  <w:style w:type="paragraph" w:customStyle="1" w:styleId="BodySmallRight">
    <w:name w:val="Body Small Right"/>
    <w:basedOn w:val="BodyTextRight"/>
    <w:rsid w:val="000452AC"/>
    <w:rPr>
      <w:sz w:val="18"/>
      <w:szCs w:val="18"/>
    </w:rPr>
  </w:style>
  <w:style w:type="paragraph" w:customStyle="1" w:styleId="MarginEdition">
    <w:name w:val="Margin Edition"/>
    <w:basedOn w:val="MarginNote"/>
    <w:rsid w:val="00045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2AC"/>
    <w:rPr>
      <w:sz w:val="2"/>
      <w:szCs w:val="2"/>
    </w:rPr>
  </w:style>
  <w:style w:type="character" w:customStyle="1" w:styleId="Small">
    <w:name w:val="Small"/>
    <w:basedOn w:val="DefaultParagraphFont"/>
    <w:rsid w:val="000452AC"/>
    <w:rPr>
      <w:sz w:val="16"/>
    </w:rPr>
  </w:style>
  <w:style w:type="paragraph" w:customStyle="1" w:styleId="WideTable">
    <w:name w:val="Wide Table"/>
    <w:basedOn w:val="Normal"/>
    <w:rsid w:val="00045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2AC"/>
  </w:style>
  <w:style w:type="paragraph" w:styleId="Quote">
    <w:name w:val="Quote"/>
    <w:basedOn w:val="Heading1"/>
    <w:link w:val="QuoteChar"/>
    <w:qFormat/>
    <w:rsid w:val="00045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2AC"/>
    <w:pPr>
      <w:pageBreakBefore/>
    </w:pPr>
  </w:style>
  <w:style w:type="paragraph" w:customStyle="1" w:styleId="Border">
    <w:name w:val="Border"/>
    <w:basedOn w:val="Normal"/>
    <w:qFormat/>
    <w:rsid w:val="00045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2AC"/>
    <w:rPr>
      <w:u w:val="single"/>
    </w:rPr>
  </w:style>
  <w:style w:type="character" w:customStyle="1" w:styleId="BoldandItalics">
    <w:name w:val="Bold and Italics"/>
    <w:qFormat/>
    <w:rsid w:val="000452AC"/>
    <w:rPr>
      <w:b/>
      <w:i/>
      <w:u w:val="none"/>
    </w:rPr>
  </w:style>
  <w:style w:type="paragraph" w:styleId="BalloonText">
    <w:name w:val="Balloon Text"/>
    <w:basedOn w:val="Normal"/>
    <w:link w:val="BalloonTextChar"/>
    <w:rsid w:val="00045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2AC"/>
    <w:pPr>
      <w:spacing w:before="0" w:after="0"/>
    </w:pPr>
  </w:style>
  <w:style w:type="paragraph" w:customStyle="1" w:styleId="BodyTextBold">
    <w:name w:val="Body Text Bold"/>
    <w:basedOn w:val="BodyText"/>
    <w:qFormat/>
    <w:rsid w:val="000452AC"/>
    <w:rPr>
      <w:b/>
    </w:rPr>
  </w:style>
  <w:style w:type="character" w:styleId="Hyperlink">
    <w:name w:val="Hyperlink"/>
    <w:basedOn w:val="DefaultParagraphFont"/>
    <w:uiPriority w:val="99"/>
    <w:unhideWhenUsed/>
    <w:rsid w:val="00E70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3802</Characters>
  <Application>Microsoft Office Word</Application>
  <DocSecurity>0</DocSecurity>
  <Lines>181</Lines>
  <Paragraphs>98</Paragraphs>
  <ScaleCrop>false</ScaleCrop>
  <Company>Author-it Software Corporation Ltd.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MARH017 Use wheelhouse equipment for safe navigation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2024-11-25T11:20:00Z</dcterms:created>
  <dcterms:modified xsi:type="dcterms:W3CDTF">2024-11-25T11:20:00Z</dcterms:modified>
</cp:coreProperties>
</file>