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04CE" w:rsidP="00A804CE">
      <w:pPr>
        <w:pStyle w:val="Title"/>
      </w:pPr>
      <w:r>
        <w:fldChar w:fldCharType="begin"/>
      </w:r>
      <w:r>
        <w:instrText xml:space="preserve"> TITLE   \* MERGEFORMAT </w:instrText>
      </w:r>
      <w:r>
        <w:fldChar w:fldCharType="separate"/>
      </w:r>
      <w:r>
        <w:t>MARH016 Plan and navigate a passage for a vessel up to 80 metres</w:t>
      </w:r>
      <w:r>
        <w:fldChar w:fldCharType="end"/>
      </w:r>
    </w:p>
    <w:p w:rsidR="00A804CE" w:rsidP="00A804CE">
      <w:pPr>
        <w:pStyle w:val="Version"/>
        <w:sectPr w:rsidSect="001A40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403A" w:rsidP="001A403A">
      <w:pPr>
        <w:pStyle w:val="SuperHeading"/>
      </w:pPr>
      <w:r w:rsidRPr="001A403A">
        <w:t>MARH016 Plan and navigate a passage for a vessel up to 80 metres</w:t>
      </w:r>
    </w:p>
    <w:p w:rsidR="00000000" w:rsidRPr="001A403A" w:rsidP="001A403A">
      <w:pPr>
        <w:pStyle w:val="Heading1"/>
      </w:pPr>
      <w:bookmarkStart w:id="1" w:name="O_976835"/>
      <w:bookmarkEnd w:id="1"/>
      <w:r w:rsidRPr="001A403A">
        <w:t>Modification History</w:t>
      </w:r>
    </w:p>
    <w:tbl>
      <w:tblPr>
        <w:tblW w:w="9497" w:type="dxa"/>
        <w:tblLayout w:type="fixed"/>
        <w:tblCellMar>
          <w:left w:w="62" w:type="dxa"/>
          <w:right w:w="62" w:type="dxa"/>
        </w:tblCellMar>
        <w:tblLook w:val="0000"/>
      </w:tblPr>
      <w:tblGrid>
        <w:gridCol w:w="9497"/>
      </w:tblGrid>
      <w:tr w:rsidTr="001A403A">
        <w:tblPrEx>
          <w:tblW w:w="9497" w:type="dxa"/>
          <w:tblLayout w:type="fixed"/>
          <w:tblCellMar>
            <w:left w:w="62" w:type="dxa"/>
            <w:right w:w="62" w:type="dxa"/>
          </w:tblCellMar>
          <w:tblLook w:val="0000"/>
        </w:tblPrEx>
        <w:trPr>
          <w:trHeight w:val="626"/>
        </w:trPr>
        <w:tc>
          <w:tcPr>
            <w:tcW w:w="9497" w:type="dxa"/>
            <w:tcBorders>
              <w:top w:val="nil"/>
              <w:left w:val="nil"/>
              <w:bottom w:val="nil"/>
              <w:right w:val="nil"/>
            </w:tcBorders>
            <w:tcMar>
              <w:top w:w="0" w:type="dxa"/>
              <w:left w:w="62" w:type="dxa"/>
              <w:bottom w:w="0" w:type="dxa"/>
              <w:right w:w="62" w:type="dxa"/>
            </w:tcMar>
          </w:tcPr>
          <w:p w:rsidR="00000000" w:rsidRPr="001A403A" w:rsidP="001A403A">
            <w:pPr>
              <w:pStyle w:val="BodyText"/>
            </w:pPr>
            <w:r w:rsidRPr="001A403A">
              <w:t xml:space="preserve">Release 1. New unit of competency. Licensing/regulatory information has been incorporated in accordance with Regulatory requirements. Assessment </w:t>
            </w:r>
            <w:r w:rsidRPr="001A403A">
              <w:t>Requirements have been strengthened in accordance with Regulatory requirements.</w:t>
            </w:r>
          </w:p>
        </w:tc>
      </w:tr>
    </w:tbl>
    <w:p w:rsidR="00000000" w:rsidRPr="001A403A" w:rsidP="001A403A">
      <w:pPr>
        <w:pStyle w:val="NoPaddingFontSize1"/>
      </w:pPr>
    </w:p>
    <w:p w:rsidR="00000000" w:rsidRPr="001A403A" w:rsidP="001A403A">
      <w:pPr>
        <w:pStyle w:val="AllowPageBreak"/>
      </w:pPr>
    </w:p>
    <w:p w:rsidR="00000000" w:rsidRPr="001A403A" w:rsidP="001A403A">
      <w:pPr>
        <w:pStyle w:val="Heading1"/>
      </w:pPr>
      <w:bookmarkStart w:id="2" w:name="O_976843"/>
      <w:bookmarkEnd w:id="2"/>
      <w:r w:rsidRPr="001A403A">
        <w:t>Application</w:t>
      </w:r>
    </w:p>
    <w:tbl>
      <w:tblPr>
        <w:tblW w:w="9497" w:type="dxa"/>
        <w:tblLayout w:type="fixed"/>
        <w:tblCellMar>
          <w:left w:w="62" w:type="dxa"/>
          <w:right w:w="62" w:type="dxa"/>
        </w:tblCellMar>
        <w:tblLook w:val="0000"/>
      </w:tblPr>
      <w:tblGrid>
        <w:gridCol w:w="9497"/>
      </w:tblGrid>
      <w:tr w:rsidTr="001A40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403A" w:rsidP="001A403A">
            <w:pPr>
              <w:pStyle w:val="BodyText"/>
            </w:pPr>
            <w:r w:rsidRPr="001A403A">
              <w:t>This unit involves the skills and knowledge required to plan and safely conduct a passage on a vessel up to 80 m, including obtaining and interpr</w:t>
            </w:r>
            <w:r w:rsidRPr="001A403A">
              <w:t>eting weather information and position fixing.</w:t>
            </w:r>
          </w:p>
          <w:p w:rsidR="00000000" w:rsidRPr="001A403A" w:rsidP="001A403A">
            <w:pPr>
              <w:pStyle w:val="BodyText"/>
            </w:pPr>
            <w:r w:rsidRPr="001A403A">
              <w:t>This unit applies to people working in the maritime industry in the capacity of:</w:t>
            </w:r>
          </w:p>
          <w:p w:rsidR="00000000" w:rsidRPr="001A403A" w:rsidP="001A403A">
            <w:pPr>
              <w:pStyle w:val="ListBullet"/>
            </w:pPr>
            <w:r w:rsidRPr="001A403A">
              <w:t xml:space="preserve">master on commercial vessels &lt;35 m in length within the exclusive economic zone (EEZ) or </w:t>
            </w:r>
          </w:p>
          <w:p w:rsidR="00000000" w:rsidRPr="001A403A" w:rsidP="001A403A">
            <w:pPr>
              <w:pStyle w:val="ListBullet"/>
            </w:pPr>
            <w:r w:rsidRPr="001A403A">
              <w:t>master on vessels &lt;80 m in inshore wa</w:t>
            </w:r>
            <w:r w:rsidRPr="001A403A">
              <w:t>ters; and</w:t>
            </w:r>
          </w:p>
          <w:p w:rsidR="00000000" w:rsidRPr="001A403A" w:rsidP="001A403A">
            <w:pPr>
              <w:pStyle w:val="ListBullet"/>
            </w:pPr>
            <w:r w:rsidRPr="001A403A">
              <w:t xml:space="preserve">chief mate or deck watchkeeper on vessels &lt;80 m within the EEZ. </w:t>
            </w:r>
          </w:p>
          <w:p w:rsidR="00000000" w:rsidRPr="001A403A" w:rsidP="001A403A">
            <w:pPr>
              <w:pStyle w:val="BodyText"/>
            </w:pPr>
            <w:r w:rsidRPr="001A403A">
              <w:rPr>
                <w:rStyle w:val="SpecialBold"/>
              </w:rPr>
              <w:t>Licensing/Regulatory Information</w:t>
            </w:r>
          </w:p>
          <w:p w:rsidR="00000000" w:rsidRPr="001A403A" w:rsidP="001A403A">
            <w:pPr>
              <w:pStyle w:val="BodyText"/>
            </w:pPr>
            <w:r w:rsidRPr="001A403A">
              <w:t>Legislative and regulatory requirements are applicable to this unit. This unit is one of the requirements to obtain Australian Maritime Safety Autho</w:t>
            </w:r>
            <w:r w:rsidRPr="001A403A">
              <w:t>rity (AMSA) certification as a Master &lt;24m NC, Mate &lt;80m NC and Master &lt;35m NC as defined in the National Standard for Commercial Vessels (NSCV) Part D. The AMSA mandated practical assessment (AMPA) is a requirement for AMSA certification. The Australian M</w:t>
            </w:r>
            <w:r w:rsidRPr="001A403A">
              <w:t>aritime Safety Authority (AMSA) mandated practical assessment (AMPA) will cover a range, but not all, of the requirements identified in the Performance Evidence and Knowledge Evidence. The AMPA shall be undertaken in accordance with its instructions.</w:t>
            </w:r>
          </w:p>
          <w:p w:rsidR="00000000" w:rsidRPr="001A403A" w:rsidP="001A403A">
            <w:pPr>
              <w:pStyle w:val="BodyText"/>
            </w:pPr>
            <w:r w:rsidRPr="001A403A">
              <w:t>Asses</w:t>
            </w:r>
            <w:r w:rsidRPr="001A403A">
              <w:t>sors of AMPA must hold as a minimum:</w:t>
            </w:r>
          </w:p>
          <w:p w:rsidR="00000000" w:rsidRPr="001A403A" w:rsidP="001A403A">
            <w:pPr>
              <w:pStyle w:val="ListBullet"/>
            </w:pPr>
            <w:r w:rsidRPr="001A403A">
              <w:t>a current certificate of competency issued under Marine Safety (Domestic Commercial Vessel) National Law Act 2012 at the same level as the qualification being assessed with at least 12 months’ relevant sea service, or</w:t>
            </w:r>
          </w:p>
          <w:p w:rsidR="00000000" w:rsidRPr="001A403A" w:rsidP="001A403A">
            <w:pPr>
              <w:pStyle w:val="ListBullet"/>
            </w:pPr>
            <w:r w:rsidRPr="001A403A">
              <w:t xml:space="preserve">a relevant seafarer certificate, as master or deck officer, issued under the Navigation Act 2012.  </w:t>
            </w:r>
          </w:p>
        </w:tc>
      </w:tr>
    </w:tbl>
    <w:p w:rsidR="00000000" w:rsidRPr="001A403A" w:rsidP="001A403A">
      <w:pPr>
        <w:pStyle w:val="NoPaddingFontSize1"/>
      </w:pPr>
    </w:p>
    <w:p w:rsidR="00000000" w:rsidRPr="001A403A" w:rsidP="001A403A">
      <w:pPr>
        <w:pStyle w:val="AllowPageBreak"/>
      </w:pPr>
    </w:p>
    <w:p w:rsidR="00000000" w:rsidRPr="001A403A" w:rsidP="001A403A">
      <w:pPr>
        <w:pStyle w:val="Heading1"/>
      </w:pPr>
      <w:bookmarkStart w:id="3" w:name="O_976842"/>
      <w:bookmarkEnd w:id="3"/>
      <w:r w:rsidRPr="001A403A">
        <w:t>Pre-requisite Unit</w:t>
      </w:r>
    </w:p>
    <w:tbl>
      <w:tblPr>
        <w:tblW w:w="9497" w:type="dxa"/>
        <w:tblLayout w:type="fixed"/>
        <w:tblCellMar>
          <w:left w:w="62" w:type="dxa"/>
          <w:right w:w="62" w:type="dxa"/>
        </w:tblCellMar>
        <w:tblLook w:val="0000"/>
      </w:tblPr>
      <w:tblGrid>
        <w:gridCol w:w="9497"/>
      </w:tblGrid>
      <w:tr w:rsidTr="001A40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403A" w:rsidP="001A403A">
            <w:pPr>
              <w:pStyle w:val="BodyText"/>
            </w:pPr>
            <w:r w:rsidRPr="001A403A">
              <w:t>Not Applicable</w:t>
            </w:r>
          </w:p>
        </w:tc>
      </w:tr>
    </w:tbl>
    <w:p w:rsidR="00000000" w:rsidRPr="001A403A" w:rsidP="001A403A">
      <w:pPr>
        <w:pStyle w:val="NoPaddingFontSize1"/>
      </w:pPr>
    </w:p>
    <w:p w:rsidR="00000000" w:rsidRPr="001A403A" w:rsidP="001A403A">
      <w:pPr>
        <w:pStyle w:val="AllowPageBreak"/>
      </w:pPr>
    </w:p>
    <w:p w:rsidR="00000000" w:rsidRPr="001A403A" w:rsidP="001A403A">
      <w:pPr>
        <w:pStyle w:val="Heading1"/>
      </w:pPr>
      <w:bookmarkStart w:id="4" w:name="O_976841"/>
      <w:bookmarkEnd w:id="4"/>
      <w:r w:rsidRPr="001A403A">
        <w:t>Competency Field</w:t>
      </w:r>
    </w:p>
    <w:tbl>
      <w:tblPr>
        <w:tblW w:w="9497" w:type="dxa"/>
        <w:tblLayout w:type="fixed"/>
        <w:tblCellMar>
          <w:left w:w="62" w:type="dxa"/>
          <w:right w:w="62" w:type="dxa"/>
        </w:tblCellMar>
        <w:tblLook w:val="0000"/>
      </w:tblPr>
      <w:tblGrid>
        <w:gridCol w:w="9497"/>
      </w:tblGrid>
      <w:tr w:rsidTr="001A40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403A" w:rsidP="001A403A">
            <w:pPr>
              <w:pStyle w:val="BodyText"/>
            </w:pPr>
            <w:r w:rsidRPr="001A403A">
              <w:t>H – Navigation</w:t>
            </w:r>
          </w:p>
        </w:tc>
      </w:tr>
    </w:tbl>
    <w:p w:rsidR="00000000" w:rsidRPr="001A403A" w:rsidP="001A403A">
      <w:pPr>
        <w:pStyle w:val="NoPaddingFontSize1"/>
      </w:pPr>
    </w:p>
    <w:p w:rsidR="00000000" w:rsidRPr="001A403A" w:rsidP="001A403A">
      <w:pPr>
        <w:pStyle w:val="AllowPageBreak"/>
      </w:pPr>
    </w:p>
    <w:p w:rsidR="00000000" w:rsidRPr="001A403A" w:rsidP="001A403A">
      <w:pPr>
        <w:pStyle w:val="Heading1"/>
      </w:pPr>
      <w:bookmarkStart w:id="5" w:name="O_976840"/>
      <w:bookmarkEnd w:id="5"/>
      <w:r w:rsidRPr="001A403A">
        <w:t>Unit Sector</w:t>
      </w:r>
    </w:p>
    <w:tbl>
      <w:tblPr>
        <w:tblW w:w="9497" w:type="dxa"/>
        <w:tblLayout w:type="fixed"/>
        <w:tblCellMar>
          <w:left w:w="62" w:type="dxa"/>
          <w:right w:w="62" w:type="dxa"/>
        </w:tblCellMar>
        <w:tblLook w:val="0000"/>
      </w:tblPr>
      <w:tblGrid>
        <w:gridCol w:w="9497"/>
      </w:tblGrid>
      <w:tr w:rsidTr="001A40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403A" w:rsidP="001A403A">
            <w:pPr>
              <w:pStyle w:val="BodyText"/>
            </w:pPr>
            <w:r w:rsidRPr="001A403A">
              <w:t xml:space="preserve">Not Applicable </w:t>
            </w:r>
          </w:p>
        </w:tc>
      </w:tr>
    </w:tbl>
    <w:p w:rsidR="00000000" w:rsidRPr="001A403A" w:rsidP="001A403A">
      <w:pPr>
        <w:pStyle w:val="NoPaddingFontSize1"/>
      </w:pPr>
    </w:p>
    <w:p w:rsidR="00000000" w:rsidRPr="001A403A" w:rsidP="001A403A">
      <w:pPr>
        <w:pStyle w:val="AllowPageBreak"/>
      </w:pPr>
    </w:p>
    <w:p w:rsidR="00000000" w:rsidRPr="001A403A" w:rsidP="001A403A">
      <w:pPr>
        <w:pStyle w:val="Heading1"/>
      </w:pPr>
      <w:bookmarkStart w:id="6" w:name="O_976839"/>
      <w:bookmarkEnd w:id="6"/>
      <w:r w:rsidRPr="001A403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A403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A403A" w:rsidP="001A403A">
            <w:pPr>
              <w:pStyle w:val="BodyText"/>
            </w:pPr>
            <w:r w:rsidRPr="001A403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rPr>
                <w:rStyle w:val="SpecialBold"/>
              </w:rPr>
              <w:t>PERFORMANCE CRITERIA</w:t>
            </w:r>
          </w:p>
        </w:tc>
      </w:tr>
      <w:tr w:rsidTr="001A403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t>Performance criteria describe the performance needed to demonstrate achievement of the element.</w:t>
            </w:r>
          </w:p>
        </w:tc>
      </w:tr>
      <w:tr w:rsidTr="001A40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A403A" w:rsidP="001A403A">
            <w:pPr>
              <w:pStyle w:val="BodyText"/>
            </w:pPr>
            <w:r w:rsidRPr="001A403A">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1A403A" w:rsidP="001A403A">
            <w:pPr>
              <w:pStyle w:val="BodyText"/>
            </w:pPr>
            <w:r w:rsidRPr="001A403A">
              <w:rPr>
                <w:rStyle w:val="SpecialBold"/>
              </w:rPr>
              <w:t>Plan passage</w:t>
            </w:r>
          </w:p>
        </w:tc>
        <w:tc>
          <w:tcPr>
            <w:tcW w:w="697"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t>Navigational charts, nautical publications and related documentation are accessed and checked for currency</w:t>
            </w:r>
          </w:p>
        </w:tc>
      </w:tr>
      <w:tr w:rsidTr="001A40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40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t>Documentation is used to identify navigational hazards relevant to proposed voyage</w:t>
            </w:r>
          </w:p>
        </w:tc>
      </w:tr>
      <w:tr w:rsidTr="001A40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40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t>Route for voyage is determined and critical points a</w:t>
            </w:r>
            <w:r w:rsidRPr="001A403A">
              <w:t xml:space="preserve">long proposed route of voyage are identified and plotted </w:t>
            </w:r>
          </w:p>
        </w:tc>
      </w:tr>
      <w:tr w:rsidTr="001A40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40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t>Potential navigational contingencies and problems along planned route are identified and appropriate strategies for dealing with them are developed and recorded</w:t>
            </w:r>
          </w:p>
        </w:tc>
      </w:tr>
      <w:tr w:rsidTr="001A40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40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t>Weather forecasts are obtained and interpreted, and weather and sea condition hazards relevant to proposed voyage are identified prior to departure</w:t>
            </w:r>
          </w:p>
        </w:tc>
      </w:tr>
      <w:tr w:rsidTr="001A40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40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t>Route is modified as required to take into account weather and sea condition hazards</w:t>
            </w:r>
          </w:p>
        </w:tc>
      </w:tr>
      <w:tr w:rsidTr="001A40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40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t>Planned r</w:t>
            </w:r>
            <w:r w:rsidRPr="001A403A">
              <w:t>oute for voyage and strategies for dealing with critical situations and contingencies along route are recorded</w:t>
            </w:r>
          </w:p>
        </w:tc>
      </w:tr>
      <w:tr w:rsidTr="001A40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A403A" w:rsidP="001A403A">
            <w:pPr>
              <w:pStyle w:val="BodyText"/>
            </w:pPr>
            <w:r w:rsidRPr="001A403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A403A" w:rsidP="001A403A">
            <w:pPr>
              <w:pStyle w:val="BodyText"/>
            </w:pPr>
            <w:r w:rsidRPr="001A403A">
              <w:rPr>
                <w:rStyle w:val="SpecialBold"/>
              </w:rPr>
              <w:t>Conduct a pre-departure check</w:t>
            </w:r>
          </w:p>
        </w:tc>
        <w:tc>
          <w:tcPr>
            <w:tcW w:w="697"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t>Propulsion steering equipment and alarms are tested for serviceability and vessel hull is checked for seaworthiness</w:t>
            </w:r>
          </w:p>
        </w:tc>
      </w:tr>
      <w:tr w:rsidTr="001A40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40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t>Wheelhouse equipment and alarms are checked to ensure they are in proper working condition and set for passage</w:t>
            </w:r>
          </w:p>
        </w:tc>
      </w:tr>
      <w:tr w:rsidTr="001A40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40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t>Wheelhouse equi</w:t>
            </w:r>
            <w:r w:rsidRPr="001A403A">
              <w:t>pment is checked for errors and allowances are made in planning passage</w:t>
            </w:r>
          </w:p>
        </w:tc>
      </w:tr>
      <w:tr w:rsidTr="001A40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40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t>Fuel is checked to ensure that there is adequate fuel, including a reserve, on board for the intended passage</w:t>
            </w:r>
          </w:p>
        </w:tc>
      </w:tr>
      <w:tr w:rsidTr="001A40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40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t>Safety equipment is checked for compliance with relevant legislation</w:t>
            </w:r>
          </w:p>
        </w:tc>
      </w:tr>
      <w:tr w:rsidTr="001A40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40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t xml:space="preserve">Communication equipment is checked to ensure it is in proper working condition </w:t>
            </w:r>
          </w:p>
        </w:tc>
      </w:tr>
      <w:tr w:rsidTr="001A40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40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t>Anchoring and mooring equipment is checked to ensure it is in proper working condition</w:t>
            </w:r>
          </w:p>
        </w:tc>
      </w:tr>
      <w:tr w:rsidTr="001A40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40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t>Vessel and equipment are secured for sea</w:t>
            </w:r>
          </w:p>
        </w:tc>
      </w:tr>
      <w:tr w:rsidTr="001A40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40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t>Latest weather information is obtained and interpreted, and proposed route is modified as required to take into account weather and sea condition hazards</w:t>
            </w:r>
          </w:p>
        </w:tc>
      </w:tr>
      <w:tr w:rsidTr="001A40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A403A" w:rsidP="001A403A">
            <w:pPr>
              <w:pStyle w:val="BodyText"/>
            </w:pPr>
            <w:r w:rsidRPr="001A403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A403A" w:rsidP="001A403A">
            <w:pPr>
              <w:pStyle w:val="BodyText"/>
            </w:pPr>
            <w:r w:rsidRPr="001A403A">
              <w:rPr>
                <w:rStyle w:val="SpecialBold"/>
              </w:rPr>
              <w:t>Conduct passage</w:t>
            </w:r>
          </w:p>
        </w:tc>
        <w:tc>
          <w:tcPr>
            <w:tcW w:w="697"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t>Local authorities are advised of departure and passage plan</w:t>
            </w:r>
          </w:p>
        </w:tc>
      </w:tr>
      <w:tr w:rsidTr="001A40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40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t xml:space="preserve">Mode of steering is selected appropriate for prevailing weather, sea and traffic conditions, and intended manoeuvres </w:t>
            </w:r>
          </w:p>
        </w:tc>
      </w:tr>
      <w:tr w:rsidTr="001A40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40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t>Weather forecasts and observations of sea and weather conditions</w:t>
            </w:r>
            <w:r w:rsidRPr="001A403A">
              <w:t xml:space="preserve"> are used to determine vessel speed and direction</w:t>
            </w:r>
          </w:p>
        </w:tc>
      </w:tr>
      <w:tr w:rsidTr="001A40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40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t>Information from wheelhouse equipment is interpreted to identify navigational hazards and fix vessel position</w:t>
            </w:r>
          </w:p>
        </w:tc>
      </w:tr>
      <w:tr w:rsidTr="001A40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40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t>Alterations to vessel course or speed are made to meet prevailing circumstances and changing conditions</w:t>
            </w:r>
          </w:p>
        </w:tc>
      </w:tr>
      <w:tr w:rsidTr="001A40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40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t>Navigational manoeuvres are conducted within safe operational limits of vessel</w:t>
            </w:r>
          </w:p>
        </w:tc>
      </w:tr>
      <w:tr w:rsidTr="001A40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40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t xml:space="preserve">Details of passage are recorded in vessel log according to </w:t>
            </w:r>
            <w:r w:rsidRPr="001A403A">
              <w:t>regulations</w:t>
            </w:r>
          </w:p>
        </w:tc>
      </w:tr>
      <w:tr w:rsidTr="001A40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A403A" w:rsidP="001A403A">
            <w:pPr>
              <w:pStyle w:val="BodyText"/>
            </w:pPr>
            <w:r w:rsidRPr="001A403A">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1A403A" w:rsidP="001A403A">
            <w:pPr>
              <w:pStyle w:val="BodyText"/>
            </w:pPr>
            <w:r w:rsidRPr="001A403A">
              <w:rPr>
                <w:rStyle w:val="SpecialBold"/>
              </w:rPr>
              <w:t>Fix vessel position</w:t>
            </w:r>
          </w:p>
        </w:tc>
        <w:tc>
          <w:tcPr>
            <w:tcW w:w="697"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t>Primary position fixing method is selected according to navigational principles and prevailing conditions</w:t>
            </w:r>
          </w:p>
        </w:tc>
      </w:tr>
      <w:tr w:rsidTr="001A40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40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t>Position is fixed using selected method and information derived from relevant wheelhouse equipment</w:t>
            </w:r>
          </w:p>
        </w:tc>
      </w:tr>
      <w:tr w:rsidTr="001A40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40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t>Position is recorded according to regulations</w:t>
            </w:r>
          </w:p>
        </w:tc>
      </w:tr>
      <w:tr w:rsidTr="001A40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40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t>Fixes are taken at time intervals appropriate for prevailing navigational conditions</w:t>
            </w:r>
          </w:p>
        </w:tc>
      </w:tr>
      <w:tr w:rsidTr="001A40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40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403A">
            <w:pPr>
              <w:pStyle w:val="BodyText"/>
              <w:rPr>
                <w:lang w:val="en-NZ"/>
              </w:rPr>
            </w:pPr>
            <w:r w:rsidRPr="001A403A">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1A403A" w:rsidP="001A403A">
            <w:pPr>
              <w:pStyle w:val="BodyText"/>
            </w:pPr>
            <w:r w:rsidRPr="001A403A">
              <w:t>Performance checks of position fixing instruments and wheelhouse equipment are carried out according to org</w:t>
            </w:r>
            <w:r w:rsidRPr="001A403A">
              <w:t>anisational procedures and manufacturer instructions</w:t>
            </w:r>
          </w:p>
        </w:tc>
      </w:tr>
    </w:tbl>
    <w:p w:rsidR="00000000" w:rsidRPr="001A403A" w:rsidP="001A403A">
      <w:pPr>
        <w:pStyle w:val="NoPaddingFontSize1"/>
      </w:pPr>
    </w:p>
    <w:p w:rsidR="00000000" w:rsidRPr="001A403A" w:rsidP="001A403A">
      <w:pPr>
        <w:pStyle w:val="AllowPageBreak"/>
      </w:pPr>
    </w:p>
    <w:p w:rsidR="00000000" w:rsidRPr="001A403A" w:rsidP="001A403A">
      <w:pPr>
        <w:pStyle w:val="Heading1"/>
      </w:pPr>
      <w:bookmarkStart w:id="7" w:name="O_976838"/>
      <w:bookmarkEnd w:id="7"/>
      <w:r w:rsidRPr="001A403A">
        <w:t>Foundation Skills</w:t>
      </w:r>
    </w:p>
    <w:tbl>
      <w:tblPr>
        <w:tblW w:w="9497" w:type="dxa"/>
        <w:tblLayout w:type="fixed"/>
        <w:tblCellMar>
          <w:left w:w="62" w:type="dxa"/>
          <w:right w:w="62" w:type="dxa"/>
        </w:tblCellMar>
        <w:tblLook w:val="0000"/>
      </w:tblPr>
      <w:tblGrid>
        <w:gridCol w:w="9497"/>
      </w:tblGrid>
      <w:tr w:rsidTr="001A40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403A" w:rsidP="001A403A">
            <w:pPr>
              <w:pStyle w:val="BodyText"/>
            </w:pPr>
            <w:r w:rsidRPr="001A403A">
              <w:t>Foundation skills essential to performance are explicit in the performance criteria of this unit of competency.</w:t>
            </w:r>
          </w:p>
        </w:tc>
      </w:tr>
    </w:tbl>
    <w:p w:rsidR="00000000" w:rsidRPr="001A403A" w:rsidP="001A403A">
      <w:pPr>
        <w:pStyle w:val="NoPaddingFontSize1"/>
      </w:pPr>
    </w:p>
    <w:p w:rsidR="00000000" w:rsidRPr="001A403A" w:rsidP="001A403A">
      <w:pPr>
        <w:pStyle w:val="AllowPageBreak"/>
      </w:pPr>
    </w:p>
    <w:p w:rsidR="00000000" w:rsidRPr="001A403A" w:rsidP="001A403A">
      <w:pPr>
        <w:pStyle w:val="Heading1"/>
      </w:pPr>
      <w:bookmarkStart w:id="8" w:name="O_976837"/>
      <w:bookmarkEnd w:id="8"/>
      <w:r w:rsidRPr="001A403A">
        <w:t>Range of Conditions</w:t>
      </w:r>
    </w:p>
    <w:tbl>
      <w:tblPr>
        <w:tblW w:w="9497" w:type="dxa"/>
        <w:tblLayout w:type="fixed"/>
        <w:tblCellMar>
          <w:left w:w="62" w:type="dxa"/>
          <w:right w:w="62" w:type="dxa"/>
        </w:tblCellMar>
        <w:tblLook w:val="0000"/>
      </w:tblPr>
      <w:tblGrid>
        <w:gridCol w:w="9497"/>
      </w:tblGrid>
      <w:tr w:rsidTr="001A40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403A" w:rsidP="001A403A">
            <w:pPr>
              <w:pStyle w:val="BodyText"/>
            </w:pPr>
            <w:r w:rsidRPr="001A403A">
              <w:t>Range is restricted to essential operating conditions and any other variables essential to the work environment.</w:t>
            </w:r>
          </w:p>
        </w:tc>
      </w:tr>
    </w:tbl>
    <w:p w:rsidR="00000000" w:rsidRPr="001A403A" w:rsidP="001A403A">
      <w:pPr>
        <w:pStyle w:val="NoPaddingFontSize1"/>
      </w:pPr>
    </w:p>
    <w:p w:rsidR="00000000" w:rsidRPr="001A403A" w:rsidP="001A403A">
      <w:pPr>
        <w:pStyle w:val="AllowPageBreak"/>
      </w:pPr>
    </w:p>
    <w:p w:rsidR="00000000" w:rsidRPr="001A403A" w:rsidP="001A403A">
      <w:pPr>
        <w:pStyle w:val="Heading1"/>
      </w:pPr>
      <w:bookmarkStart w:id="9" w:name="O_976836"/>
      <w:bookmarkEnd w:id="9"/>
      <w:r w:rsidRPr="001A403A">
        <w:t>Unit Mapping Information</w:t>
      </w:r>
    </w:p>
    <w:tbl>
      <w:tblPr>
        <w:tblW w:w="9497" w:type="dxa"/>
        <w:tblLayout w:type="fixed"/>
        <w:tblCellMar>
          <w:left w:w="62" w:type="dxa"/>
          <w:right w:w="62" w:type="dxa"/>
        </w:tblCellMar>
        <w:tblLook w:val="0000"/>
      </w:tblPr>
      <w:tblGrid>
        <w:gridCol w:w="9497"/>
      </w:tblGrid>
      <w:tr w:rsidTr="001A403A">
        <w:tblPrEx>
          <w:tblW w:w="9497" w:type="dxa"/>
          <w:tblLayout w:type="fixed"/>
          <w:tblCellMar>
            <w:left w:w="62" w:type="dxa"/>
            <w:right w:w="62" w:type="dxa"/>
          </w:tblCellMar>
          <w:tblLook w:val="0000"/>
        </w:tblPrEx>
        <w:trPr>
          <w:trHeight w:val="433"/>
        </w:trPr>
        <w:tc>
          <w:tcPr>
            <w:tcW w:w="9497" w:type="dxa"/>
            <w:tcBorders>
              <w:top w:val="nil"/>
              <w:left w:val="nil"/>
              <w:bottom w:val="nil"/>
              <w:right w:val="nil"/>
            </w:tcBorders>
            <w:tcMar>
              <w:top w:w="0" w:type="dxa"/>
              <w:left w:w="62" w:type="dxa"/>
              <w:bottom w:w="0" w:type="dxa"/>
              <w:right w:w="62" w:type="dxa"/>
            </w:tcMar>
          </w:tcPr>
          <w:p w:rsidR="00000000" w:rsidRPr="001A403A" w:rsidP="001A403A">
            <w:pPr>
              <w:pStyle w:val="BodyText"/>
            </w:pPr>
            <w:r w:rsidRPr="001A403A">
              <w:t>This unit replaces and is equivalent to MARH004 Plan and navigate a passage for a vessel up to 80 m</w:t>
            </w:r>
            <w:r w:rsidRPr="001A403A">
              <w:t>etres.</w:t>
            </w:r>
          </w:p>
        </w:tc>
      </w:tr>
    </w:tbl>
    <w:p w:rsidR="00000000" w:rsidRPr="001A403A" w:rsidP="001A403A">
      <w:pPr>
        <w:pStyle w:val="NoPaddingFontSize1"/>
      </w:pPr>
    </w:p>
    <w:p w:rsidR="00000000" w:rsidRPr="001A403A" w:rsidP="001A403A">
      <w:pPr>
        <w:pStyle w:val="AllowPageBreak"/>
      </w:pPr>
    </w:p>
    <w:p w:rsidR="00000000" w:rsidRPr="001A403A" w:rsidP="001A403A">
      <w:pPr>
        <w:pStyle w:val="Heading1"/>
      </w:pPr>
      <w:bookmarkStart w:id="10" w:name="O_976829"/>
      <w:bookmarkEnd w:id="10"/>
      <w:r w:rsidRPr="001A403A">
        <w:t>Links</w:t>
      </w:r>
    </w:p>
    <w:p w:rsidR="00000000" w:rsidRPr="001A403A" w:rsidP="00A804CE">
      <w:pPr>
        <w:pStyle w:val="BodyText"/>
      </w:pPr>
      <w:r w:rsidRPr="001A403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01908">
        <w:rPr>
          <w:rStyle w:val="Hyperlink"/>
        </w:rPr>
        <w:t>https://vetnet.gov.au/Pages/TrainingDocs.aspx?q=772efb7b-4cce-47fe-9bbd-ee3b1d1eb4c2</w:t>
      </w:r>
      <w:r>
        <w:fldChar w:fldCharType="end"/>
      </w:r>
    </w:p>
    <w:p w:rsidR="00000000" w:rsidRPr="001A403A" w:rsidP="001A403A"/>
    <w:sectPr w:rsidSect="001A40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0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03A" w:rsidRPr="00A804CE" w:rsidP="00A804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0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4CE" w:rsidP="001A40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04CE" w:rsidP="001A403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804CE" w:rsidP="001A40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0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4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403A" w:rsidRPr="00A804CE" w:rsidP="00A804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0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4CE" w:rsidRPr="002D2AF8" w:rsidP="001A403A">
    <w:pPr>
      <w:pStyle w:val="Header"/>
      <w:framePr w:wrap="around"/>
    </w:pPr>
    <w:r>
      <w:fldChar w:fldCharType="begin"/>
    </w:r>
    <w:r>
      <w:instrText xml:space="preserve"> TITLE   \* MERGEFORMAT </w:instrText>
    </w:r>
    <w:r>
      <w:fldChar w:fldCharType="separate"/>
    </w:r>
    <w:r>
      <w:t>MARH016 Plan and navigate a passage for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A804CE" w:rsidP="001A40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3EA9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802C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0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403A"/>
    <w:pPr>
      <w:spacing w:before="360" w:after="60"/>
      <w:outlineLvl w:val="0"/>
    </w:pPr>
    <w:rPr>
      <w:sz w:val="32"/>
    </w:rPr>
  </w:style>
  <w:style w:type="paragraph" w:styleId="Heading2">
    <w:name w:val="heading 2"/>
    <w:basedOn w:val="HeadingBase"/>
    <w:next w:val="BodyText"/>
    <w:link w:val="Heading2Char"/>
    <w:qFormat/>
    <w:rsid w:val="001A403A"/>
    <w:pPr>
      <w:keepLines/>
      <w:spacing w:before="240" w:after="120"/>
      <w:outlineLvl w:val="1"/>
    </w:pPr>
    <w:rPr>
      <w:sz w:val="28"/>
      <w:szCs w:val="40"/>
    </w:rPr>
  </w:style>
  <w:style w:type="paragraph" w:styleId="Heading3">
    <w:name w:val="heading 3"/>
    <w:basedOn w:val="HeadingBase"/>
    <w:next w:val="BodyText"/>
    <w:link w:val="Heading3Char"/>
    <w:qFormat/>
    <w:rsid w:val="001A403A"/>
    <w:pPr>
      <w:spacing w:before="180" w:after="120"/>
      <w:outlineLvl w:val="2"/>
    </w:pPr>
    <w:rPr>
      <w:spacing w:val="-10"/>
      <w:kern w:val="32"/>
    </w:rPr>
  </w:style>
  <w:style w:type="paragraph" w:styleId="Heading4">
    <w:name w:val="heading 4"/>
    <w:basedOn w:val="HeadingBase"/>
    <w:next w:val="BodyText"/>
    <w:link w:val="Heading4Char"/>
    <w:qFormat/>
    <w:rsid w:val="001A403A"/>
    <w:pPr>
      <w:spacing w:before="160" w:after="120"/>
      <w:outlineLvl w:val="3"/>
    </w:pPr>
    <w:rPr>
      <w:sz w:val="22"/>
    </w:rPr>
  </w:style>
  <w:style w:type="paragraph" w:styleId="Heading5">
    <w:name w:val="heading 5"/>
    <w:basedOn w:val="HeadingBase"/>
    <w:next w:val="Normal"/>
    <w:link w:val="Heading5Char"/>
    <w:qFormat/>
    <w:rsid w:val="001A403A"/>
    <w:pPr>
      <w:spacing w:before="80"/>
      <w:outlineLvl w:val="4"/>
    </w:pPr>
    <w:rPr>
      <w:color w:val="918585"/>
      <w:sz w:val="20"/>
    </w:rPr>
  </w:style>
  <w:style w:type="paragraph" w:styleId="Heading6">
    <w:name w:val="heading 6"/>
    <w:basedOn w:val="HeadingBase"/>
    <w:next w:val="Normal"/>
    <w:link w:val="Heading6Char"/>
    <w:qFormat/>
    <w:rsid w:val="001A403A"/>
    <w:pPr>
      <w:spacing w:before="60"/>
      <w:outlineLvl w:val="5"/>
    </w:pPr>
    <w:rPr>
      <w:color w:val="918585"/>
      <w:sz w:val="20"/>
    </w:rPr>
  </w:style>
  <w:style w:type="paragraph" w:styleId="Heading7">
    <w:name w:val="heading 7"/>
    <w:basedOn w:val="Normal"/>
    <w:next w:val="Normal"/>
    <w:link w:val="Heading7Char"/>
    <w:qFormat/>
    <w:rsid w:val="001A403A"/>
    <w:pPr>
      <w:ind w:left="720"/>
      <w:outlineLvl w:val="6"/>
    </w:pPr>
    <w:rPr>
      <w:i/>
    </w:rPr>
  </w:style>
  <w:style w:type="paragraph" w:styleId="Heading8">
    <w:name w:val="heading 8"/>
    <w:basedOn w:val="Normal"/>
    <w:next w:val="Normal"/>
    <w:link w:val="Heading8Char"/>
    <w:qFormat/>
    <w:rsid w:val="001A403A"/>
    <w:pPr>
      <w:ind w:left="720"/>
      <w:outlineLvl w:val="7"/>
    </w:pPr>
    <w:rPr>
      <w:i/>
    </w:rPr>
  </w:style>
  <w:style w:type="paragraph" w:styleId="Heading9">
    <w:name w:val="heading 9"/>
    <w:basedOn w:val="Normal"/>
    <w:next w:val="Normal"/>
    <w:link w:val="Heading9Char"/>
    <w:qFormat/>
    <w:rsid w:val="001A403A"/>
    <w:pPr>
      <w:ind w:left="720"/>
      <w:outlineLvl w:val="8"/>
    </w:pPr>
    <w:rPr>
      <w:i/>
    </w:rPr>
  </w:style>
  <w:style w:type="character" w:default="1" w:styleId="DefaultParagraphFont">
    <w:name w:val="Default Paragraph Font"/>
    <w:uiPriority w:val="1"/>
    <w:unhideWhenUsed/>
    <w:rsid w:val="001A40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403A"/>
  </w:style>
  <w:style w:type="character" w:customStyle="1" w:styleId="Heading1Char">
    <w:name w:val="Heading 1 Char"/>
    <w:basedOn w:val="DefaultParagraphFont"/>
    <w:link w:val="Heading1"/>
    <w:rsid w:val="001A403A"/>
    <w:rPr>
      <w:rFonts w:ascii="Times New Roman" w:eastAsia="Times New Roman" w:hAnsi="Times New Roman" w:cs="Times New Roman"/>
      <w:b/>
      <w:sz w:val="32"/>
      <w:szCs w:val="20"/>
      <w:lang w:eastAsia="en-US"/>
    </w:rPr>
  </w:style>
  <w:style w:type="paragraph" w:styleId="BodyText">
    <w:name w:val="Body Text"/>
    <w:basedOn w:val="Normal"/>
    <w:link w:val="BodyTextChar"/>
    <w:rsid w:val="001A40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403A"/>
    <w:rPr>
      <w:rFonts w:ascii="Times New Roman" w:eastAsia="Times New Roman" w:hAnsi="Times New Roman" w:cs="Times New Roman"/>
      <w:sz w:val="24"/>
      <w:lang w:eastAsia="en-US"/>
    </w:rPr>
  </w:style>
  <w:style w:type="paragraph" w:styleId="ListBullet">
    <w:name w:val="List Bullet"/>
    <w:basedOn w:val="List"/>
    <w:rsid w:val="001A403A"/>
    <w:pPr>
      <w:numPr>
        <w:numId w:val="11"/>
      </w:numPr>
      <w:tabs>
        <w:tab w:val="clear" w:pos="340"/>
      </w:tabs>
      <w:spacing w:before="40" w:after="40"/>
    </w:pPr>
  </w:style>
  <w:style w:type="character" w:customStyle="1" w:styleId="SpecialBold">
    <w:name w:val="Special Bold"/>
    <w:basedOn w:val="DefaultParagraphFont"/>
    <w:rsid w:val="001A403A"/>
    <w:rPr>
      <w:b/>
      <w:spacing w:val="0"/>
    </w:rPr>
  </w:style>
  <w:style w:type="paragraph" w:customStyle="1" w:styleId="SuperHeading">
    <w:name w:val="SuperHeading"/>
    <w:basedOn w:val="Normal"/>
    <w:rsid w:val="001A403A"/>
    <w:pPr>
      <w:spacing w:before="240" w:after="120"/>
      <w:outlineLvl w:val="0"/>
    </w:pPr>
    <w:rPr>
      <w:rFonts w:ascii="Times New Roman" w:hAnsi="Times New Roman"/>
      <w:b/>
      <w:sz w:val="32"/>
    </w:rPr>
  </w:style>
  <w:style w:type="paragraph" w:customStyle="1" w:styleId="AllowPageBreak">
    <w:name w:val="AllowPageBreak"/>
    <w:rsid w:val="001A403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A40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40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40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40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40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40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40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403A"/>
    <w:rPr>
      <w:rFonts w:ascii="Courier New" w:eastAsia="Times New Roman" w:hAnsi="Courier New" w:cs="Times New Roman"/>
      <w:i/>
      <w:szCs w:val="20"/>
      <w:lang w:eastAsia="en-US"/>
    </w:rPr>
  </w:style>
  <w:style w:type="paragraph" w:customStyle="1" w:styleId="HeadingBase">
    <w:name w:val="Heading Base"/>
    <w:rsid w:val="001A40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403A"/>
    <w:pPr>
      <w:tabs>
        <w:tab w:val="right" w:leader="dot" w:pos="9072"/>
      </w:tabs>
      <w:ind w:left="567"/>
    </w:pPr>
    <w:rPr>
      <w:szCs w:val="22"/>
    </w:rPr>
  </w:style>
  <w:style w:type="paragraph" w:customStyle="1" w:styleId="TOCBase">
    <w:name w:val="TOC Base"/>
    <w:rsid w:val="001A40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403A"/>
    <w:pPr>
      <w:tabs>
        <w:tab w:val="right" w:leader="dot" w:pos="9072"/>
      </w:tabs>
      <w:spacing w:before="40" w:after="40"/>
      <w:ind w:left="284"/>
    </w:pPr>
    <w:rPr>
      <w:rFonts w:ascii="Times New Roman" w:hAnsi="Times New Roman"/>
    </w:rPr>
  </w:style>
  <w:style w:type="paragraph" w:styleId="TOC1">
    <w:name w:val="toc 1"/>
    <w:basedOn w:val="TOCBase"/>
    <w:next w:val="Normal"/>
    <w:rsid w:val="001A40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40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403A"/>
    <w:rPr>
      <w:rFonts w:ascii="Times New Roman" w:eastAsia="Times New Roman" w:hAnsi="Times New Roman" w:cs="Times New Roman"/>
      <w:sz w:val="16"/>
      <w:lang w:eastAsia="en-US"/>
    </w:rPr>
  </w:style>
  <w:style w:type="paragraph" w:styleId="Title">
    <w:name w:val="Title"/>
    <w:basedOn w:val="HeadingBase"/>
    <w:link w:val="TitleChar"/>
    <w:qFormat/>
    <w:rsid w:val="001A403A"/>
    <w:pPr>
      <w:spacing w:before="5040"/>
      <w:jc w:val="center"/>
    </w:pPr>
    <w:rPr>
      <w:sz w:val="48"/>
      <w:szCs w:val="72"/>
      <w:lang w:val="en-US"/>
    </w:rPr>
  </w:style>
  <w:style w:type="character" w:customStyle="1" w:styleId="TitleChar">
    <w:name w:val="Title Char"/>
    <w:basedOn w:val="DefaultParagraphFont"/>
    <w:link w:val="Title"/>
    <w:rsid w:val="001A40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403A"/>
    <w:pPr>
      <w:tabs>
        <w:tab w:val="left" w:pos="3600"/>
        <w:tab w:val="left" w:pos="3958"/>
      </w:tabs>
    </w:pPr>
  </w:style>
  <w:style w:type="paragraph" w:styleId="List">
    <w:name w:val="List"/>
    <w:basedOn w:val="BodyText"/>
    <w:next w:val="BodyText"/>
    <w:rsid w:val="001A403A"/>
    <w:pPr>
      <w:tabs>
        <w:tab w:val="left" w:pos="340"/>
      </w:tabs>
      <w:spacing w:before="60" w:after="60"/>
      <w:ind w:left="340" w:hanging="340"/>
    </w:pPr>
  </w:style>
  <w:style w:type="paragraph" w:customStyle="1" w:styleId="Note">
    <w:name w:val="Note"/>
    <w:basedOn w:val="BodyText"/>
    <w:rsid w:val="001A40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403A"/>
    <w:pPr>
      <w:framePr w:wrap="auto" w:hAnchor="text" w:y="6049"/>
    </w:pPr>
    <w:rPr>
      <w:color w:val="000000"/>
      <w:sz w:val="40"/>
    </w:rPr>
  </w:style>
  <w:style w:type="paragraph" w:customStyle="1" w:styleId="TOCTitle">
    <w:name w:val="TOCTitle"/>
    <w:basedOn w:val="Heading1"/>
    <w:rsid w:val="001A403A"/>
    <w:pPr>
      <w:spacing w:after="240"/>
      <w:jc w:val="center"/>
      <w:outlineLvl w:val="9"/>
    </w:pPr>
    <w:rPr>
      <w:caps/>
    </w:rPr>
  </w:style>
  <w:style w:type="paragraph" w:customStyle="1" w:styleId="Version">
    <w:name w:val="Version"/>
    <w:rsid w:val="001A40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403A"/>
    <w:pPr>
      <w:numPr>
        <w:numId w:val="12"/>
      </w:numPr>
      <w:tabs>
        <w:tab w:val="clear" w:pos="680"/>
      </w:tabs>
    </w:pPr>
  </w:style>
  <w:style w:type="paragraph" w:styleId="Index1">
    <w:name w:val="index 1"/>
    <w:basedOn w:val="Normal"/>
    <w:next w:val="Normal"/>
    <w:semiHidden/>
    <w:rsid w:val="001A403A"/>
    <w:pPr>
      <w:keepNext w:val="0"/>
      <w:tabs>
        <w:tab w:val="right" w:pos="4176"/>
      </w:tabs>
      <w:ind w:left="198" w:hanging="198"/>
    </w:pPr>
    <w:rPr>
      <w:rFonts w:ascii="Garamond" w:hAnsi="Garamond"/>
    </w:rPr>
  </w:style>
  <w:style w:type="paragraph" w:styleId="IndexHeading">
    <w:name w:val="index heading"/>
    <w:basedOn w:val="Normal"/>
    <w:next w:val="Index1"/>
    <w:semiHidden/>
    <w:rsid w:val="001A403A"/>
    <w:pPr>
      <w:spacing w:before="120" w:after="120"/>
    </w:pPr>
    <w:rPr>
      <w:rFonts w:ascii="Arial" w:hAnsi="Arial"/>
      <w:b/>
      <w:color w:val="918585"/>
      <w:sz w:val="24"/>
    </w:rPr>
  </w:style>
  <w:style w:type="paragraph" w:styleId="Header">
    <w:name w:val="header"/>
    <w:basedOn w:val="Normal"/>
    <w:link w:val="HeaderChar"/>
    <w:rsid w:val="001A40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403A"/>
    <w:rPr>
      <w:rFonts w:ascii="Times New Roman" w:eastAsia="Times New Roman" w:hAnsi="Times New Roman" w:cs="Times New Roman"/>
      <w:sz w:val="16"/>
      <w:szCs w:val="20"/>
      <w:lang w:val="en-GB" w:eastAsia="en-US"/>
    </w:rPr>
  </w:style>
  <w:style w:type="paragraph" w:customStyle="1" w:styleId="Chapter">
    <w:name w:val="Chapter"/>
    <w:basedOn w:val="Normal"/>
    <w:rsid w:val="001A403A"/>
    <w:pPr>
      <w:spacing w:before="240"/>
    </w:pPr>
    <w:rPr>
      <w:rFonts w:ascii="Times New Roman" w:hAnsi="Times New Roman"/>
      <w:smallCaps/>
      <w:spacing w:val="80"/>
      <w:sz w:val="28"/>
    </w:rPr>
  </w:style>
  <w:style w:type="paragraph" w:customStyle="1" w:styleId="InChapter">
    <w:name w:val="InChapter"/>
    <w:basedOn w:val="Heading3"/>
    <w:rsid w:val="001A403A"/>
    <w:pPr>
      <w:spacing w:after="240"/>
      <w:outlineLvl w:val="9"/>
    </w:pPr>
    <w:rPr>
      <w:noProof/>
    </w:rPr>
  </w:style>
  <w:style w:type="paragraph" w:styleId="Index2">
    <w:name w:val="index 2"/>
    <w:basedOn w:val="Normal"/>
    <w:next w:val="Normal"/>
    <w:semiHidden/>
    <w:rsid w:val="001A403A"/>
    <w:pPr>
      <w:tabs>
        <w:tab w:val="right" w:pos="4176"/>
      </w:tabs>
      <w:ind w:left="568" w:hanging="284"/>
    </w:pPr>
    <w:rPr>
      <w:rFonts w:ascii="Garamond" w:hAnsi="Garamond"/>
    </w:rPr>
  </w:style>
  <w:style w:type="paragraph" w:customStyle="1" w:styleId="Byline">
    <w:name w:val="Byline"/>
    <w:rsid w:val="001A40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403A"/>
    <w:pPr>
      <w:tabs>
        <w:tab w:val="clear" w:pos="3600"/>
        <w:tab w:val="clear" w:pos="3958"/>
      </w:tabs>
      <w:jc w:val="right"/>
    </w:pPr>
  </w:style>
  <w:style w:type="character" w:styleId="Emphasis">
    <w:name w:val="Emphasis"/>
    <w:basedOn w:val="DefaultParagraphFont"/>
    <w:qFormat/>
    <w:rsid w:val="001A403A"/>
    <w:rPr>
      <w:i/>
    </w:rPr>
  </w:style>
  <w:style w:type="paragraph" w:styleId="Caption">
    <w:name w:val="caption"/>
    <w:basedOn w:val="BodyText"/>
    <w:next w:val="Normal"/>
    <w:qFormat/>
    <w:rsid w:val="001A403A"/>
    <w:pPr>
      <w:framePr w:w="2268" w:hSpace="181" w:vSpace="181" w:wrap="around" w:vAnchor="text" w:hAnchor="page" w:x="1135" w:y="285" w:anchorLock="1"/>
    </w:pPr>
    <w:rPr>
      <w:i/>
    </w:rPr>
  </w:style>
  <w:style w:type="paragraph" w:customStyle="1" w:styleId="MiniTOCTitle">
    <w:name w:val="MiniTOCTitle"/>
    <w:basedOn w:val="Heading4"/>
    <w:rsid w:val="001A403A"/>
    <w:pPr>
      <w:spacing w:before="240"/>
      <w:outlineLvl w:val="9"/>
    </w:pPr>
    <w:rPr>
      <w:noProof/>
      <w:sz w:val="24"/>
    </w:rPr>
  </w:style>
  <w:style w:type="paragraph" w:customStyle="1" w:styleId="MiniTOCItem">
    <w:name w:val="MiniTOCItem"/>
    <w:basedOn w:val="ListBullet"/>
    <w:rsid w:val="001A403A"/>
    <w:pPr>
      <w:numPr>
        <w:numId w:val="0"/>
      </w:numPr>
      <w:tabs>
        <w:tab w:val="right" w:leader="dot" w:pos="6521"/>
      </w:tabs>
      <w:spacing w:before="0" w:after="0"/>
    </w:pPr>
  </w:style>
  <w:style w:type="paragraph" w:customStyle="1" w:styleId="TOFTitle">
    <w:name w:val="TOFTitle"/>
    <w:basedOn w:val="TOCTitle"/>
    <w:rsid w:val="001A403A"/>
  </w:style>
  <w:style w:type="paragraph" w:styleId="TableofFigures">
    <w:name w:val="table of figures"/>
    <w:basedOn w:val="Normal"/>
    <w:next w:val="Normal"/>
    <w:semiHidden/>
    <w:rsid w:val="001A403A"/>
    <w:pPr>
      <w:tabs>
        <w:tab w:val="right" w:leader="dot" w:pos="9072"/>
      </w:tabs>
      <w:ind w:left="970" w:hanging="403"/>
    </w:pPr>
    <w:rPr>
      <w:rFonts w:ascii="Times New Roman" w:hAnsi="Times New Roman"/>
      <w:b/>
    </w:rPr>
  </w:style>
  <w:style w:type="paragraph" w:styleId="ListNumber">
    <w:name w:val="List Number"/>
    <w:basedOn w:val="List"/>
    <w:rsid w:val="001A403A"/>
    <w:pPr>
      <w:numPr>
        <w:numId w:val="14"/>
      </w:numPr>
      <w:tabs>
        <w:tab w:val="clear" w:pos="340"/>
      </w:tabs>
    </w:pPr>
  </w:style>
  <w:style w:type="character" w:customStyle="1" w:styleId="WingdingSymbols">
    <w:name w:val="Wingding Symbols"/>
    <w:rsid w:val="001A403A"/>
    <w:rPr>
      <w:rFonts w:ascii="Wingdings" w:hAnsi="Wingdings"/>
    </w:rPr>
  </w:style>
  <w:style w:type="paragraph" w:customStyle="1" w:styleId="TableHeading">
    <w:name w:val="Table Heading"/>
    <w:basedOn w:val="HeadingBase"/>
    <w:rsid w:val="001A403A"/>
    <w:pPr>
      <w:keepLines/>
      <w:pBdr>
        <w:bottom w:val="single" w:sz="6" w:space="1" w:color="918585"/>
      </w:pBdr>
      <w:spacing w:before="240"/>
    </w:pPr>
  </w:style>
  <w:style w:type="character" w:customStyle="1" w:styleId="HotSpot">
    <w:name w:val="HotSpot"/>
    <w:rsid w:val="001A403A"/>
    <w:rPr>
      <w:color w:val="0033CC"/>
      <w:u w:val="none"/>
    </w:rPr>
  </w:style>
  <w:style w:type="paragraph" w:customStyle="1" w:styleId="BodyTextRight">
    <w:name w:val="Body Text Right"/>
    <w:basedOn w:val="BodyText"/>
    <w:rsid w:val="001A403A"/>
    <w:pPr>
      <w:spacing w:before="0" w:after="0"/>
      <w:jc w:val="right"/>
    </w:pPr>
  </w:style>
  <w:style w:type="paragraph" w:styleId="Index3">
    <w:name w:val="index 3"/>
    <w:basedOn w:val="ListNumber2"/>
    <w:next w:val="Normal"/>
    <w:semiHidden/>
    <w:rsid w:val="001A403A"/>
    <w:pPr>
      <w:numPr>
        <w:numId w:val="0"/>
      </w:numPr>
      <w:tabs>
        <w:tab w:val="right" w:leader="dot" w:pos="4176"/>
      </w:tabs>
    </w:pPr>
  </w:style>
  <w:style w:type="paragraph" w:styleId="ListNumber2">
    <w:name w:val="List Number 2"/>
    <w:basedOn w:val="List2"/>
    <w:rsid w:val="001A403A"/>
    <w:pPr>
      <w:numPr>
        <w:numId w:val="9"/>
      </w:numPr>
      <w:tabs>
        <w:tab w:val="clear" w:pos="1060"/>
      </w:tabs>
    </w:pPr>
  </w:style>
  <w:style w:type="paragraph" w:customStyle="1" w:styleId="MarginNote">
    <w:name w:val="Margin Note"/>
    <w:basedOn w:val="BodyText"/>
    <w:rsid w:val="001A40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40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40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403A"/>
    <w:rPr>
      <w:sz w:val="32"/>
    </w:rPr>
  </w:style>
  <w:style w:type="paragraph" w:customStyle="1" w:styleId="HeadingProcedure">
    <w:name w:val="Heading Procedure"/>
    <w:basedOn w:val="HeadingBase"/>
    <w:next w:val="Normal"/>
    <w:rsid w:val="001A403A"/>
    <w:pPr>
      <w:tabs>
        <w:tab w:val="left" w:pos="0"/>
      </w:tabs>
      <w:spacing w:before="120" w:after="60"/>
    </w:pPr>
    <w:rPr>
      <w:i/>
      <w:color w:val="918585"/>
      <w:sz w:val="22"/>
    </w:rPr>
  </w:style>
  <w:style w:type="paragraph" w:customStyle="1" w:styleId="TableBodyText">
    <w:name w:val="Table Body Text"/>
    <w:basedOn w:val="BodyText"/>
    <w:rsid w:val="001A403A"/>
    <w:pPr>
      <w:spacing w:before="60" w:after="60"/>
    </w:pPr>
  </w:style>
  <w:style w:type="paragraph" w:styleId="ListContinue">
    <w:name w:val="List Continue"/>
    <w:basedOn w:val="List"/>
    <w:rsid w:val="001A403A"/>
    <w:pPr>
      <w:ind w:firstLine="0"/>
    </w:pPr>
  </w:style>
  <w:style w:type="paragraph" w:customStyle="1" w:styleId="ListNote">
    <w:name w:val="List Note"/>
    <w:basedOn w:val="List"/>
    <w:rsid w:val="001A403A"/>
    <w:pPr>
      <w:pBdr>
        <w:top w:val="single" w:sz="6" w:space="2" w:color="918585"/>
        <w:bottom w:val="single" w:sz="6" w:space="2" w:color="918585"/>
      </w:pBdr>
      <w:tabs>
        <w:tab w:val="left" w:pos="1021"/>
      </w:tabs>
      <w:ind w:firstLine="0"/>
    </w:pPr>
  </w:style>
  <w:style w:type="paragraph" w:customStyle="1" w:styleId="Warning">
    <w:name w:val="Warning"/>
    <w:basedOn w:val="BodyText"/>
    <w:rsid w:val="001A403A"/>
    <w:pPr>
      <w:shd w:val="clear" w:color="auto" w:fill="D9D9D9"/>
      <w:tabs>
        <w:tab w:val="left" w:pos="992"/>
      </w:tabs>
      <w:ind w:left="119" w:right="119"/>
    </w:pPr>
    <w:rPr>
      <w:sz w:val="20"/>
    </w:rPr>
  </w:style>
  <w:style w:type="paragraph" w:customStyle="1" w:styleId="MarginIcons">
    <w:name w:val="Margin Icons"/>
    <w:basedOn w:val="BodyText"/>
    <w:rsid w:val="001A40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403A"/>
    <w:rPr>
      <w:rFonts w:ascii="Courier New" w:hAnsi="Courier New"/>
    </w:rPr>
  </w:style>
  <w:style w:type="paragraph" w:customStyle="1" w:styleId="NoteBullet">
    <w:name w:val="Note Bullet"/>
    <w:basedOn w:val="Note"/>
    <w:rsid w:val="001A403A"/>
    <w:pPr>
      <w:tabs>
        <w:tab w:val="clear" w:pos="680"/>
      </w:tabs>
      <w:spacing w:before="60" w:after="60"/>
    </w:pPr>
  </w:style>
  <w:style w:type="paragraph" w:customStyle="1" w:styleId="SubHeading2">
    <w:name w:val="SubHeading2"/>
    <w:basedOn w:val="HeadingBase"/>
    <w:rsid w:val="001A403A"/>
    <w:pPr>
      <w:spacing w:before="240" w:after="60"/>
    </w:pPr>
    <w:rPr>
      <w:sz w:val="20"/>
    </w:rPr>
  </w:style>
  <w:style w:type="paragraph" w:customStyle="1" w:styleId="SubHeading1">
    <w:name w:val="SubHeading1"/>
    <w:basedOn w:val="HeadingBase"/>
    <w:rsid w:val="001A403A"/>
    <w:pPr>
      <w:spacing w:before="240" w:after="60"/>
    </w:pPr>
    <w:rPr>
      <w:color w:val="918585"/>
      <w:sz w:val="22"/>
    </w:rPr>
  </w:style>
  <w:style w:type="paragraph" w:customStyle="1" w:styleId="SideHeading">
    <w:name w:val="Side Heading"/>
    <w:basedOn w:val="HeadingBase"/>
    <w:rsid w:val="001A40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403A"/>
    <w:pPr>
      <w:numPr>
        <w:numId w:val="10"/>
      </w:numPr>
    </w:pPr>
  </w:style>
  <w:style w:type="paragraph" w:styleId="PlainText">
    <w:name w:val="Plain Text"/>
    <w:basedOn w:val="Normal"/>
    <w:link w:val="PlainTextChar"/>
    <w:rsid w:val="001A403A"/>
    <w:rPr>
      <w:sz w:val="20"/>
    </w:rPr>
  </w:style>
  <w:style w:type="character" w:customStyle="1" w:styleId="PlainTextChar">
    <w:name w:val="Plain Text Char"/>
    <w:basedOn w:val="DefaultParagraphFont"/>
    <w:link w:val="PlainText"/>
    <w:rsid w:val="001A403A"/>
    <w:rPr>
      <w:rFonts w:ascii="Courier New" w:eastAsia="Times New Roman" w:hAnsi="Courier New" w:cs="Times New Roman"/>
      <w:sz w:val="20"/>
      <w:szCs w:val="20"/>
      <w:lang w:eastAsia="en-US"/>
    </w:rPr>
  </w:style>
  <w:style w:type="character" w:customStyle="1" w:styleId="MenuOption">
    <w:name w:val="Menu Option"/>
    <w:basedOn w:val="DefaultParagraphFont"/>
    <w:rsid w:val="001A403A"/>
    <w:rPr>
      <w:b/>
      <w:smallCaps/>
    </w:rPr>
  </w:style>
  <w:style w:type="paragraph" w:customStyle="1" w:styleId="TableListNumber">
    <w:name w:val="Table List Number"/>
    <w:basedOn w:val="ListNumber"/>
    <w:rsid w:val="001A403A"/>
    <w:pPr>
      <w:numPr>
        <w:numId w:val="0"/>
      </w:numPr>
    </w:pPr>
  </w:style>
  <w:style w:type="paragraph" w:styleId="TOC4">
    <w:name w:val="toc 4"/>
    <w:basedOn w:val="TOCBase"/>
    <w:next w:val="Normal"/>
    <w:semiHidden/>
    <w:rsid w:val="001A403A"/>
    <w:pPr>
      <w:tabs>
        <w:tab w:val="right" w:leader="dot" w:pos="9071"/>
      </w:tabs>
      <w:ind w:left="1701"/>
    </w:pPr>
  </w:style>
  <w:style w:type="paragraph" w:customStyle="1" w:styleId="ListAlpha">
    <w:name w:val="List Alpha"/>
    <w:basedOn w:val="List"/>
    <w:rsid w:val="001A403A"/>
    <w:pPr>
      <w:numPr>
        <w:numId w:val="8"/>
      </w:numPr>
    </w:pPr>
  </w:style>
  <w:style w:type="paragraph" w:customStyle="1" w:styleId="ListAlpha2">
    <w:name w:val="List Alpha 2"/>
    <w:basedOn w:val="List2"/>
    <w:rsid w:val="001A403A"/>
    <w:pPr>
      <w:numPr>
        <w:numId w:val="7"/>
      </w:numPr>
    </w:pPr>
  </w:style>
  <w:style w:type="paragraph" w:styleId="List2">
    <w:name w:val="List 2"/>
    <w:basedOn w:val="BodyText"/>
    <w:rsid w:val="001A403A"/>
    <w:pPr>
      <w:tabs>
        <w:tab w:val="left" w:pos="680"/>
      </w:tabs>
      <w:spacing w:before="60" w:after="60"/>
      <w:ind w:left="680" w:hanging="340"/>
    </w:pPr>
  </w:style>
  <w:style w:type="paragraph" w:styleId="List3">
    <w:name w:val="List 3"/>
    <w:basedOn w:val="BodyText"/>
    <w:rsid w:val="001A403A"/>
    <w:pPr>
      <w:tabs>
        <w:tab w:val="left" w:pos="1021"/>
      </w:tabs>
      <w:spacing w:before="60" w:after="60"/>
      <w:ind w:left="1020" w:hanging="340"/>
    </w:pPr>
  </w:style>
  <w:style w:type="paragraph" w:styleId="List4">
    <w:name w:val="List 4"/>
    <w:basedOn w:val="BodyText"/>
    <w:rsid w:val="001A403A"/>
    <w:pPr>
      <w:tabs>
        <w:tab w:val="left" w:pos="1361"/>
      </w:tabs>
      <w:spacing w:before="60" w:after="60"/>
      <w:ind w:left="1361" w:hanging="340"/>
    </w:pPr>
  </w:style>
  <w:style w:type="paragraph" w:styleId="List5">
    <w:name w:val="List 5"/>
    <w:basedOn w:val="BodyText"/>
    <w:rsid w:val="001A403A"/>
    <w:pPr>
      <w:tabs>
        <w:tab w:val="left" w:pos="1701"/>
      </w:tabs>
      <w:spacing w:before="60" w:after="60"/>
      <w:ind w:left="1701" w:hanging="340"/>
    </w:pPr>
  </w:style>
  <w:style w:type="paragraph" w:styleId="ListBullet3">
    <w:name w:val="List Bullet 3"/>
    <w:basedOn w:val="List3"/>
    <w:rsid w:val="001A403A"/>
    <w:pPr>
      <w:numPr>
        <w:numId w:val="13"/>
      </w:numPr>
      <w:tabs>
        <w:tab w:val="clear" w:pos="1021"/>
      </w:tabs>
      <w:ind w:left="1037" w:hanging="357"/>
    </w:pPr>
  </w:style>
  <w:style w:type="paragraph" w:styleId="ListBullet4">
    <w:name w:val="List Bullet 4"/>
    <w:basedOn w:val="List4"/>
    <w:rsid w:val="001A403A"/>
    <w:pPr>
      <w:numPr>
        <w:numId w:val="2"/>
      </w:numPr>
      <w:tabs>
        <w:tab w:val="clear" w:pos="1361"/>
      </w:tabs>
    </w:pPr>
  </w:style>
  <w:style w:type="paragraph" w:styleId="ListBullet5">
    <w:name w:val="List Bullet 5"/>
    <w:basedOn w:val="List5"/>
    <w:rsid w:val="001A403A"/>
    <w:pPr>
      <w:numPr>
        <w:numId w:val="3"/>
      </w:numPr>
    </w:pPr>
  </w:style>
  <w:style w:type="paragraph" w:styleId="ListContinue2">
    <w:name w:val="List Continue 2"/>
    <w:basedOn w:val="List2"/>
    <w:rsid w:val="001A403A"/>
    <w:pPr>
      <w:ind w:firstLine="0"/>
    </w:pPr>
  </w:style>
  <w:style w:type="paragraph" w:styleId="ListContinue3">
    <w:name w:val="List Continue 3"/>
    <w:basedOn w:val="List3"/>
    <w:rsid w:val="001A403A"/>
    <w:pPr>
      <w:ind w:left="1021" w:firstLine="0"/>
    </w:pPr>
  </w:style>
  <w:style w:type="paragraph" w:styleId="ListContinue4">
    <w:name w:val="List Continue 4"/>
    <w:basedOn w:val="List4"/>
    <w:rsid w:val="001A403A"/>
    <w:pPr>
      <w:ind w:firstLine="0"/>
    </w:pPr>
  </w:style>
  <w:style w:type="paragraph" w:styleId="ListContinue5">
    <w:name w:val="List Continue 5"/>
    <w:basedOn w:val="List5"/>
    <w:rsid w:val="001A403A"/>
    <w:pPr>
      <w:ind w:firstLine="0"/>
    </w:pPr>
  </w:style>
  <w:style w:type="paragraph" w:styleId="ListNumber3">
    <w:name w:val="List Number 3"/>
    <w:basedOn w:val="List3"/>
    <w:rsid w:val="001A403A"/>
    <w:pPr>
      <w:numPr>
        <w:numId w:val="4"/>
      </w:numPr>
    </w:pPr>
  </w:style>
  <w:style w:type="paragraph" w:styleId="ListNumber4">
    <w:name w:val="List Number 4"/>
    <w:basedOn w:val="List4"/>
    <w:rsid w:val="001A403A"/>
    <w:pPr>
      <w:numPr>
        <w:numId w:val="5"/>
      </w:numPr>
    </w:pPr>
  </w:style>
  <w:style w:type="paragraph" w:styleId="ListNumber5">
    <w:name w:val="List Number 5"/>
    <w:basedOn w:val="List5"/>
    <w:rsid w:val="001A403A"/>
    <w:pPr>
      <w:numPr>
        <w:numId w:val="6"/>
      </w:numPr>
    </w:pPr>
  </w:style>
  <w:style w:type="paragraph" w:styleId="BlockText">
    <w:name w:val="Block Text"/>
    <w:basedOn w:val="Normal"/>
    <w:rsid w:val="001A403A"/>
    <w:pPr>
      <w:spacing w:after="120"/>
      <w:ind w:left="1440" w:right="1440"/>
    </w:pPr>
  </w:style>
  <w:style w:type="character" w:customStyle="1" w:styleId="Subscript">
    <w:name w:val="Subscript"/>
    <w:basedOn w:val="DefaultParagraphFont"/>
    <w:rsid w:val="001A403A"/>
    <w:rPr>
      <w:sz w:val="16"/>
      <w:vertAlign w:val="subscript"/>
    </w:rPr>
  </w:style>
  <w:style w:type="character" w:customStyle="1" w:styleId="Superscript">
    <w:name w:val="Superscript"/>
    <w:basedOn w:val="DefaultParagraphFont"/>
    <w:rsid w:val="001A403A"/>
    <w:rPr>
      <w:sz w:val="16"/>
      <w:vertAlign w:val="superscript"/>
    </w:rPr>
  </w:style>
  <w:style w:type="character" w:customStyle="1" w:styleId="Symbols">
    <w:name w:val="Symbols"/>
    <w:basedOn w:val="DefaultParagraphFont"/>
    <w:rsid w:val="001A403A"/>
    <w:rPr>
      <w:rFonts w:ascii="Symbol" w:hAnsi="Symbol"/>
    </w:rPr>
  </w:style>
  <w:style w:type="character" w:customStyle="1" w:styleId="MenuOptions">
    <w:name w:val="Menu Options"/>
    <w:basedOn w:val="DefaultParagraphFont"/>
    <w:rsid w:val="001A403A"/>
    <w:rPr>
      <w:rFonts w:ascii="Arial Narrow" w:hAnsi="Arial Narrow"/>
      <w:smallCaps/>
    </w:rPr>
  </w:style>
  <w:style w:type="character" w:customStyle="1" w:styleId="Buttons">
    <w:name w:val="Buttons"/>
    <w:basedOn w:val="DefaultParagraphFont"/>
    <w:rsid w:val="001A403A"/>
    <w:rPr>
      <w:b/>
    </w:rPr>
  </w:style>
  <w:style w:type="character" w:customStyle="1" w:styleId="Underlined">
    <w:name w:val="Underlined"/>
    <w:basedOn w:val="DefaultParagraphFont"/>
    <w:rsid w:val="001A403A"/>
    <w:rPr>
      <w:u w:val="single"/>
    </w:rPr>
  </w:style>
  <w:style w:type="paragraph" w:customStyle="1" w:styleId="TableBodyTextRight">
    <w:name w:val="Table Body Text Right"/>
    <w:basedOn w:val="TableBodyText"/>
    <w:rsid w:val="001A403A"/>
    <w:pPr>
      <w:widowControl w:val="0"/>
      <w:autoSpaceDE w:val="0"/>
      <w:autoSpaceDN w:val="0"/>
      <w:adjustRightInd w:val="0"/>
      <w:jc w:val="right"/>
    </w:pPr>
    <w:rPr>
      <w:rFonts w:cs="Arial"/>
      <w:szCs w:val="18"/>
    </w:rPr>
  </w:style>
  <w:style w:type="paragraph" w:customStyle="1" w:styleId="CopyrightText">
    <w:name w:val="Copyright Text"/>
    <w:basedOn w:val="BodyText"/>
    <w:rsid w:val="001A403A"/>
    <w:rPr>
      <w:sz w:val="18"/>
    </w:rPr>
  </w:style>
  <w:style w:type="paragraph" w:customStyle="1" w:styleId="BodySmallRight">
    <w:name w:val="Body Small Right"/>
    <w:basedOn w:val="BodyTextRight"/>
    <w:rsid w:val="001A403A"/>
    <w:rPr>
      <w:sz w:val="18"/>
      <w:szCs w:val="18"/>
    </w:rPr>
  </w:style>
  <w:style w:type="paragraph" w:customStyle="1" w:styleId="MarginEdition">
    <w:name w:val="Margin Edition"/>
    <w:basedOn w:val="MarginNote"/>
    <w:rsid w:val="001A403A"/>
    <w:pPr>
      <w:spacing w:before="0" w:after="0"/>
    </w:pPr>
    <w:rPr>
      <w:rFonts w:ascii="Times New Roman" w:hAnsi="Times New Roman"/>
      <w:color w:val="999999"/>
    </w:rPr>
  </w:style>
  <w:style w:type="paragraph" w:customStyle="1" w:styleId="Spacer">
    <w:name w:val="Spacer"/>
    <w:basedOn w:val="Normal"/>
    <w:rsid w:val="001A403A"/>
    <w:rPr>
      <w:sz w:val="2"/>
      <w:szCs w:val="2"/>
    </w:rPr>
  </w:style>
  <w:style w:type="character" w:customStyle="1" w:styleId="Small">
    <w:name w:val="Small"/>
    <w:basedOn w:val="DefaultParagraphFont"/>
    <w:rsid w:val="001A403A"/>
    <w:rPr>
      <w:sz w:val="16"/>
    </w:rPr>
  </w:style>
  <w:style w:type="paragraph" w:customStyle="1" w:styleId="WideTable">
    <w:name w:val="Wide Table"/>
    <w:basedOn w:val="Normal"/>
    <w:rsid w:val="001A403A"/>
    <w:pPr>
      <w:ind w:left="-1418"/>
    </w:pPr>
    <w:rPr>
      <w:sz w:val="2"/>
      <w:szCs w:val="2"/>
    </w:rPr>
  </w:style>
  <w:style w:type="character" w:styleId="PageNumber">
    <w:name w:val="page number"/>
    <w:basedOn w:val="DefaultParagraphFont"/>
    <w:rsid w:val="001A403A"/>
  </w:style>
  <w:style w:type="paragraph" w:styleId="Quote">
    <w:name w:val="Quote"/>
    <w:basedOn w:val="Heading1"/>
    <w:link w:val="QuoteChar"/>
    <w:qFormat/>
    <w:rsid w:val="001A403A"/>
    <w:rPr>
      <w:b w:val="0"/>
      <w:sz w:val="72"/>
      <w:szCs w:val="72"/>
      <w:lang w:val="en-NZ"/>
    </w:rPr>
  </w:style>
  <w:style w:type="character" w:customStyle="1" w:styleId="QuoteChar">
    <w:name w:val="Quote Char"/>
    <w:basedOn w:val="DefaultParagraphFont"/>
    <w:link w:val="Quote"/>
    <w:rsid w:val="001A40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403A"/>
    <w:pPr>
      <w:pageBreakBefore/>
    </w:pPr>
  </w:style>
  <w:style w:type="paragraph" w:customStyle="1" w:styleId="Border">
    <w:name w:val="Border"/>
    <w:basedOn w:val="Normal"/>
    <w:qFormat/>
    <w:rsid w:val="001A40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403A"/>
    <w:rPr>
      <w:b/>
      <w:bCs/>
      <w:i/>
      <w:iCs/>
      <w:color w:val="auto"/>
    </w:rPr>
  </w:style>
  <w:style w:type="paragraph" w:styleId="IntenseQuote">
    <w:name w:val="Intense Quote"/>
    <w:basedOn w:val="Normal"/>
    <w:next w:val="Normal"/>
    <w:link w:val="IntenseQuoteChar"/>
    <w:uiPriority w:val="30"/>
    <w:qFormat/>
    <w:rsid w:val="001A40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40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403A"/>
    <w:rPr>
      <w:smallCaps/>
      <w:color w:val="auto"/>
      <w:u w:val="single"/>
    </w:rPr>
  </w:style>
  <w:style w:type="character" w:styleId="IntenseReference">
    <w:name w:val="Intense Reference"/>
    <w:basedOn w:val="DefaultParagraphFont"/>
    <w:uiPriority w:val="32"/>
    <w:qFormat/>
    <w:rsid w:val="001A403A"/>
    <w:rPr>
      <w:b/>
      <w:bCs/>
      <w:smallCaps/>
      <w:color w:val="auto"/>
      <w:spacing w:val="5"/>
      <w:u w:val="single"/>
    </w:rPr>
  </w:style>
  <w:style w:type="paragraph" w:customStyle="1" w:styleId="2ColumnHeading">
    <w:name w:val="2Column Heading"/>
    <w:basedOn w:val="BodyText"/>
    <w:qFormat/>
    <w:rsid w:val="001A403A"/>
    <w:pPr>
      <w:spacing w:after="60"/>
      <w:ind w:left="-2268"/>
    </w:pPr>
    <w:rPr>
      <w:b/>
    </w:rPr>
  </w:style>
  <w:style w:type="paragraph" w:customStyle="1" w:styleId="Heading1TOC">
    <w:name w:val="Heading1 TOC"/>
    <w:basedOn w:val="Normal"/>
    <w:qFormat/>
    <w:rsid w:val="001A403A"/>
    <w:pPr>
      <w:spacing w:before="240" w:after="120"/>
    </w:pPr>
    <w:rPr>
      <w:rFonts w:ascii="Times New Roman" w:hAnsi="Times New Roman"/>
      <w:b/>
      <w:sz w:val="32"/>
    </w:rPr>
  </w:style>
  <w:style w:type="paragraph" w:customStyle="1" w:styleId="Heading2TOC">
    <w:name w:val="Heading2 TOC"/>
    <w:basedOn w:val="Normal"/>
    <w:qFormat/>
    <w:rsid w:val="001A403A"/>
    <w:pPr>
      <w:spacing w:before="240" w:after="60"/>
    </w:pPr>
    <w:rPr>
      <w:rFonts w:ascii="Times New Roman" w:hAnsi="Times New Roman"/>
      <w:b/>
      <w:sz w:val="28"/>
    </w:rPr>
  </w:style>
  <w:style w:type="character" w:customStyle="1" w:styleId="Underline">
    <w:name w:val="Underline"/>
    <w:basedOn w:val="DefaultParagraphFont"/>
    <w:qFormat/>
    <w:rsid w:val="001A403A"/>
    <w:rPr>
      <w:u w:val="single"/>
    </w:rPr>
  </w:style>
  <w:style w:type="character" w:customStyle="1" w:styleId="BoldandItalics">
    <w:name w:val="Bold and Italics"/>
    <w:qFormat/>
    <w:rsid w:val="001A403A"/>
    <w:rPr>
      <w:b/>
      <w:i/>
      <w:u w:val="none"/>
    </w:rPr>
  </w:style>
  <w:style w:type="paragraph" w:styleId="BalloonText">
    <w:name w:val="Balloon Text"/>
    <w:basedOn w:val="Normal"/>
    <w:link w:val="BalloonTextChar"/>
    <w:rsid w:val="001A403A"/>
    <w:rPr>
      <w:rFonts w:ascii="Tahoma" w:hAnsi="Tahoma" w:cs="Tahoma"/>
      <w:sz w:val="16"/>
      <w:szCs w:val="16"/>
    </w:rPr>
  </w:style>
  <w:style w:type="character" w:customStyle="1" w:styleId="BalloonTextChar">
    <w:name w:val="Balloon Text Char"/>
    <w:basedOn w:val="DefaultParagraphFont"/>
    <w:link w:val="BalloonText"/>
    <w:rsid w:val="001A40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40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40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403A"/>
    <w:rPr>
      <w:b/>
      <w:color w:val="660033"/>
      <w:spacing w:val="0"/>
    </w:rPr>
  </w:style>
  <w:style w:type="paragraph" w:customStyle="1" w:styleId="Nameditemlist">
    <w:name w:val="Named item list"/>
    <w:basedOn w:val="BodyText"/>
    <w:qFormat/>
    <w:rsid w:val="001A403A"/>
    <w:pPr>
      <w:tabs>
        <w:tab w:val="left" w:pos="2835"/>
      </w:tabs>
      <w:ind w:left="2835" w:hanging="2835"/>
    </w:pPr>
  </w:style>
  <w:style w:type="paragraph" w:customStyle="1" w:styleId="BodyTextnopadding">
    <w:name w:val="Body Text no padding"/>
    <w:basedOn w:val="BodyText"/>
    <w:qFormat/>
    <w:rsid w:val="001A403A"/>
    <w:pPr>
      <w:spacing w:before="0" w:after="0"/>
    </w:pPr>
  </w:style>
  <w:style w:type="paragraph" w:customStyle="1" w:styleId="BodyTextBold">
    <w:name w:val="Body Text Bold"/>
    <w:basedOn w:val="BodyText"/>
    <w:qFormat/>
    <w:rsid w:val="001A403A"/>
    <w:rPr>
      <w:b/>
    </w:rPr>
  </w:style>
  <w:style w:type="character" w:styleId="Hyperlink">
    <w:name w:val="Hyperlink"/>
    <w:basedOn w:val="DefaultParagraphFont"/>
    <w:uiPriority w:val="99"/>
    <w:unhideWhenUsed/>
    <w:rsid w:val="00A804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885</Words>
  <Characters>5174</Characters>
  <Application>Microsoft Office Word</Application>
  <DocSecurity>0</DocSecurity>
  <Lines>235</Lines>
  <Paragraphs>121</Paragraphs>
  <ScaleCrop>false</ScaleCrop>
  <Company>Author-it Software Corporation Ltd.</Company>
  <LinksUpToDate>false</LinksUpToDate>
  <CharactersWithSpaces>5938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MARH016 Plan and navigate a passage for a vessel up to 80 metres</dc:title>
  <dc:subject>Approved</dc:subject>
  <dc:creator>Australian Industry Standards</dc:creator>
  <cp:keywords>Release: 1</cp:keywords>
  <dc:description>Review Date: 12 April 2008</dc:description>
  <cp:lastModifiedBy>HSD_TPCMSd.prod</cp:lastModifiedBy>
  <cp:revision>3</cp:revision>
  <dcterms:created xsi:type="dcterms:W3CDTF">2022-12-20T02:48:00Z</dcterms:created>
  <dcterms:modified xsi:type="dcterms:W3CDTF">2022-12-20T02:48:00Z</dcterms:modified>
</cp:coreProperties>
</file>