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20A9" w:rsidP="002520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MARH012 Manage the navigation of a vessel 500 gross tonnage or more</w:t>
      </w:r>
      <w:r>
        <w:fldChar w:fldCharType="end"/>
      </w:r>
    </w:p>
    <w:p w:rsidR="002520A9" w:rsidP="002520A9">
      <w:pPr>
        <w:pStyle w:val="Version"/>
        <w:sectPr w:rsidSect="005702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0278" w:rsidP="00570278">
      <w:pPr>
        <w:pStyle w:val="SuperHeading"/>
      </w:pPr>
      <w:r w:rsidRPr="00570278">
        <w:t>MARH012 Manag</w:t>
      </w:r>
      <w:r w:rsidRPr="00570278">
        <w:t>e the navigation of a vessel 500 gross tonnage or more</w:t>
      </w:r>
    </w:p>
    <w:p w:rsidR="00000000" w:rsidRPr="00570278" w:rsidP="00570278">
      <w:pPr>
        <w:pStyle w:val="Heading1"/>
      </w:pPr>
      <w:bookmarkStart w:id="1" w:name="O_747979"/>
      <w:bookmarkEnd w:id="1"/>
      <w:r w:rsidRPr="00570278">
        <w:t>Modification History</w:t>
      </w:r>
    </w:p>
    <w:p w:rsidR="002520A9" w:rsidP="002520A9">
      <w:pPr>
        <w:pStyle w:val="BodyText"/>
      </w:pPr>
      <w:r w:rsidRPr="00570278">
        <w:t>Release 1. This is the first release of this unit of competency in the MAR Maritime Training Package Release 3.0.</w:t>
      </w:r>
    </w:p>
    <w:p w:rsidR="00000000" w:rsidRPr="00570278" w:rsidP="00570278">
      <w:pPr>
        <w:pStyle w:val="Heading1"/>
      </w:pPr>
      <w:bookmarkStart w:id="2" w:name="O_747980"/>
      <w:bookmarkEnd w:id="2"/>
      <w:r w:rsidRPr="00570278">
        <w:t>Application</w:t>
      </w:r>
    </w:p>
    <w:p w:rsidR="00000000" w:rsidRPr="00570278" w:rsidP="002520A9">
      <w:pPr>
        <w:pStyle w:val="BodyText"/>
      </w:pPr>
      <w:r w:rsidRPr="00570278">
        <w:t>This unit involves the skills and knowledge required to manage the planning of a voyage and the navigation of a vessel of 500 gross tonnage or more.</w:t>
      </w:r>
    </w:p>
    <w:p w:rsidR="00000000" w:rsidRPr="00570278" w:rsidP="002520A9">
      <w:pPr>
        <w:pStyle w:val="BodyText"/>
      </w:pPr>
      <w:r w:rsidRPr="00570278">
        <w:t>This unit applies to maritime workers working in the maritime industry as a Master Unlimited.</w:t>
      </w:r>
    </w:p>
    <w:p w:rsidR="002520A9" w:rsidP="002520A9">
      <w:pPr>
        <w:pStyle w:val="BodyText"/>
      </w:pPr>
      <w:r w:rsidRPr="00570278">
        <w:t>No licensing,</w:t>
      </w:r>
      <w:r w:rsidRPr="00570278">
        <w:t xml:space="preserve"> legislative or certification requirements apply to this unit at the time of publication.</w:t>
      </w:r>
    </w:p>
    <w:p w:rsidR="00000000" w:rsidRPr="00570278" w:rsidP="00570278">
      <w:pPr>
        <w:pStyle w:val="Heading1"/>
      </w:pPr>
      <w:bookmarkStart w:id="3" w:name="O_747981"/>
      <w:bookmarkEnd w:id="3"/>
      <w:r w:rsidRPr="00570278">
        <w:t>Pre-requisite Unit</w:t>
      </w:r>
    </w:p>
    <w:p w:rsidR="00000000" w:rsidRPr="00570278" w:rsidP="002520A9">
      <w:pPr>
        <w:pStyle w:val="BodyText"/>
      </w:pPr>
      <w:r w:rsidRPr="00570278">
        <w:t>Not applicable.</w:t>
      </w:r>
    </w:p>
    <w:p w:rsidR="00000000" w:rsidRPr="00570278" w:rsidP="00570278">
      <w:pPr>
        <w:pStyle w:val="Heading1"/>
      </w:pPr>
      <w:bookmarkStart w:id="4" w:name="O_747982"/>
      <w:bookmarkEnd w:id="4"/>
      <w:r w:rsidRPr="00570278">
        <w:t>Competency Field</w:t>
      </w:r>
    </w:p>
    <w:p w:rsidR="002520A9" w:rsidP="002520A9">
      <w:pPr>
        <w:pStyle w:val="BodyText"/>
      </w:pPr>
      <w:r w:rsidRPr="00570278">
        <w:t>H – Navigation</w:t>
      </w:r>
    </w:p>
    <w:p w:rsidR="00000000" w:rsidRPr="00570278" w:rsidP="00570278">
      <w:pPr>
        <w:pStyle w:val="Heading1"/>
      </w:pPr>
      <w:bookmarkStart w:id="5" w:name="O_747983"/>
      <w:bookmarkEnd w:id="5"/>
      <w:r w:rsidRPr="00570278">
        <w:t>Unit Sector</w:t>
      </w:r>
    </w:p>
    <w:p w:rsidR="00000000" w:rsidRPr="00570278" w:rsidP="002520A9">
      <w:pPr>
        <w:pStyle w:val="BodyText"/>
      </w:pPr>
      <w:r w:rsidRPr="00570278">
        <w:t>Not applicable.</w:t>
      </w:r>
    </w:p>
    <w:p w:rsidR="00000000" w:rsidRPr="00570278" w:rsidP="00570278">
      <w:pPr>
        <w:pStyle w:val="Heading1"/>
      </w:pPr>
      <w:bookmarkStart w:id="6" w:name="O_747984"/>
      <w:bookmarkEnd w:id="6"/>
      <w:r w:rsidRPr="00570278">
        <w:t>E</w:t>
      </w:r>
      <w:r w:rsidRPr="00570278">
        <w:t>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7"/>
        <w:gridCol w:w="1693"/>
        <w:gridCol w:w="1"/>
        <w:gridCol w:w="527"/>
        <w:gridCol w:w="6658"/>
      </w:tblGrid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278" w:rsidP="00570278">
            <w:pPr>
              <w:pStyle w:val="BodyText"/>
            </w:pPr>
            <w:r w:rsidRPr="00570278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rPr>
                <w:rStyle w:val="SpecialBold"/>
              </w:rPr>
              <w:t>PERFORMANCE CRITERIA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Performance criteria describe the performance needed to demonstrate achievement of the element.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278" w:rsidP="00570278">
            <w:pPr>
              <w:pStyle w:val="BodyText"/>
            </w:pPr>
            <w:r w:rsidRPr="0057027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rPr>
                <w:rStyle w:val="SpecialBold"/>
              </w:rPr>
              <w:t>Oversee development of passage plan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Requirements of passage are established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Reasons for planned route are supported by facts and statistical data obtained from relevant sources and publications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Positions, courses, distances and time calculations are checke</w:t>
            </w:r>
            <w:r w:rsidRPr="00570278">
              <w:t>d for correctness within accepted accuracy standards for navigational equipment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Potential navigational hazards are accurately identified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278" w:rsidP="00570278">
            <w:pPr>
              <w:pStyle w:val="BodyText"/>
            </w:pPr>
            <w:r w:rsidRPr="0057027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rPr>
                <w:rStyle w:val="SpecialBold"/>
              </w:rPr>
              <w:t>Develop and implement watchkeeping arrangements and procedures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Watchkeeping arrangements and procedures a</w:t>
            </w:r>
            <w:r w:rsidRPr="00570278">
              <w:t xml:space="preserve">re developed according to bridge resource management principles, and organisational and regulatory requirements 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Bridge resource management principles are appropriately applied in establishing watchkeeping arrangements and procedures and in developing an effective bridge working system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Communications strategies are developed to link watchkeeping procedures wit</w:t>
            </w:r>
            <w:r w:rsidRPr="00570278">
              <w:t>h all aspects of vessel operations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Fatigue management strategies are developed according to organisational and regulatory requirements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Corrective action procedures are developed and monitored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Procedures for reporting, recording and responding to emergencies and non-compliance are established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278" w:rsidP="00570278">
            <w:pPr>
              <w:pStyle w:val="BodyText"/>
            </w:pPr>
            <w:r w:rsidRPr="00570278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rPr>
                <w:rStyle w:val="SpecialBold"/>
              </w:rPr>
              <w:t>Monitor bridge team in implementing passage plan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Work schedule for bridge team is detailed according to bridge resource management principles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Risk control measures are evaluated against passage plan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Navigation requirements are communicated to bridge team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Individuals are fully briefed and responsibilities are coordinated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Navigation tasks are carried out according to passage plan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Ongoing checks and position determination are conducted according to organisational procedures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Non-routine problems related to navigation of vessel are solved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Navigational data</w:t>
            </w:r>
            <w:r w:rsidRPr="00570278">
              <w:t xml:space="preserve"> is signed off according to organisational procedures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Work schedule for bridge team is detailed according to bridge resource management principles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278" w:rsidP="00570278">
            <w:pPr>
              <w:pStyle w:val="BodyText"/>
            </w:pPr>
            <w:r w:rsidRPr="00570278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rPr>
                <w:rStyle w:val="SpecialBold"/>
              </w:rPr>
              <w:t>Interpret and evaluate information from electronic navigational system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Data from radar plotting sheet is interpreted and analysed to anticipate potential collisions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Data produced by other electronic navigational aids is interpreted and used to assist navigational command decisions, taking into account known limitations</w:t>
            </w:r>
            <w:r w:rsidRPr="00570278">
              <w:t xml:space="preserve"> and errors associated with each type of aid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Information obtained through a single vessel or multiple vessel analysis of radar plots or other electronic navigational data is used to make command decisions on action needed to avoid collisions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Radar data is used to obtain position fix for vessel using electronic bearing lines and variable range markers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278" w:rsidP="00570278">
            <w:pPr>
              <w:pStyle w:val="BodyText"/>
            </w:pPr>
            <w:r w:rsidRPr="00570278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rPr>
                <w:rStyle w:val="SpecialBold"/>
              </w:rPr>
              <w:t>Navigate in complex situations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Measurements and observations of sea and weather conditions are used to determine vessel speed and directio</w:t>
            </w:r>
            <w:r w:rsidRPr="00570278">
              <w:t>n in complex situations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Information from bridge equipment is interpreted to identify navigational hazards and to fix vessel position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Nautical publications on tides and currents are used to calculate tidal conditions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Alterations to vessel course or speed are made to meet prevailing circumstances and changing conditions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Navigational manoeuvres are conducted within safe operational limits of vessel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 xml:space="preserve">Details of passage are recorded in vessel log according to </w:t>
            </w:r>
            <w:r w:rsidRPr="00570278">
              <w:t>regulations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Variations to planned route are documented prior to archiving, on completion of voyage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278" w:rsidP="00570278">
            <w:pPr>
              <w:pStyle w:val="BodyText"/>
            </w:pPr>
            <w:r w:rsidRPr="00570278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rPr>
                <w:rStyle w:val="SpecialBold"/>
              </w:rPr>
              <w:t>Manage emergencies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Bridge team is taken charge of when called to bridge in response to an emergency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Safety management system (SMS) procedures are implemented when taking over bridge watch from officer of the watch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Appropriate action is taken to initiate search and rescue procedures on receipt of distress signal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Advice is provided to watchkeeper regarding response to emergency situations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278" w:rsidP="00570278">
            <w:pPr>
              <w:pStyle w:val="BodyText"/>
            </w:pPr>
            <w:r w:rsidRPr="00570278">
              <w:rPr>
                <w:rStyle w:val="SpecialBold"/>
              </w:rPr>
              <w:t>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rPr>
                <w:rStyle w:val="SpecialBold"/>
              </w:rPr>
              <w:t>Maintain navigational equipment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Navigational charts, nautical publications and related documentation are stored and maintained according to organisational procedures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Inventory of navigational charts, nautical publications and related documentation is established and kept according to organisational procedures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Navigational charts, nautical publications and related documentation are ordered and updated from relev</w:t>
            </w:r>
            <w:r w:rsidRPr="00570278">
              <w:t>ant sources to ensure available data needed for voyage planning is current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7.4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Performance checks and tests of navigation position fixing instruments and systems are carried out according to organisational procedures and manufacturer instructions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278" w:rsidP="00570278">
            <w:pPr>
              <w:pStyle w:val="BodyText"/>
            </w:pPr>
            <w:r w:rsidRPr="00570278">
              <w:rPr>
                <w:rStyle w:val="SpecialBold"/>
              </w:rPr>
              <w:t>8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rPr>
                <w:rStyle w:val="SpecialBold"/>
              </w:rPr>
              <w:t>Prepare reports and documentation relevant to passage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Passage information is recorded and reported in required format, style, structure and timeframe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All information is recorded and reported according to legislative requirements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278" w:rsidP="00570278">
            <w:pPr>
              <w:pStyle w:val="BodyText"/>
            </w:pPr>
            <w:r w:rsidRPr="00570278">
              <w:t>Technolog</w:t>
            </w:r>
            <w:r w:rsidRPr="00570278">
              <w:t>y is used to store and retrieve information</w:t>
            </w:r>
          </w:p>
        </w:tc>
      </w:tr>
    </w:tbl>
    <w:p w:rsidR="002520A9" w:rsidP="00570278">
      <w:pPr>
        <w:pStyle w:val="BodyText"/>
      </w:pPr>
    </w:p>
    <w:p w:rsidR="002520A9" w:rsidP="00570278">
      <w:pPr>
        <w:pStyle w:val="BodyText"/>
      </w:pPr>
    </w:p>
    <w:p w:rsidR="00000000" w:rsidRPr="00570278" w:rsidP="00570278">
      <w:pPr>
        <w:pStyle w:val="Heading1"/>
      </w:pPr>
      <w:bookmarkStart w:id="7" w:name="O_747985"/>
      <w:bookmarkEnd w:id="7"/>
      <w:r w:rsidRPr="00570278">
        <w:t>Foundation Skills</w:t>
      </w:r>
    </w:p>
    <w:p w:rsidR="002520A9" w:rsidP="002520A9">
      <w:pPr>
        <w:pStyle w:val="BodyText"/>
      </w:pPr>
      <w:r w:rsidRPr="00570278">
        <w:t>Foundation skills essential to performance are explicit in the performance criteria of this unit of competency.</w:t>
      </w:r>
    </w:p>
    <w:p w:rsidR="00000000" w:rsidRPr="00570278" w:rsidP="00570278">
      <w:pPr>
        <w:pStyle w:val="Heading1"/>
      </w:pPr>
      <w:bookmarkStart w:id="8" w:name="O_747986"/>
      <w:bookmarkEnd w:id="8"/>
      <w:r w:rsidRPr="00570278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96"/>
        <w:gridCol w:w="7200"/>
      </w:tblGrid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1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Range is restricted to essential operating conditions and any other variables essential to the work environment.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Sources and publications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278" w:rsidP="00570278">
            <w:pPr>
              <w:pStyle w:val="ListBullet"/>
            </w:pPr>
            <w:r w:rsidRPr="00570278">
              <w:t>Australian Maritime Safety Authority (AMSA) Marine Orders</w:t>
            </w:r>
          </w:p>
          <w:p w:rsidR="00000000" w:rsidRPr="00570278" w:rsidP="00570278">
            <w:pPr>
              <w:pStyle w:val="ListBullet"/>
            </w:pPr>
            <w:r w:rsidRPr="00570278">
              <w:t xml:space="preserve">annual and weekly notices to mariners </w:t>
            </w:r>
          </w:p>
          <w:p w:rsidR="00000000" w:rsidRPr="00570278" w:rsidP="00570278">
            <w:pPr>
              <w:pStyle w:val="ListBullet"/>
            </w:pPr>
            <w:r w:rsidRPr="00570278">
              <w:t>nautical almanac</w:t>
            </w:r>
          </w:p>
          <w:p w:rsidR="00000000" w:rsidRPr="00570278" w:rsidP="00570278">
            <w:pPr>
              <w:pStyle w:val="ListBullet"/>
            </w:pPr>
            <w:r w:rsidRPr="00570278">
              <w:t>navigational chart availability</w:t>
            </w:r>
          </w:p>
          <w:p w:rsidR="00000000" w:rsidRPr="00570278" w:rsidP="00570278">
            <w:pPr>
              <w:pStyle w:val="ListBullet"/>
            </w:pPr>
            <w:r w:rsidRPr="00570278">
              <w:t>radio signals, light lists, sailing directions, tide tables and chart catalogues</w:t>
            </w:r>
          </w:p>
          <w:p w:rsidR="00000000" w:rsidRPr="00570278" w:rsidP="00570278">
            <w:pPr>
              <w:pStyle w:val="ListBullet"/>
            </w:pPr>
            <w:r w:rsidRPr="00570278">
              <w:t>ship reporting systems and requirements</w:t>
            </w:r>
          </w:p>
          <w:p w:rsidR="00000000" w:rsidRPr="00570278" w:rsidP="00570278">
            <w:pPr>
              <w:pStyle w:val="ListBullet"/>
            </w:pPr>
            <w:r w:rsidRPr="00570278">
              <w:t>ship’s routeing information</w:t>
            </w:r>
          </w:p>
          <w:p w:rsidR="00000000" w:rsidP="00570278">
            <w:pPr>
              <w:pStyle w:val="ListBullet"/>
              <w:rPr>
                <w:lang w:val="en-NZ"/>
              </w:rPr>
            </w:pPr>
            <w:r w:rsidRPr="00570278">
              <w:t>SMS procedures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Wat</w:t>
            </w:r>
            <w:r w:rsidRPr="00570278">
              <w:t>chkeeping arrangements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278" w:rsidP="00570278">
            <w:pPr>
              <w:pStyle w:val="ListBullet"/>
            </w:pPr>
            <w:r w:rsidRPr="00570278">
              <w:t>clear instruction to watchkeeping officers in the Standing Orders from the Master</w:t>
            </w:r>
          </w:p>
          <w:p w:rsidR="00000000" w:rsidRPr="00570278" w:rsidP="00570278">
            <w:pPr>
              <w:pStyle w:val="ListBullet"/>
            </w:pPr>
            <w:r w:rsidRPr="00570278">
              <w:t>establishing a proper lookout separate from the helmsman</w:t>
            </w:r>
          </w:p>
          <w:p w:rsidR="00000000" w:rsidRPr="00570278" w:rsidP="00570278">
            <w:pPr>
              <w:pStyle w:val="ListBullet"/>
            </w:pPr>
            <w:r w:rsidRPr="00570278">
              <w:t xml:space="preserve">fatigue management strategies </w:t>
            </w:r>
          </w:p>
          <w:p w:rsidR="00000000" w:rsidRPr="00570278" w:rsidP="00570278">
            <w:pPr>
              <w:pStyle w:val="ListBullet"/>
            </w:pPr>
            <w:r w:rsidRPr="00570278">
              <w:t xml:space="preserve">hours of work schedule established to ensure correct </w:t>
            </w:r>
            <w:r w:rsidRPr="00570278">
              <w:t>rest periods are maintained</w:t>
            </w:r>
          </w:p>
          <w:p w:rsidR="00000000" w:rsidP="00570278">
            <w:pPr>
              <w:pStyle w:val="ListBullet"/>
              <w:rPr>
                <w:lang w:val="en-NZ"/>
              </w:rPr>
            </w:pPr>
            <w:r w:rsidRPr="00570278">
              <w:t>watch handover procedures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32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Emergencies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278" w:rsidP="00570278">
            <w:pPr>
              <w:pStyle w:val="ListBullet"/>
            </w:pPr>
            <w:r w:rsidRPr="00570278">
              <w:t>engine failure</w:t>
            </w:r>
          </w:p>
          <w:p w:rsidR="00000000" w:rsidRPr="00570278" w:rsidP="00570278">
            <w:pPr>
              <w:pStyle w:val="ListBullet"/>
            </w:pPr>
            <w:r w:rsidRPr="00570278">
              <w:t>failure of navigational equipment</w:t>
            </w:r>
          </w:p>
          <w:p w:rsidR="00000000" w:rsidP="00570278">
            <w:pPr>
              <w:pStyle w:val="ListBullet"/>
              <w:rPr>
                <w:lang w:val="en-NZ"/>
              </w:rPr>
            </w:pPr>
            <w:r w:rsidRPr="00570278">
              <w:t>potential close quarter situations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Position determination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278" w:rsidP="00570278">
            <w:pPr>
              <w:pStyle w:val="ListBullet"/>
            </w:pPr>
            <w:r w:rsidRPr="00570278">
              <w:t>azimuth mirrors</w:t>
            </w:r>
          </w:p>
          <w:p w:rsidR="00000000" w:rsidRPr="00570278" w:rsidP="00570278">
            <w:pPr>
              <w:pStyle w:val="ListBullet"/>
            </w:pPr>
            <w:r w:rsidRPr="00570278">
              <w:t>chronometer</w:t>
            </w:r>
          </w:p>
          <w:p w:rsidR="00000000" w:rsidRPr="00570278" w:rsidP="00570278">
            <w:pPr>
              <w:pStyle w:val="ListBullet"/>
            </w:pPr>
            <w:r w:rsidRPr="00570278">
              <w:t>doppler and electronic logs</w:t>
            </w:r>
          </w:p>
          <w:p w:rsidR="00000000" w:rsidRPr="00570278" w:rsidP="00570278">
            <w:pPr>
              <w:pStyle w:val="ListBullet"/>
            </w:pPr>
            <w:r w:rsidRPr="00570278">
              <w:t>echo sounders</w:t>
            </w:r>
          </w:p>
          <w:p w:rsidR="00000000" w:rsidRPr="00570278" w:rsidP="00570278">
            <w:pPr>
              <w:pStyle w:val="ListBullet"/>
            </w:pPr>
            <w:r w:rsidRPr="00570278">
              <w:t>electronic chart system (ECS) and electronic chart display and information system (ECDIS) systems</w:t>
            </w:r>
          </w:p>
          <w:p w:rsidR="00000000" w:rsidRPr="00570278" w:rsidP="00570278">
            <w:pPr>
              <w:pStyle w:val="ListBullet"/>
            </w:pPr>
            <w:r w:rsidRPr="00570278">
              <w:t>integrated navigation systems</w:t>
            </w:r>
          </w:p>
          <w:p w:rsidR="00000000" w:rsidRPr="00570278" w:rsidP="00570278">
            <w:pPr>
              <w:pStyle w:val="ListBullet"/>
            </w:pPr>
            <w:r w:rsidRPr="00570278">
              <w:t>magnetic and gyro compasses and repeaters</w:t>
            </w:r>
          </w:p>
          <w:p w:rsidR="00000000" w:rsidRPr="00570278" w:rsidP="00570278">
            <w:pPr>
              <w:pStyle w:val="ListBullet"/>
            </w:pPr>
            <w:r w:rsidRPr="00570278">
              <w:t>paper navigational charts</w:t>
            </w:r>
          </w:p>
          <w:p w:rsidR="00000000" w:rsidRPr="00570278" w:rsidP="00570278">
            <w:pPr>
              <w:pStyle w:val="ListBullet"/>
            </w:pPr>
            <w:r w:rsidRPr="00570278">
              <w:t>radar and other electronic navigation devices</w:t>
            </w:r>
          </w:p>
          <w:p w:rsidR="00000000" w:rsidP="00570278">
            <w:pPr>
              <w:pStyle w:val="ListBullet"/>
              <w:rPr>
                <w:lang w:val="en-NZ"/>
              </w:rPr>
            </w:pPr>
            <w:r w:rsidRPr="00570278">
              <w:t>sextant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1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Non-routine problems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278" w:rsidP="00570278">
            <w:pPr>
              <w:pStyle w:val="ListBullet"/>
            </w:pPr>
            <w:r w:rsidRPr="00570278">
              <w:t>equipment failure</w:t>
            </w:r>
          </w:p>
          <w:p w:rsidR="00000000" w:rsidRPr="00570278" w:rsidP="00570278">
            <w:pPr>
              <w:pStyle w:val="ListBullet"/>
            </w:pPr>
            <w:r w:rsidRPr="00570278">
              <w:t>lack of appropriate resources</w:t>
            </w:r>
          </w:p>
          <w:p w:rsidR="00000000" w:rsidRPr="00570278" w:rsidP="00570278">
            <w:pPr>
              <w:pStyle w:val="ListBullet"/>
            </w:pPr>
            <w:r w:rsidRPr="00570278">
              <w:t>potential collision and emergency situations</w:t>
            </w:r>
          </w:p>
          <w:p w:rsidR="00000000" w:rsidP="00570278">
            <w:pPr>
              <w:pStyle w:val="ListBullet"/>
              <w:rPr>
                <w:lang w:val="en-NZ"/>
              </w:rPr>
            </w:pPr>
            <w:r w:rsidRPr="00570278">
              <w:t xml:space="preserve">weather conditions precluding the establishment </w:t>
            </w:r>
            <w:r w:rsidRPr="00570278">
              <w:t>of vessel position</w:t>
            </w:r>
          </w:p>
        </w:tc>
      </w:tr>
      <w:tr w:rsidTr="00252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278">
            <w:pPr>
              <w:pStyle w:val="BodyText"/>
              <w:rPr>
                <w:lang w:val="en-NZ"/>
              </w:rPr>
            </w:pPr>
            <w:r w:rsidRPr="00570278">
              <w:t>Complex situations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278" w:rsidP="00570278">
            <w:pPr>
              <w:pStyle w:val="ListBullet"/>
            </w:pPr>
            <w:r w:rsidRPr="00570278">
              <w:t>adverse weather</w:t>
            </w:r>
          </w:p>
          <w:p w:rsidR="00000000" w:rsidRPr="00570278" w:rsidP="00570278">
            <w:pPr>
              <w:pStyle w:val="ListBullet"/>
            </w:pPr>
            <w:r w:rsidRPr="00570278">
              <w:t>areas of extensive tidal effects</w:t>
            </w:r>
          </w:p>
          <w:p w:rsidR="00000000" w:rsidRPr="00570278" w:rsidP="00570278">
            <w:pPr>
              <w:pStyle w:val="ListBullet"/>
            </w:pPr>
            <w:r w:rsidRPr="00570278">
              <w:t>ice</w:t>
            </w:r>
          </w:p>
          <w:p w:rsidR="00000000" w:rsidRPr="00570278" w:rsidP="00570278">
            <w:pPr>
              <w:pStyle w:val="ListBullet"/>
            </w:pPr>
            <w:r w:rsidRPr="00570278">
              <w:t xml:space="preserve">restricted visibility </w:t>
            </w:r>
          </w:p>
          <w:p w:rsidR="00000000" w:rsidRPr="00570278" w:rsidP="00570278">
            <w:pPr>
              <w:pStyle w:val="ListBullet"/>
            </w:pPr>
            <w:r w:rsidRPr="00570278">
              <w:t>restricted waters</w:t>
            </w:r>
          </w:p>
          <w:p w:rsidR="00000000" w:rsidRPr="00570278" w:rsidP="00570278">
            <w:pPr>
              <w:pStyle w:val="ListBullet"/>
            </w:pPr>
            <w:r w:rsidRPr="00570278">
              <w:t>traffic separation schemes</w:t>
            </w:r>
          </w:p>
          <w:p w:rsidR="00000000" w:rsidRPr="00570278" w:rsidP="00570278">
            <w:pPr>
              <w:pStyle w:val="ListBullet"/>
            </w:pPr>
            <w:r w:rsidRPr="00570278">
              <w:t>vessel traffic service (VTS) areas</w:t>
            </w:r>
          </w:p>
          <w:p w:rsidR="00000000" w:rsidRPr="00570278" w:rsidP="00570278">
            <w:pPr>
              <w:pStyle w:val="ListBullet"/>
            </w:pPr>
            <w:r w:rsidRPr="00570278">
              <w:t>when summonsed to the bridge by the duty officer</w:t>
            </w:r>
          </w:p>
        </w:tc>
      </w:tr>
    </w:tbl>
    <w:p w:rsidR="002520A9" w:rsidP="00570278">
      <w:pPr>
        <w:pStyle w:val="BodyText"/>
      </w:pPr>
    </w:p>
    <w:p w:rsidR="002520A9" w:rsidP="00570278">
      <w:pPr>
        <w:pStyle w:val="BodyText"/>
      </w:pPr>
    </w:p>
    <w:p w:rsidR="00000000" w:rsidRPr="00570278" w:rsidP="00570278">
      <w:pPr>
        <w:pStyle w:val="Heading1"/>
      </w:pPr>
      <w:bookmarkStart w:id="9" w:name="O_747987"/>
      <w:bookmarkEnd w:id="9"/>
      <w:r w:rsidRPr="00570278">
        <w:t>Unit Mapping Information</w:t>
      </w:r>
    </w:p>
    <w:p w:rsidR="00000000" w:rsidRPr="00570278" w:rsidP="002520A9">
      <w:pPr>
        <w:pStyle w:val="BodyText"/>
      </w:pPr>
      <w:r w:rsidRPr="00570278">
        <w:t>This unit replaces and is equivalent to MARH6002A Manage the navigation of a vessel 500 gross tonnage or more.</w:t>
      </w:r>
    </w:p>
    <w:p w:rsidR="00000000" w:rsidRPr="00570278" w:rsidP="00570278">
      <w:pPr>
        <w:pStyle w:val="Heading1"/>
      </w:pPr>
      <w:bookmarkStart w:id="10" w:name="O_747994"/>
      <w:bookmarkEnd w:id="10"/>
      <w:r w:rsidRPr="00570278">
        <w:t>Links</w:t>
      </w:r>
    </w:p>
    <w:p w:rsidR="00000000" w:rsidRPr="00570278" w:rsidP="002520A9">
      <w:pPr>
        <w:pStyle w:val="BodyText"/>
      </w:pPr>
      <w:r w:rsidRPr="005702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B841FE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570278" w:rsidP="00570278"/>
    <w:sectPr w:rsidSect="0057027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2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278" w:rsidRPr="002520A9" w:rsidP="002520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2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0A9" w:rsidP="005702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520A9" w:rsidP="005702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520A9" w:rsidP="005702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2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0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0278" w:rsidRPr="002520A9" w:rsidP="002520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2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0A9" w:rsidRPr="002D2AF8" w:rsidP="005702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MARH012 Manage the navigation of a vessel 500 gross tonnage or more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2520A9" w:rsidP="005702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5C5E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E6E4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2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02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02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02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02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02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02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02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02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02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02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0278"/>
  </w:style>
  <w:style w:type="character" w:customStyle="1" w:styleId="Heading1Char">
    <w:name w:val="Heading 1 Char"/>
    <w:basedOn w:val="DefaultParagraphFont"/>
    <w:link w:val="Heading1"/>
    <w:rsid w:val="005702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02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02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027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0278"/>
    <w:rPr>
      <w:b/>
      <w:spacing w:val="0"/>
    </w:rPr>
  </w:style>
  <w:style w:type="paragraph" w:customStyle="1" w:styleId="SuperHeading">
    <w:name w:val="SuperHeading"/>
    <w:basedOn w:val="Normal"/>
    <w:rsid w:val="005702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02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02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02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02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02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02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02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02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02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02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02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02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02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02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02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02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02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02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02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02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02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02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02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02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02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02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02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02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02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02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02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02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02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02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0278"/>
    <w:rPr>
      <w:i/>
    </w:rPr>
  </w:style>
  <w:style w:type="paragraph" w:styleId="Caption">
    <w:name w:val="caption"/>
    <w:basedOn w:val="BodyText"/>
    <w:next w:val="Normal"/>
    <w:qFormat/>
    <w:rsid w:val="005702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02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02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0278"/>
  </w:style>
  <w:style w:type="paragraph" w:styleId="TableofFigures">
    <w:name w:val="table of figures"/>
    <w:basedOn w:val="Normal"/>
    <w:next w:val="Normal"/>
    <w:semiHidden/>
    <w:rsid w:val="005702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02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0278"/>
    <w:rPr>
      <w:rFonts w:ascii="Wingdings" w:hAnsi="Wingdings"/>
    </w:rPr>
  </w:style>
  <w:style w:type="paragraph" w:customStyle="1" w:styleId="TableHeading">
    <w:name w:val="Table Heading"/>
    <w:basedOn w:val="HeadingBase"/>
    <w:rsid w:val="005702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0278"/>
    <w:rPr>
      <w:color w:val="0033CC"/>
      <w:u w:val="none"/>
    </w:rPr>
  </w:style>
  <w:style w:type="paragraph" w:customStyle="1" w:styleId="BodyTextRight">
    <w:name w:val="Body Text Right"/>
    <w:basedOn w:val="BodyText"/>
    <w:rsid w:val="005702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02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02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02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02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02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0278"/>
    <w:rPr>
      <w:sz w:val="32"/>
    </w:rPr>
  </w:style>
  <w:style w:type="paragraph" w:customStyle="1" w:styleId="HeadingProcedure">
    <w:name w:val="Heading Procedure"/>
    <w:basedOn w:val="HeadingBase"/>
    <w:next w:val="Normal"/>
    <w:rsid w:val="005702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0278"/>
    <w:pPr>
      <w:spacing w:before="60" w:after="60"/>
    </w:pPr>
  </w:style>
  <w:style w:type="paragraph" w:styleId="ListContinue">
    <w:name w:val="List Continue"/>
    <w:basedOn w:val="List"/>
    <w:rsid w:val="00570278"/>
    <w:pPr>
      <w:ind w:firstLine="0"/>
    </w:pPr>
  </w:style>
  <w:style w:type="paragraph" w:customStyle="1" w:styleId="ListNote">
    <w:name w:val="List Note"/>
    <w:basedOn w:val="List"/>
    <w:rsid w:val="005702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02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02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0278"/>
    <w:rPr>
      <w:rFonts w:ascii="Courier New" w:hAnsi="Courier New"/>
    </w:rPr>
  </w:style>
  <w:style w:type="paragraph" w:customStyle="1" w:styleId="NoteBullet">
    <w:name w:val="Note Bullet"/>
    <w:basedOn w:val="Note"/>
    <w:rsid w:val="005702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02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02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02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02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02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02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0278"/>
    <w:rPr>
      <w:b/>
      <w:smallCaps/>
    </w:rPr>
  </w:style>
  <w:style w:type="paragraph" w:customStyle="1" w:styleId="TableListNumber">
    <w:name w:val="Table List Number"/>
    <w:basedOn w:val="ListNumber"/>
    <w:rsid w:val="005702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02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0278"/>
    <w:pPr>
      <w:numPr>
        <w:numId w:val="8"/>
      </w:numPr>
    </w:pPr>
  </w:style>
  <w:style w:type="paragraph" w:customStyle="1" w:styleId="ListAlpha2">
    <w:name w:val="List Alpha 2"/>
    <w:basedOn w:val="List2"/>
    <w:rsid w:val="00570278"/>
    <w:pPr>
      <w:numPr>
        <w:numId w:val="7"/>
      </w:numPr>
    </w:pPr>
  </w:style>
  <w:style w:type="paragraph" w:styleId="List2">
    <w:name w:val="List 2"/>
    <w:basedOn w:val="BodyText"/>
    <w:rsid w:val="005702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02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02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02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02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02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0278"/>
    <w:pPr>
      <w:numPr>
        <w:numId w:val="3"/>
      </w:numPr>
    </w:pPr>
  </w:style>
  <w:style w:type="paragraph" w:styleId="ListContinue2">
    <w:name w:val="List Continue 2"/>
    <w:basedOn w:val="List2"/>
    <w:rsid w:val="00570278"/>
    <w:pPr>
      <w:ind w:firstLine="0"/>
    </w:pPr>
  </w:style>
  <w:style w:type="paragraph" w:styleId="ListContinue3">
    <w:name w:val="List Continue 3"/>
    <w:basedOn w:val="List3"/>
    <w:rsid w:val="00570278"/>
    <w:pPr>
      <w:ind w:left="1021" w:firstLine="0"/>
    </w:pPr>
  </w:style>
  <w:style w:type="paragraph" w:styleId="ListContinue4">
    <w:name w:val="List Continue 4"/>
    <w:basedOn w:val="List4"/>
    <w:rsid w:val="00570278"/>
    <w:pPr>
      <w:ind w:firstLine="0"/>
    </w:pPr>
  </w:style>
  <w:style w:type="paragraph" w:styleId="ListContinue5">
    <w:name w:val="List Continue 5"/>
    <w:basedOn w:val="List5"/>
    <w:rsid w:val="00570278"/>
    <w:pPr>
      <w:ind w:firstLine="0"/>
    </w:pPr>
  </w:style>
  <w:style w:type="paragraph" w:styleId="ListNumber3">
    <w:name w:val="List Number 3"/>
    <w:basedOn w:val="List3"/>
    <w:rsid w:val="00570278"/>
    <w:pPr>
      <w:numPr>
        <w:numId w:val="4"/>
      </w:numPr>
    </w:pPr>
  </w:style>
  <w:style w:type="paragraph" w:styleId="ListNumber4">
    <w:name w:val="List Number 4"/>
    <w:basedOn w:val="List4"/>
    <w:rsid w:val="00570278"/>
    <w:pPr>
      <w:numPr>
        <w:numId w:val="5"/>
      </w:numPr>
    </w:pPr>
  </w:style>
  <w:style w:type="paragraph" w:styleId="ListNumber5">
    <w:name w:val="List Number 5"/>
    <w:basedOn w:val="List5"/>
    <w:rsid w:val="00570278"/>
    <w:pPr>
      <w:numPr>
        <w:numId w:val="6"/>
      </w:numPr>
    </w:pPr>
  </w:style>
  <w:style w:type="paragraph" w:styleId="BlockText">
    <w:name w:val="Block Text"/>
    <w:basedOn w:val="Normal"/>
    <w:rsid w:val="005702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02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0278"/>
    <w:rPr>
      <w:sz w:val="16"/>
      <w:vertAlign w:val="superscript"/>
    </w:rPr>
  </w:style>
  <w:style w:type="character" w:customStyle="1" w:styleId="Symbols">
    <w:name w:val="Symbols"/>
    <w:basedOn w:val="DefaultParagraphFont"/>
    <w:rsid w:val="00570278"/>
    <w:rPr>
      <w:rFonts w:ascii="Symbol" w:hAnsi="Symbol"/>
    </w:rPr>
  </w:style>
  <w:style w:type="character" w:customStyle="1" w:styleId="MenuOptions">
    <w:name w:val="Menu Options"/>
    <w:basedOn w:val="DefaultParagraphFont"/>
    <w:rsid w:val="005702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0278"/>
    <w:rPr>
      <w:b/>
    </w:rPr>
  </w:style>
  <w:style w:type="character" w:customStyle="1" w:styleId="Underlined">
    <w:name w:val="Underlined"/>
    <w:basedOn w:val="DefaultParagraphFont"/>
    <w:rsid w:val="00570278"/>
    <w:rPr>
      <w:u w:val="single"/>
    </w:rPr>
  </w:style>
  <w:style w:type="paragraph" w:customStyle="1" w:styleId="TableBodyTextRight">
    <w:name w:val="Table Body Text Right"/>
    <w:basedOn w:val="TableBodyText"/>
    <w:rsid w:val="005702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0278"/>
    <w:rPr>
      <w:sz w:val="18"/>
    </w:rPr>
  </w:style>
  <w:style w:type="paragraph" w:customStyle="1" w:styleId="BodySmallRight">
    <w:name w:val="Body Small Right"/>
    <w:basedOn w:val="BodyTextRight"/>
    <w:rsid w:val="00570278"/>
    <w:rPr>
      <w:sz w:val="18"/>
      <w:szCs w:val="18"/>
    </w:rPr>
  </w:style>
  <w:style w:type="paragraph" w:customStyle="1" w:styleId="MarginEdition">
    <w:name w:val="Margin Edition"/>
    <w:basedOn w:val="MarginNote"/>
    <w:rsid w:val="005702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0278"/>
    <w:rPr>
      <w:sz w:val="2"/>
      <w:szCs w:val="2"/>
    </w:rPr>
  </w:style>
  <w:style w:type="character" w:customStyle="1" w:styleId="Small">
    <w:name w:val="Small"/>
    <w:basedOn w:val="DefaultParagraphFont"/>
    <w:rsid w:val="00570278"/>
    <w:rPr>
      <w:sz w:val="16"/>
    </w:rPr>
  </w:style>
  <w:style w:type="paragraph" w:customStyle="1" w:styleId="WideTable">
    <w:name w:val="Wide Table"/>
    <w:basedOn w:val="Normal"/>
    <w:rsid w:val="005702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0278"/>
  </w:style>
  <w:style w:type="paragraph" w:styleId="Quote">
    <w:name w:val="Quote"/>
    <w:basedOn w:val="Heading1"/>
    <w:link w:val="QuoteChar"/>
    <w:qFormat/>
    <w:rsid w:val="005702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02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0278"/>
    <w:pPr>
      <w:pageBreakBefore/>
    </w:pPr>
  </w:style>
  <w:style w:type="paragraph" w:customStyle="1" w:styleId="Border">
    <w:name w:val="Border"/>
    <w:basedOn w:val="Normal"/>
    <w:qFormat/>
    <w:rsid w:val="005702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02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2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2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02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02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02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02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02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0278"/>
    <w:rPr>
      <w:u w:val="single"/>
    </w:rPr>
  </w:style>
  <w:style w:type="character" w:customStyle="1" w:styleId="BoldandItalics">
    <w:name w:val="Bold and Italics"/>
    <w:qFormat/>
    <w:rsid w:val="00570278"/>
    <w:rPr>
      <w:b/>
      <w:i/>
      <w:u w:val="none"/>
    </w:rPr>
  </w:style>
  <w:style w:type="paragraph" w:styleId="BalloonText">
    <w:name w:val="Balloon Text"/>
    <w:basedOn w:val="Normal"/>
    <w:link w:val="BalloonTextChar"/>
    <w:rsid w:val="005702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02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02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02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02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02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0278"/>
    <w:pPr>
      <w:spacing w:before="0" w:after="0"/>
    </w:pPr>
  </w:style>
  <w:style w:type="paragraph" w:customStyle="1" w:styleId="BodyTextBold">
    <w:name w:val="Body Text Bold"/>
    <w:basedOn w:val="BodyText"/>
    <w:qFormat/>
    <w:rsid w:val="00570278"/>
    <w:rPr>
      <w:b/>
    </w:rPr>
  </w:style>
  <w:style w:type="character" w:styleId="Hyperlink">
    <w:name w:val="Hyperlink"/>
    <w:basedOn w:val="DefaultParagraphFont"/>
    <w:uiPriority w:val="99"/>
    <w:unhideWhenUsed/>
    <w:rsid w:val="002520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1121</Words>
  <Characters>7045</Characters>
  <Application>Microsoft Office Word</Application>
  <DocSecurity>0</DocSecurity>
  <Lines>320</Lines>
  <Paragraphs>199</Paragraphs>
  <ScaleCrop>false</ScaleCrop>
  <Company>Author-it Software Corporation Ltd.</Company>
  <LinksUpToDate>false</LinksUpToDate>
  <CharactersWithSpaces>7967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MARH012 Manage the navigation of a vessel 500 gross tonnage or more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2020-10-27T01:34:00Z</dcterms:created>
  <dcterms:modified xsi:type="dcterms:W3CDTF">2020-10-27T01:34:00Z</dcterms:modified>
</cp:coreProperties>
</file>