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68A" w:rsidP="00713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MARF059 Apply knowledge of Autonomous Surface Vessels (ASV) technical management</w:t>
      </w:r>
      <w:r>
        <w:fldChar w:fldCharType="end"/>
      </w:r>
    </w:p>
    <w:p w:rsidR="0071368A" w:rsidP="0071368A">
      <w:pPr>
        <w:pStyle w:val="Version"/>
        <w:sectPr w:rsidSect="006A7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D7D" w:rsidP="006A7D7D">
      <w:pPr>
        <w:pStyle w:val="SuperHeading"/>
      </w:pPr>
      <w:r w:rsidRPr="006A7D7D">
        <w:t>MARF059 Apply knowledge of Autonomous Surface Vessels (ASV) technical management</w:t>
      </w:r>
    </w:p>
    <w:p w:rsidR="00000000" w:rsidRPr="006A7D7D" w:rsidP="006A7D7D">
      <w:pPr>
        <w:pStyle w:val="Heading1"/>
      </w:pPr>
      <w:bookmarkStart w:id="1" w:name="O_1256119"/>
      <w:bookmarkEnd w:id="1"/>
      <w:r w:rsidRPr="006A7D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Release 1.</w:t>
            </w:r>
            <w:r w:rsidRPr="006A7D7D">
              <w:t xml:space="preserve"> This is the first release of this unit of competency in the MAR Maritime Training Package.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2" w:name="O_1256120"/>
      <w:bookmarkEnd w:id="2"/>
      <w:r w:rsidRPr="006A7D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 xml:space="preserve">This unit involves the skills and knowledge required to apply knowledge of Autonomous Surface Vessels (ASV) technical management. </w:t>
            </w:r>
          </w:p>
          <w:p w:rsidR="00000000" w:rsidRPr="006A7D7D" w:rsidP="006A7D7D">
            <w:pPr>
              <w:pStyle w:val="BodyText"/>
            </w:pPr>
            <w:r w:rsidRPr="006A7D7D">
              <w:t>This includes demonstrating technical management of ASV systems, operations and systems, systems in design and execution of d</w:t>
            </w:r>
            <w:r w:rsidRPr="006A7D7D">
              <w:t xml:space="preserve">iagnostic missions, and conducting technical post-mission analysis and vehicle performance analysis. </w:t>
            </w:r>
          </w:p>
          <w:p w:rsidR="00000000" w:rsidRPr="006A7D7D" w:rsidP="006A7D7D">
            <w:pPr>
              <w:pStyle w:val="BodyText"/>
            </w:pPr>
            <w:r w:rsidRPr="006A7D7D">
              <w:t>This unit applies to people working in the maritime industry in the capacity of:</w:t>
            </w:r>
          </w:p>
          <w:p w:rsidR="00000000" w:rsidRPr="006A7D7D" w:rsidP="006A7D7D">
            <w:pPr>
              <w:pStyle w:val="ListBullet"/>
            </w:pPr>
            <w:r w:rsidRPr="006A7D7D">
              <w:t>ASV Technician.</w:t>
            </w:r>
          </w:p>
          <w:p w:rsidR="00000000" w:rsidRPr="006A7D7D" w:rsidP="006A7D7D">
            <w:pPr>
              <w:pStyle w:val="BodyText"/>
            </w:pPr>
            <w:r w:rsidRPr="006A7D7D">
              <w:t>This unit applies to ASV operations being conducted in N</w:t>
            </w:r>
            <w:r w:rsidRPr="006A7D7D">
              <w:t>ear Coastal (NC) waters within the limits of the operators AMSA Certificate of Competency.</w:t>
            </w:r>
          </w:p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Licensing/Regulatory Information</w:t>
            </w:r>
          </w:p>
          <w:p w:rsidR="00000000" w:rsidRPr="006A7D7D" w:rsidP="006A7D7D">
            <w:pPr>
              <w:pStyle w:val="BodyText"/>
            </w:pPr>
            <w:r w:rsidRPr="006A7D7D">
              <w:t>No licensing, legislative or certification requirements apply to this unit at the time of publication.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3" w:name="O_1256121"/>
      <w:bookmarkEnd w:id="3"/>
      <w:r w:rsidRPr="006A7D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>MARH031 Apply knowledge of core Autonomous Surface Vessels (ASV) operations</w:t>
            </w:r>
          </w:p>
          <w:p w:rsidR="00000000" w:rsidRPr="006A7D7D" w:rsidP="006A7D7D">
            <w:pPr>
              <w:pStyle w:val="BodyText"/>
            </w:pPr>
            <w:r w:rsidRPr="006A7D7D">
              <w:t>MARH033 Conduct advanced Autonomous Surface Vessels (ASV) operations</w:t>
            </w:r>
          </w:p>
          <w:p w:rsidR="00000000" w:rsidRPr="006A7D7D" w:rsidP="006A7D7D">
            <w:pPr>
              <w:pStyle w:val="BodyText"/>
            </w:pPr>
            <w:r w:rsidRPr="006A7D7D">
              <w:t>MARH034 Demonstrate fundamental knowledge of Autonomous Maritime Systems (AMS) operations</w:t>
            </w:r>
          </w:p>
          <w:p w:rsidR="00000000" w:rsidRPr="006A7D7D" w:rsidP="006A7D7D">
            <w:pPr>
              <w:pStyle w:val="BodyText"/>
            </w:pPr>
            <w:r w:rsidRPr="006A7D7D">
              <w:t>MA</w:t>
            </w:r>
            <w:r w:rsidRPr="006A7D7D">
              <w:t>RH035 Demonstrate fundamental knowledge of Autonomous Maritime Systems (AMS)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4" w:name="O_1256122"/>
      <w:bookmarkEnd w:id="4"/>
      <w:r w:rsidRPr="006A7D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>F – Operational Quality and Safety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5" w:name="O_1256123"/>
      <w:bookmarkEnd w:id="5"/>
      <w:r w:rsidRPr="006A7D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>Maritime Sector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6" w:name="O_1256124"/>
      <w:bookmarkEnd w:id="6"/>
      <w:r w:rsidRPr="006A7D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9"/>
        <w:gridCol w:w="697"/>
        <w:gridCol w:w="5548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ELEMENTS</w:t>
            </w: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PERFORMANCE CRITERIA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Elements describe the essential outcomes.</w:t>
            </w:r>
          </w:p>
        </w:tc>
        <w:tc>
          <w:tcPr>
            <w:tcW w:w="6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Performance criteria describe the performance needed to demonstrate achievement of the element.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1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Demonstrate technical management of ASV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1.1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ASV battery performance is l</w:t>
            </w:r>
            <w:r w:rsidRPr="006A7D7D">
              <w:t>ogged and assessed according to operating procedures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1.2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 xml:space="preserve">ASV ground fault detection procedures are conducted 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1.3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ASV calibrations, pitch-fin and rudder-fin control is conducted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2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Apply technical knowledge of ASV operations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2.1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>Technical analysis of ASV radio frequency (RF) communications systems is conducted</w:t>
            </w:r>
          </w:p>
          <w:p w:rsidR="00000000" w:rsidP="006A7D7D">
            <w:pPr>
              <w:pStyle w:val="BodyText"/>
              <w:rPr>
                <w:lang w:val="en-NZ"/>
              </w:rPr>
            </w:pP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2.2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Technical analysis of ASV networks and security systems is conducted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2.3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Technical analysis of an ASV</w:t>
            </w:r>
            <w:r>
              <w:t>’</w:t>
            </w:r>
            <w:r w:rsidRPr="006A7D7D">
              <w:t>s internal state and decision-making processes is conducted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2.4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Advanced principles of electromagnetic (EM) and RF communications are outlined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3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 xml:space="preserve">Apply technical knowledge of ASV systems in the design and execution of diagnostic missions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3.1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ASV mission with faulty navigation involving RF and global positioning</w:t>
            </w:r>
            <w:r w:rsidRPr="006A7D7D">
              <w:t xml:space="preserve"> system (GPS) is conducted and diagnosed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3.2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ASV mission with faulty control is conducted and diagnosed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3.3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ASV mission with poor hydrodynamics is conducted and diagnosed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3.4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ASV mission with untuned proportional-integral-derivative (PID) control is conducted and diagnosed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4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Conduct technical post-mission analysis and vehicle performance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4.1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Technical post-mission analysis and vehicle performance analysis is conducted</w:t>
            </w:r>
            <w:r w:rsidRPr="006A7D7D">
              <w:t xml:space="preserve"> using graphical and numeric analysis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rPr>
                <w:rStyle w:val="SpecialBold"/>
              </w:rPr>
              <w:t>4.2</w:t>
            </w:r>
          </w:p>
        </w:tc>
        <w:tc>
          <w:tcPr>
            <w:tcW w:w="55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>Technical reports for diagnostic missions are completed according to operational procedures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7" w:name="O_1256125"/>
      <w:bookmarkEnd w:id="7"/>
      <w:r w:rsidRPr="006A7D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>Foundation skills essential to performance are explicit in the performance crite</w:t>
            </w:r>
            <w:r w:rsidRPr="006A7D7D">
              <w:t>ria of this unit of competency.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8" w:name="O_1256126"/>
      <w:bookmarkEnd w:id="8"/>
      <w:r w:rsidRPr="006A7D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>Range is restricted to essential operating conditions and any other variables essential to the work environment.</w:t>
            </w:r>
          </w:p>
          <w:p w:rsidR="00000000" w:rsidRPr="006A7D7D" w:rsidP="006A7D7D">
            <w:pPr>
              <w:pStyle w:val="BodyText"/>
            </w:pPr>
            <w:r w:rsidRPr="006A7D7D">
              <w:t>Non-essential conditions may</w:t>
            </w:r>
            <w:r w:rsidRPr="006A7D7D">
              <w:t xml:space="preserve"> be found in the MAR Maritime Training Package Companion Volume Implementation Guide.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9" w:name="O_1256127"/>
      <w:bookmarkEnd w:id="9"/>
      <w:r w:rsidRPr="006A7D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 xml:space="preserve">This is a new unit. No equivalent unit.  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10" w:name="O_1256134"/>
      <w:bookmarkEnd w:id="10"/>
      <w:r w:rsidRPr="006A7D7D">
        <w:t>Links</w:t>
      </w:r>
    </w:p>
    <w:p w:rsidR="00000000" w:rsidRPr="006A7D7D" w:rsidP="0071368A">
      <w:pPr>
        <w:pStyle w:val="BodyText"/>
      </w:pPr>
      <w:r w:rsidRPr="006A7D7D">
        <w:t>Companion Volume Implementation Guides are found in VET</w:t>
      </w:r>
      <w:r w:rsidRPr="006A7D7D">
        <w:t xml:space="preserve">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C7A0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A7D7D" w:rsidP="0071368A">
      <w:pPr>
        <w:pStyle w:val="BodyText"/>
        <w:sectPr w:rsidSect="006A7D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7D7D" w:rsidP="006A7D7D">
      <w:pPr>
        <w:pStyle w:val="SuperHeading"/>
      </w:pPr>
      <w:r w:rsidRPr="006A7D7D">
        <w:t>Assessment Requirements for MARF059 Apply knowledge of Autonomous Surface Vessels (ASV) technical management</w:t>
      </w:r>
    </w:p>
    <w:p w:rsidR="00000000" w:rsidRPr="006A7D7D" w:rsidP="006A7D7D">
      <w:pPr>
        <w:pStyle w:val="Heading1"/>
      </w:pPr>
      <w:bookmarkStart w:id="11" w:name="O_1256129"/>
      <w:bookmarkEnd w:id="11"/>
      <w:r w:rsidRPr="006A7D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rPr>
                <w:rStyle w:val="SpecialBold"/>
              </w:rPr>
              <w:t>Release 1.</w:t>
            </w:r>
            <w:r w:rsidRPr="006A7D7D">
              <w:t xml:space="preserve"> This is the first release of this unit of competency in the MAR Maritime Training Package.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12" w:name="O_1256130"/>
      <w:bookmarkEnd w:id="12"/>
      <w:r w:rsidRPr="006A7D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>Evidence required to demonstrate competence in this unit must be relevant to and s</w:t>
            </w:r>
            <w:r w:rsidRPr="006A7D7D">
              <w:t xml:space="preserve">atisfy all of the requirements of the elements and performance criteria and include: 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ListBullet"/>
            </w:pPr>
            <w:r w:rsidRPr="006A7D7D">
              <w:t>completing numerical and graphical analysis of Autonomous Surface Vessels (ASV) technical operation data to assess performance against ASV benchmarks</w:t>
            </w:r>
          </w:p>
          <w:p w:rsidR="00000000" w:rsidRPr="006A7D7D" w:rsidP="006A7D7D">
            <w:pPr>
              <w:pStyle w:val="ListBullet"/>
            </w:pPr>
            <w:r w:rsidRPr="006A7D7D">
              <w:t>following operatio</w:t>
            </w:r>
            <w:r w:rsidRPr="006A7D7D">
              <w:t xml:space="preserve">nal procedures </w:t>
            </w:r>
          </w:p>
          <w:p w:rsidR="00000000" w:rsidRPr="006A7D7D" w:rsidP="006A7D7D">
            <w:pPr>
              <w:pStyle w:val="ListBullet"/>
            </w:pPr>
            <w:r w:rsidRPr="006A7D7D">
              <w:t>planning, executing and analysing five diagnostic ASV missions in Near Coastal (NC) waters, including a minimum of:</w:t>
            </w:r>
          </w:p>
          <w:p w:rsidR="00000000" w:rsidRPr="006A7D7D" w:rsidP="006A7D7D">
            <w:pPr>
              <w:pStyle w:val="ListBullet2"/>
            </w:pPr>
            <w:r w:rsidRPr="006A7D7D">
              <w:t>one mission that is conducted using faulty navigation involving radio frequency (RF) and global positioning system (GPS)</w:t>
            </w:r>
          </w:p>
          <w:p w:rsidR="00000000" w:rsidRPr="006A7D7D" w:rsidP="006A7D7D">
            <w:pPr>
              <w:pStyle w:val="ListBullet2"/>
            </w:pPr>
            <w:r w:rsidRPr="006A7D7D">
              <w:t>one mission that is conducted using faulty control</w:t>
            </w:r>
          </w:p>
          <w:p w:rsidR="00000000" w:rsidRPr="006A7D7D" w:rsidP="006A7D7D">
            <w:pPr>
              <w:pStyle w:val="ListBullet2"/>
            </w:pPr>
            <w:r w:rsidRPr="006A7D7D">
              <w:t>one mission that is conducted using poor hydrodynamics</w:t>
            </w:r>
          </w:p>
          <w:p w:rsidR="00000000" w:rsidRPr="006A7D7D" w:rsidP="006A7D7D">
            <w:pPr>
              <w:pStyle w:val="ListBullet2"/>
            </w:pPr>
            <w:r w:rsidRPr="006A7D7D">
              <w:t>one mission that is conducted using untuned proportional-integral-derivative (PID) control</w:t>
            </w:r>
          </w:p>
          <w:p w:rsidR="00000000" w:rsidRPr="006A7D7D" w:rsidP="006A7D7D">
            <w:pPr>
              <w:pStyle w:val="ListBullet2"/>
            </w:pPr>
            <w:r w:rsidRPr="006A7D7D">
              <w:t xml:space="preserve">completing a post-mission analysis and vehicle performance </w:t>
            </w:r>
            <w:r w:rsidRPr="006A7D7D">
              <w:t>analysis which includes a diagnostic report for each mission.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13" w:name="O_1256131"/>
      <w:bookmarkEnd w:id="13"/>
      <w:r w:rsidRPr="006A7D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D7D">
            <w:pPr>
              <w:pStyle w:val="BodyText"/>
              <w:rPr>
                <w:lang w:val="en-NZ"/>
              </w:rPr>
            </w:pPr>
            <w:r w:rsidRPr="006A7D7D">
              <w:t xml:space="preserve">Evidence required to demonstrate competence in this unit must be relevant to and satisfy all of the requirements of the elements and performance criteria </w:t>
            </w:r>
            <w:r w:rsidRPr="006A7D7D">
              <w:t xml:space="preserve">and include knowledge of: </w:t>
            </w:r>
          </w:p>
        </w:tc>
      </w:tr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ListBullet"/>
            </w:pPr>
            <w:r w:rsidRPr="006A7D7D">
              <w:t>ASV calibrations, including:</w:t>
            </w:r>
          </w:p>
          <w:p w:rsidR="00000000" w:rsidRPr="006A7D7D" w:rsidP="006A7D7D">
            <w:pPr>
              <w:pStyle w:val="ListBullet2"/>
            </w:pPr>
            <w:r w:rsidRPr="006A7D7D">
              <w:t>pitch-fin control</w:t>
            </w:r>
          </w:p>
          <w:p w:rsidR="00000000" w:rsidRPr="006A7D7D" w:rsidP="006A7D7D">
            <w:pPr>
              <w:pStyle w:val="ListBullet2"/>
            </w:pPr>
            <w:r w:rsidRPr="006A7D7D">
              <w:t>rudder-fin control</w:t>
            </w:r>
          </w:p>
          <w:p w:rsidR="00000000" w:rsidRPr="006A7D7D" w:rsidP="006A7D7D">
            <w:pPr>
              <w:pStyle w:val="ListBullet"/>
            </w:pPr>
            <w:r w:rsidRPr="006A7D7D">
              <w:t>battery technology, including:</w:t>
            </w:r>
          </w:p>
          <w:p w:rsidR="00000000" w:rsidRPr="006A7D7D" w:rsidP="006A7D7D">
            <w:pPr>
              <w:pStyle w:val="ListBullet2"/>
            </w:pPr>
            <w:r w:rsidRPr="006A7D7D">
              <w:t>battery maintenance</w:t>
            </w:r>
          </w:p>
          <w:p w:rsidR="00000000" w:rsidRPr="006A7D7D" w:rsidP="006A7D7D">
            <w:pPr>
              <w:pStyle w:val="ListBullet2"/>
            </w:pPr>
            <w:r w:rsidRPr="006A7D7D">
              <w:t>process for assessing battery performance</w:t>
            </w:r>
          </w:p>
          <w:p w:rsidR="00000000" w:rsidRPr="006A7D7D" w:rsidP="006A7D7D">
            <w:pPr>
              <w:pStyle w:val="ListBullet2"/>
            </w:pPr>
            <w:r w:rsidRPr="006A7D7D">
              <w:t>process for logging battery performance</w:t>
            </w:r>
          </w:p>
          <w:p w:rsidR="00000000" w:rsidRPr="006A7D7D" w:rsidP="006A7D7D">
            <w:pPr>
              <w:pStyle w:val="ListBullet"/>
            </w:pPr>
            <w:r w:rsidRPr="006A7D7D">
              <w:t>design principles and process for executing diagnostic ASV missions</w:t>
            </w:r>
          </w:p>
          <w:p w:rsidR="00000000" w:rsidRPr="006A7D7D" w:rsidP="006A7D7D">
            <w:pPr>
              <w:pStyle w:val="ListBullet"/>
            </w:pPr>
            <w:r w:rsidRPr="006A7D7D">
              <w:t>diagnostic missions to identify problems and improve performance, including:</w:t>
            </w:r>
          </w:p>
          <w:p w:rsidR="00000000" w:rsidRPr="006A7D7D" w:rsidP="006A7D7D">
            <w:pPr>
              <w:pStyle w:val="ListBullet2"/>
            </w:pPr>
            <w:r w:rsidRPr="006A7D7D">
              <w:t>identifying faulty control</w:t>
            </w:r>
          </w:p>
          <w:p w:rsidR="00000000" w:rsidRPr="006A7D7D" w:rsidP="006A7D7D">
            <w:pPr>
              <w:pStyle w:val="ListBullet2"/>
            </w:pPr>
            <w:r w:rsidRPr="006A7D7D">
              <w:t>identifying optimal hydrodynamics</w:t>
            </w:r>
          </w:p>
          <w:p w:rsidR="00000000" w:rsidRPr="006A7D7D" w:rsidP="006A7D7D">
            <w:pPr>
              <w:pStyle w:val="ListBullet2"/>
            </w:pPr>
            <w:r w:rsidRPr="006A7D7D">
              <w:t>improving navigation involving RF and GPS</w:t>
            </w:r>
          </w:p>
          <w:p w:rsidR="00000000" w:rsidRPr="006A7D7D" w:rsidP="006A7D7D">
            <w:pPr>
              <w:pStyle w:val="ListBullet2"/>
            </w:pPr>
            <w:r w:rsidRPr="006A7D7D">
              <w:t xml:space="preserve">tuning </w:t>
            </w:r>
            <w:r w:rsidRPr="006A7D7D">
              <w:t>PID control</w:t>
            </w:r>
          </w:p>
          <w:p w:rsidR="00000000" w:rsidRPr="006A7D7D" w:rsidP="006A7D7D">
            <w:pPr>
              <w:pStyle w:val="ListBullet"/>
            </w:pPr>
            <w:r w:rsidRPr="006A7D7D">
              <w:t>ground fault detection procedures</w:t>
            </w:r>
          </w:p>
          <w:p w:rsidR="00000000" w:rsidRPr="006A7D7D" w:rsidP="006A7D7D">
            <w:pPr>
              <w:pStyle w:val="ListBullet"/>
            </w:pPr>
            <w:r w:rsidRPr="006A7D7D">
              <w:t>process for completing technical reports for diagnostic missions as part of the post-mission analysis and vehicle performance analysis</w:t>
            </w:r>
          </w:p>
          <w:p w:rsidR="00000000" w:rsidRPr="006A7D7D" w:rsidP="006A7D7D">
            <w:pPr>
              <w:pStyle w:val="ListBullet"/>
            </w:pPr>
            <w:r w:rsidRPr="006A7D7D">
              <w:t>technical details of ASV systems, including:</w:t>
            </w:r>
          </w:p>
          <w:p w:rsidR="00000000" w:rsidRPr="006A7D7D" w:rsidP="006A7D7D">
            <w:pPr>
              <w:pStyle w:val="ListBullet2"/>
            </w:pPr>
            <w:r w:rsidRPr="006A7D7D">
              <w:t>internal state and decision-making processes</w:t>
            </w:r>
          </w:p>
          <w:p w:rsidR="00000000" w:rsidRPr="006A7D7D" w:rsidP="006A7D7D">
            <w:pPr>
              <w:pStyle w:val="ListBullet2"/>
            </w:pPr>
            <w:r w:rsidRPr="006A7D7D">
              <w:t>networks and security</w:t>
            </w:r>
          </w:p>
          <w:p w:rsidR="00000000" w:rsidRPr="006A7D7D" w:rsidP="006A7D7D">
            <w:pPr>
              <w:pStyle w:val="ListBullet2"/>
            </w:pPr>
            <w:r w:rsidRPr="006A7D7D">
              <w:t>RF communications</w:t>
            </w:r>
          </w:p>
          <w:p w:rsidR="00000000" w:rsidRPr="006A7D7D" w:rsidP="006A7D7D">
            <w:pPr>
              <w:pStyle w:val="ListBullet"/>
            </w:pPr>
            <w:r w:rsidRPr="006A7D7D">
              <w:t>use of graphical and numerical analysis to inform technical post-mission analysis and vehicle performance analysis.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14" w:name="O_1256132"/>
      <w:bookmarkEnd w:id="14"/>
      <w:r w:rsidRPr="006A7D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7D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D7D" w:rsidP="006A7D7D">
            <w:pPr>
              <w:pStyle w:val="BodyText"/>
            </w:pPr>
            <w:r w:rsidRPr="006A7D7D">
              <w:t xml:space="preserve">Assessors must hold credentials specified within the Standards for Registered Training Organisations current at the time of assessment. </w:t>
            </w:r>
          </w:p>
          <w:p w:rsidR="00000000" w:rsidRPr="006A7D7D" w:rsidP="006A7D7D">
            <w:pPr>
              <w:pStyle w:val="BodyText"/>
            </w:pPr>
            <w:r w:rsidRPr="006A7D7D">
              <w:t>Assessment must satisfy the Principles of Assessment and Rules of Evidence and all regulatory requirements included wit</w:t>
            </w:r>
            <w:r w:rsidRPr="006A7D7D">
              <w:t>hin the Standards for Registered Training Organisations current at the time of assessment.</w:t>
            </w:r>
          </w:p>
          <w:p w:rsidR="00000000" w:rsidRPr="006A7D7D" w:rsidP="006A7D7D">
            <w:pPr>
              <w:pStyle w:val="BodyText"/>
            </w:pPr>
            <w:r w:rsidRPr="006A7D7D">
              <w:t>Assessment processes and techniques must be appropriate to the language, literacy and numeracy requirements of the work being performed and the needs of the candidat</w:t>
            </w:r>
            <w:r w:rsidRPr="006A7D7D">
              <w:t>e.</w:t>
            </w:r>
          </w:p>
          <w:p w:rsidR="00000000" w:rsidRPr="006A7D7D" w:rsidP="006A7D7D">
            <w:pPr>
              <w:pStyle w:val="BodyText"/>
            </w:pPr>
            <w:r w:rsidRPr="006A7D7D">
              <w:t xml:space="preserve">Assessment must occur in workplace operational situations, and where this is not appropriate, assessment must occur in simulated workplace operational situations that replicate workplace conditions.  </w:t>
            </w:r>
          </w:p>
          <w:p w:rsidR="00000000" w:rsidRPr="006A7D7D" w:rsidP="006A7D7D">
            <w:pPr>
              <w:pStyle w:val="BodyText"/>
            </w:pPr>
            <w:r w:rsidRPr="006A7D7D">
              <w:t>Simulated workplace may be used to augment real-worl</w:t>
            </w:r>
            <w:r w:rsidRPr="006A7D7D">
              <w:t>d operational situations and does not replace real-world operations in prescribed water conditions.</w:t>
            </w:r>
          </w:p>
          <w:p w:rsidR="00000000" w:rsidRPr="006A7D7D" w:rsidP="006A7D7D">
            <w:pPr>
              <w:pStyle w:val="BodyText"/>
            </w:pPr>
            <w:r w:rsidRPr="006A7D7D">
              <w:t>Resources for assessment must include access to:</w:t>
            </w:r>
          </w:p>
          <w:p w:rsidR="00000000" w:rsidRPr="006A7D7D" w:rsidP="006A7D7D">
            <w:pPr>
              <w:pStyle w:val="ListBullet"/>
            </w:pPr>
            <w:r w:rsidRPr="006A7D7D">
              <w:t xml:space="preserve">applicable documentation such as workplace procedures, regulations, codes of practice, operation manuals, </w:t>
            </w:r>
            <w:r w:rsidRPr="006A7D7D">
              <w:t>manufacturer instructions and procedures</w:t>
            </w:r>
          </w:p>
          <w:p w:rsidR="00000000" w:rsidRPr="006A7D7D" w:rsidP="006A7D7D">
            <w:pPr>
              <w:pStyle w:val="ListBullet"/>
            </w:pPr>
            <w:r w:rsidRPr="006A7D7D">
              <w:t>tools, equipment, machinery, materials and relevant personal protective equipment (PPE) currently used in industry, including:</w:t>
            </w:r>
          </w:p>
          <w:p w:rsidR="00000000" w:rsidRPr="006A7D7D" w:rsidP="006A7D7D">
            <w:pPr>
              <w:pStyle w:val="ListBullet2"/>
            </w:pPr>
            <w:r w:rsidRPr="006A7D7D">
              <w:t>ASV aligned with the required size and class that a seafarer will need to operate</w:t>
            </w:r>
          </w:p>
          <w:p w:rsidR="00000000" w:rsidRPr="006A7D7D" w:rsidP="006A7D7D">
            <w:pPr>
              <w:pStyle w:val="ListBullet2"/>
            </w:pPr>
            <w:r w:rsidRPr="006A7D7D">
              <w:t>ASV with dual-propulsion and an integrated obstacle avoidance system</w:t>
            </w:r>
          </w:p>
          <w:p w:rsidR="00000000" w:rsidRPr="006A7D7D" w:rsidP="006A7D7D">
            <w:pPr>
              <w:pStyle w:val="ListBullet2"/>
            </w:pPr>
            <w:r w:rsidRPr="006A7D7D">
              <w:t xml:space="preserve">water conditions consistent with mission requirements as outlined in this unit of competency and must include access to water in excess of 100 m, high energy tidal waters and permanently </w:t>
            </w:r>
            <w:r w:rsidRPr="006A7D7D">
              <w:t>stratified waters.</w:t>
            </w:r>
          </w:p>
        </w:tc>
      </w:tr>
    </w:tbl>
    <w:p w:rsidR="00000000" w:rsidRPr="006A7D7D" w:rsidP="006A7D7D">
      <w:pPr>
        <w:pStyle w:val="NoPaddingFontSize1"/>
      </w:pPr>
    </w:p>
    <w:p w:rsidR="00000000" w:rsidRPr="006A7D7D" w:rsidP="006A7D7D">
      <w:pPr>
        <w:pStyle w:val="AllowPageBreak"/>
      </w:pPr>
    </w:p>
    <w:p w:rsidR="00000000" w:rsidRPr="006A7D7D" w:rsidP="006A7D7D">
      <w:pPr>
        <w:pStyle w:val="Heading1"/>
      </w:pPr>
      <w:bookmarkStart w:id="15" w:name="O_1256135"/>
      <w:bookmarkEnd w:id="15"/>
      <w:r w:rsidRPr="006A7D7D">
        <w:t>Links</w:t>
      </w:r>
    </w:p>
    <w:p w:rsidR="00000000" w:rsidRPr="006A7D7D" w:rsidP="0071368A">
      <w:pPr>
        <w:pStyle w:val="BodyText"/>
      </w:pPr>
      <w:r w:rsidRPr="006A7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C7A0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A7D7D" w:rsidP="006A7D7D"/>
    <w:sectPr w:rsidSect="006A7D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7D" w:rsidRPr="0071368A" w:rsidP="00713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8A" w:rsidP="006A7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68A" w:rsidP="006A7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1368A" w:rsidP="006A7D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7D" w:rsidP="006A7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68A">
      <w:t>Approved</w:t>
    </w:r>
    <w:r w:rsidR="007136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6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68A">
      <w:rPr>
        <w:noProof/>
      </w:rPr>
      <w:t>4</w:t>
    </w:r>
    <w:r>
      <w:rPr>
        <w:noProof/>
      </w:rPr>
      <w:fldChar w:fldCharType="end"/>
    </w:r>
  </w:p>
  <w:p w:rsidR="006A7D7D" w:rsidP="006A7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6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68A">
      <w:t>Industry Skills Australia</w:t>
    </w:r>
    <w:r w:rsidR="0071368A">
      <w:fldChar w:fldCharType="end"/>
    </w:r>
  </w:p>
  <w:p w:rsidR="006A7D7D" w:rsidP="006A7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D7D" w:rsidRPr="0071368A" w:rsidP="00713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68A" w:rsidRPr="002D2AF8" w:rsidP="006A7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MARF059 Apply knowledge of Autonomous Surface Vessels (ASV) technical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368A" w:rsidP="006A7D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D7D" w:rsidRPr="002D2AF8" w:rsidP="006A7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68A">
      <w:t>MARF059 Apply knowledge of Autonomous Surface Vessels (ASV) technical management</w:t>
    </w:r>
    <w:r w:rsidR="007136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68A">
      <w:rPr>
        <w:noProof/>
      </w:rPr>
      <w:t>2 March 2025</w:t>
    </w:r>
    <w:r>
      <w:fldChar w:fldCharType="end"/>
    </w:r>
  </w:p>
  <w:p w:rsidR="006A7D7D" w:rsidP="006A7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C9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62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84E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D7D"/>
  </w:style>
  <w:style w:type="character" w:customStyle="1" w:styleId="Heading1Char">
    <w:name w:val="Heading 1 Char"/>
    <w:basedOn w:val="DefaultParagraphFont"/>
    <w:link w:val="Heading1"/>
    <w:rsid w:val="006A7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D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D7D"/>
    <w:rPr>
      <w:b/>
      <w:spacing w:val="0"/>
    </w:rPr>
  </w:style>
  <w:style w:type="paragraph" w:styleId="ListBullet2">
    <w:name w:val="List Bullet 2"/>
    <w:basedOn w:val="List2"/>
    <w:rsid w:val="006A7D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7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D7D"/>
    <w:rPr>
      <w:i/>
    </w:rPr>
  </w:style>
  <w:style w:type="paragraph" w:styleId="Caption">
    <w:name w:val="caption"/>
    <w:basedOn w:val="BodyText"/>
    <w:next w:val="Normal"/>
    <w:qFormat/>
    <w:rsid w:val="006A7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D7D"/>
  </w:style>
  <w:style w:type="paragraph" w:styleId="TableofFigures">
    <w:name w:val="table of figures"/>
    <w:basedOn w:val="Normal"/>
    <w:next w:val="Normal"/>
    <w:semiHidden/>
    <w:rsid w:val="006A7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D7D"/>
    <w:rPr>
      <w:rFonts w:ascii="Wingdings" w:hAnsi="Wingdings"/>
    </w:rPr>
  </w:style>
  <w:style w:type="paragraph" w:customStyle="1" w:styleId="TableHeading">
    <w:name w:val="Table Heading"/>
    <w:basedOn w:val="HeadingBase"/>
    <w:rsid w:val="006A7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D7D"/>
    <w:rPr>
      <w:color w:val="0033CC"/>
      <w:u w:val="none"/>
    </w:rPr>
  </w:style>
  <w:style w:type="paragraph" w:customStyle="1" w:styleId="BodyTextRight">
    <w:name w:val="Body Text Right"/>
    <w:basedOn w:val="BodyText"/>
    <w:rsid w:val="006A7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D7D"/>
    <w:rPr>
      <w:sz w:val="32"/>
    </w:rPr>
  </w:style>
  <w:style w:type="paragraph" w:customStyle="1" w:styleId="HeadingProcedure">
    <w:name w:val="Heading Procedure"/>
    <w:basedOn w:val="HeadingBase"/>
    <w:next w:val="Normal"/>
    <w:rsid w:val="006A7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D7D"/>
    <w:pPr>
      <w:spacing w:before="60" w:after="60"/>
    </w:pPr>
  </w:style>
  <w:style w:type="paragraph" w:styleId="ListContinue">
    <w:name w:val="List Continue"/>
    <w:basedOn w:val="List"/>
    <w:rsid w:val="006A7D7D"/>
    <w:pPr>
      <w:ind w:firstLine="0"/>
    </w:pPr>
  </w:style>
  <w:style w:type="paragraph" w:customStyle="1" w:styleId="ListNote">
    <w:name w:val="List Note"/>
    <w:basedOn w:val="List"/>
    <w:rsid w:val="006A7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D7D"/>
    <w:rPr>
      <w:rFonts w:ascii="Courier New" w:hAnsi="Courier New"/>
    </w:rPr>
  </w:style>
  <w:style w:type="paragraph" w:customStyle="1" w:styleId="NoteBullet">
    <w:name w:val="Note Bullet"/>
    <w:basedOn w:val="Note"/>
    <w:rsid w:val="006A7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D7D"/>
    <w:rPr>
      <w:b/>
      <w:smallCaps/>
    </w:rPr>
  </w:style>
  <w:style w:type="paragraph" w:customStyle="1" w:styleId="TableListNumber">
    <w:name w:val="Table List Number"/>
    <w:basedOn w:val="ListNumber"/>
    <w:rsid w:val="006A7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D7D"/>
    <w:pPr>
      <w:numPr>
        <w:numId w:val="9"/>
      </w:numPr>
    </w:pPr>
  </w:style>
  <w:style w:type="paragraph" w:customStyle="1" w:styleId="ListAlpha2">
    <w:name w:val="List Alpha 2"/>
    <w:basedOn w:val="List2"/>
    <w:rsid w:val="006A7D7D"/>
    <w:pPr>
      <w:numPr>
        <w:numId w:val="8"/>
      </w:numPr>
    </w:pPr>
  </w:style>
  <w:style w:type="paragraph" w:styleId="List2">
    <w:name w:val="List 2"/>
    <w:basedOn w:val="BodyText"/>
    <w:rsid w:val="006A7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D7D"/>
    <w:pPr>
      <w:numPr>
        <w:numId w:val="4"/>
      </w:numPr>
    </w:pPr>
  </w:style>
  <w:style w:type="paragraph" w:styleId="ListContinue2">
    <w:name w:val="List Continue 2"/>
    <w:basedOn w:val="List2"/>
    <w:rsid w:val="006A7D7D"/>
    <w:pPr>
      <w:ind w:firstLine="0"/>
    </w:pPr>
  </w:style>
  <w:style w:type="paragraph" w:styleId="ListContinue3">
    <w:name w:val="List Continue 3"/>
    <w:basedOn w:val="List3"/>
    <w:rsid w:val="006A7D7D"/>
    <w:pPr>
      <w:ind w:left="1021" w:firstLine="0"/>
    </w:pPr>
  </w:style>
  <w:style w:type="paragraph" w:styleId="ListContinue4">
    <w:name w:val="List Continue 4"/>
    <w:basedOn w:val="List4"/>
    <w:rsid w:val="006A7D7D"/>
    <w:pPr>
      <w:ind w:firstLine="0"/>
    </w:pPr>
  </w:style>
  <w:style w:type="paragraph" w:styleId="ListContinue5">
    <w:name w:val="List Continue 5"/>
    <w:basedOn w:val="List5"/>
    <w:rsid w:val="006A7D7D"/>
    <w:pPr>
      <w:ind w:firstLine="0"/>
    </w:pPr>
  </w:style>
  <w:style w:type="paragraph" w:styleId="ListNumber3">
    <w:name w:val="List Number 3"/>
    <w:basedOn w:val="List3"/>
    <w:rsid w:val="006A7D7D"/>
    <w:pPr>
      <w:numPr>
        <w:numId w:val="5"/>
      </w:numPr>
    </w:pPr>
  </w:style>
  <w:style w:type="paragraph" w:styleId="ListNumber4">
    <w:name w:val="List Number 4"/>
    <w:basedOn w:val="List4"/>
    <w:rsid w:val="006A7D7D"/>
    <w:pPr>
      <w:numPr>
        <w:numId w:val="6"/>
      </w:numPr>
    </w:pPr>
  </w:style>
  <w:style w:type="paragraph" w:styleId="ListNumber5">
    <w:name w:val="List Number 5"/>
    <w:basedOn w:val="List5"/>
    <w:rsid w:val="006A7D7D"/>
    <w:pPr>
      <w:numPr>
        <w:numId w:val="7"/>
      </w:numPr>
    </w:pPr>
  </w:style>
  <w:style w:type="paragraph" w:styleId="BlockText">
    <w:name w:val="Block Text"/>
    <w:basedOn w:val="Normal"/>
    <w:rsid w:val="006A7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D7D"/>
    <w:rPr>
      <w:sz w:val="16"/>
      <w:vertAlign w:val="superscript"/>
    </w:rPr>
  </w:style>
  <w:style w:type="character" w:customStyle="1" w:styleId="Symbols">
    <w:name w:val="Symbols"/>
    <w:basedOn w:val="DefaultParagraphFont"/>
    <w:rsid w:val="006A7D7D"/>
    <w:rPr>
      <w:rFonts w:ascii="Symbol" w:hAnsi="Symbol"/>
    </w:rPr>
  </w:style>
  <w:style w:type="character" w:customStyle="1" w:styleId="MenuOptions">
    <w:name w:val="Menu Options"/>
    <w:basedOn w:val="DefaultParagraphFont"/>
    <w:rsid w:val="006A7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D7D"/>
    <w:rPr>
      <w:b/>
    </w:rPr>
  </w:style>
  <w:style w:type="character" w:customStyle="1" w:styleId="Underlined">
    <w:name w:val="Underlined"/>
    <w:basedOn w:val="DefaultParagraphFont"/>
    <w:rsid w:val="006A7D7D"/>
    <w:rPr>
      <w:u w:val="single"/>
    </w:rPr>
  </w:style>
  <w:style w:type="paragraph" w:customStyle="1" w:styleId="TableBodyTextRight">
    <w:name w:val="Table Body Text Right"/>
    <w:basedOn w:val="TableBodyText"/>
    <w:rsid w:val="006A7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D7D"/>
    <w:rPr>
      <w:sz w:val="18"/>
    </w:rPr>
  </w:style>
  <w:style w:type="paragraph" w:customStyle="1" w:styleId="BodySmallRight">
    <w:name w:val="Body Small Right"/>
    <w:basedOn w:val="BodyTextRight"/>
    <w:rsid w:val="006A7D7D"/>
    <w:rPr>
      <w:sz w:val="18"/>
      <w:szCs w:val="18"/>
    </w:rPr>
  </w:style>
  <w:style w:type="paragraph" w:customStyle="1" w:styleId="MarginEdition">
    <w:name w:val="Margin Edition"/>
    <w:basedOn w:val="MarginNote"/>
    <w:rsid w:val="006A7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D7D"/>
    <w:rPr>
      <w:sz w:val="2"/>
      <w:szCs w:val="2"/>
    </w:rPr>
  </w:style>
  <w:style w:type="character" w:customStyle="1" w:styleId="Small">
    <w:name w:val="Small"/>
    <w:basedOn w:val="DefaultParagraphFont"/>
    <w:rsid w:val="006A7D7D"/>
    <w:rPr>
      <w:sz w:val="16"/>
    </w:rPr>
  </w:style>
  <w:style w:type="paragraph" w:customStyle="1" w:styleId="WideTable">
    <w:name w:val="Wide Table"/>
    <w:basedOn w:val="Normal"/>
    <w:rsid w:val="006A7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D7D"/>
  </w:style>
  <w:style w:type="paragraph" w:styleId="Quote">
    <w:name w:val="Quote"/>
    <w:basedOn w:val="Heading1"/>
    <w:link w:val="QuoteChar"/>
    <w:qFormat/>
    <w:rsid w:val="006A7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D7D"/>
    <w:pPr>
      <w:pageBreakBefore/>
    </w:pPr>
  </w:style>
  <w:style w:type="paragraph" w:customStyle="1" w:styleId="Border">
    <w:name w:val="Border"/>
    <w:basedOn w:val="Normal"/>
    <w:qFormat/>
    <w:rsid w:val="006A7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D7D"/>
    <w:rPr>
      <w:u w:val="single"/>
    </w:rPr>
  </w:style>
  <w:style w:type="character" w:customStyle="1" w:styleId="BoldandItalics">
    <w:name w:val="Bold and Italics"/>
    <w:qFormat/>
    <w:rsid w:val="006A7D7D"/>
    <w:rPr>
      <w:b/>
      <w:i/>
      <w:u w:val="none"/>
    </w:rPr>
  </w:style>
  <w:style w:type="paragraph" w:styleId="BalloonText">
    <w:name w:val="Balloon Text"/>
    <w:basedOn w:val="Normal"/>
    <w:link w:val="BalloonTextChar"/>
    <w:rsid w:val="006A7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D7D"/>
    <w:pPr>
      <w:spacing w:before="0" w:after="0"/>
    </w:pPr>
  </w:style>
  <w:style w:type="paragraph" w:customStyle="1" w:styleId="BodyTextBold">
    <w:name w:val="Body Text Bold"/>
    <w:basedOn w:val="BodyText"/>
    <w:qFormat/>
    <w:rsid w:val="006A7D7D"/>
    <w:rPr>
      <w:b/>
    </w:rPr>
  </w:style>
  <w:style w:type="character" w:styleId="Hyperlink">
    <w:name w:val="Hyperlink"/>
    <w:basedOn w:val="DefaultParagraphFont"/>
    <w:uiPriority w:val="99"/>
    <w:unhideWhenUsed/>
    <w:rsid w:val="00713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6905</Characters>
  <Application>Microsoft Office Word</Application>
  <DocSecurity>0</DocSecurity>
  <Lines>246</Lines>
  <Paragraphs>142</Paragraphs>
  <ScaleCrop>false</ScaleCrop>
  <Company>Author-it Software Corporation Ltd.</Company>
  <LinksUpToDate>false</LinksUpToDate>
  <CharactersWithSpaces>7812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MARF059 Apply knowledge of Autonomous Surface Vessels (ASV) technical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