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73A" w:rsidP="00753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MARF058 Apply knowledge of Autonomous Underwater Vehicles (AUV) technical management</w:t>
      </w:r>
      <w:r>
        <w:fldChar w:fldCharType="end"/>
      </w:r>
    </w:p>
    <w:p w:rsidR="0075373A" w:rsidP="0075373A">
      <w:pPr>
        <w:pStyle w:val="Version"/>
        <w:sectPr w:rsidSect="005B4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AAB" w:rsidP="005B4AAB">
      <w:pPr>
        <w:pStyle w:val="SuperHeading"/>
      </w:pPr>
      <w:r w:rsidRPr="005B4AAB">
        <w:t>Assessment Requirements for MARF058 Apply knowledge of Autonomous Underwater Vehicles (AUV) technical management</w:t>
      </w:r>
    </w:p>
    <w:p w:rsidR="00000000" w:rsidRPr="005B4AAB" w:rsidP="005B4AAB">
      <w:pPr>
        <w:pStyle w:val="Heading1"/>
      </w:pPr>
      <w:bookmarkStart w:id="1" w:name="O_1256102"/>
      <w:bookmarkEnd w:id="1"/>
      <w:r w:rsidRPr="005B4A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AAB" w:rsidP="005B4AAB">
            <w:pPr>
              <w:pStyle w:val="BodyText"/>
            </w:pPr>
            <w:r w:rsidRPr="005B4AAB">
              <w:rPr>
                <w:rStyle w:val="SpecialBold"/>
              </w:rPr>
              <w:t>Release 1.</w:t>
            </w:r>
            <w:r w:rsidRPr="005B4AAB">
              <w:t xml:space="preserve"> This is the first release of this unit of competency in the MAR Maritime Training Package.</w:t>
            </w:r>
          </w:p>
        </w:tc>
      </w:tr>
    </w:tbl>
    <w:p w:rsidR="00000000" w:rsidRPr="005B4AAB" w:rsidP="005B4AAB">
      <w:pPr>
        <w:pStyle w:val="NoPaddingFontSize1"/>
      </w:pPr>
    </w:p>
    <w:p w:rsidR="00000000" w:rsidRPr="005B4AAB" w:rsidP="005B4AAB">
      <w:pPr>
        <w:pStyle w:val="AllowPageBreak"/>
      </w:pPr>
    </w:p>
    <w:p w:rsidR="00000000" w:rsidRPr="005B4AAB" w:rsidP="005B4AAB">
      <w:pPr>
        <w:pStyle w:val="Heading1"/>
      </w:pPr>
      <w:bookmarkStart w:id="2" w:name="O_1256103"/>
      <w:bookmarkEnd w:id="2"/>
      <w:r w:rsidRPr="005B4A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AAB">
            <w:pPr>
              <w:pStyle w:val="BodyText"/>
              <w:rPr>
                <w:lang w:val="en-NZ"/>
              </w:rPr>
            </w:pPr>
            <w:r w:rsidRPr="005B4AAB">
              <w:t xml:space="preserve">Evidence required to demonstrate competence in this unit must be relevant to and satisfy all of the requirements of the elements and performance criteria and include: </w:t>
            </w:r>
          </w:p>
        </w:tc>
      </w:tr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AAB" w:rsidP="005B4AAB">
            <w:pPr>
              <w:pStyle w:val="ListBullet"/>
            </w:pPr>
            <w:r w:rsidRPr="005B4AAB">
              <w:t>completing numerical and graphical analysis o</w:t>
            </w:r>
            <w:r w:rsidRPr="005B4AAB">
              <w:t>f Autonomous Underwater Vehicle (AUV) technical operation data to assess performance against AUV benchmarks</w:t>
            </w:r>
          </w:p>
          <w:p w:rsidR="00000000" w:rsidRPr="005B4AAB" w:rsidP="005B4AAB">
            <w:pPr>
              <w:pStyle w:val="ListBullet"/>
            </w:pPr>
            <w:r w:rsidRPr="005B4AAB">
              <w:t>following operational procedures</w:t>
            </w:r>
          </w:p>
          <w:p w:rsidR="00000000" w:rsidRPr="005B4AAB" w:rsidP="005B4AAB">
            <w:pPr>
              <w:pStyle w:val="ListBullet"/>
            </w:pPr>
            <w:r w:rsidRPr="005B4AAB">
              <w:t>planning, executing and analysing six diagnostic AUV missions in Near Coastal (NC) waters, including a minimum of:</w:t>
            </w:r>
          </w:p>
          <w:p w:rsidR="00000000" w:rsidRPr="005B4AAB" w:rsidP="005B4AAB">
            <w:pPr>
              <w:pStyle w:val="ListBullet2"/>
            </w:pPr>
            <w:r w:rsidRPr="005B4AAB">
              <w:t>one mission that is conducted using faulty navigation involving doppler velocity logger (DVL) and inertial navigation systems (INS)</w:t>
            </w:r>
          </w:p>
          <w:p w:rsidR="00000000" w:rsidRPr="005B4AAB" w:rsidP="005B4AAB">
            <w:pPr>
              <w:pStyle w:val="ListBullet2"/>
            </w:pPr>
            <w:r w:rsidRPr="005B4AAB">
              <w:t>one mission that is conducted using faulty control</w:t>
            </w:r>
          </w:p>
          <w:p w:rsidR="00000000" w:rsidRPr="005B4AAB" w:rsidP="005B4AAB">
            <w:pPr>
              <w:pStyle w:val="ListBullet2"/>
            </w:pPr>
            <w:r w:rsidRPr="005B4AAB">
              <w:t>one mission that is conducted using a faulty long baseline (LBL) array</w:t>
            </w:r>
          </w:p>
          <w:p w:rsidR="00000000" w:rsidRPr="005B4AAB" w:rsidP="005B4AAB">
            <w:pPr>
              <w:pStyle w:val="ListBullet2"/>
            </w:pPr>
            <w:r w:rsidRPr="005B4AAB">
              <w:t>one mission that is conducted using poor ballast</w:t>
            </w:r>
          </w:p>
          <w:p w:rsidR="00000000" w:rsidRPr="005B4AAB" w:rsidP="005B4AAB">
            <w:pPr>
              <w:pStyle w:val="ListBullet2"/>
            </w:pPr>
            <w:r w:rsidRPr="005B4AAB">
              <w:t>one mission that is conducted using untuned proportional-integral-derivative (PID) control</w:t>
            </w:r>
          </w:p>
          <w:p w:rsidR="00000000" w:rsidRPr="005B4AAB" w:rsidP="005B4AAB">
            <w:pPr>
              <w:pStyle w:val="ListBullet2"/>
            </w:pPr>
            <w:r w:rsidRPr="005B4AAB">
              <w:t>completing a post-mission analysis and vehicle performance analysis which includes a diagnostic report for each miss</w:t>
            </w:r>
            <w:r w:rsidRPr="005B4AAB">
              <w:t>ion.</w:t>
            </w:r>
          </w:p>
        </w:tc>
      </w:tr>
    </w:tbl>
    <w:p w:rsidR="00000000" w:rsidRPr="005B4AAB" w:rsidP="005B4AAB">
      <w:pPr>
        <w:pStyle w:val="NoPaddingFontSize1"/>
      </w:pPr>
    </w:p>
    <w:p w:rsidR="00000000" w:rsidRPr="005B4AAB" w:rsidP="005B4AAB">
      <w:pPr>
        <w:pStyle w:val="AllowPageBreak"/>
      </w:pPr>
    </w:p>
    <w:p w:rsidR="00000000" w:rsidRPr="005B4AAB" w:rsidP="005B4AAB">
      <w:pPr>
        <w:pStyle w:val="Heading1"/>
      </w:pPr>
      <w:bookmarkStart w:id="3" w:name="O_1256104"/>
      <w:bookmarkEnd w:id="3"/>
      <w:r w:rsidRPr="005B4A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AAB">
            <w:pPr>
              <w:pStyle w:val="BodyText"/>
              <w:rPr>
                <w:lang w:val="en-NZ"/>
              </w:rPr>
            </w:pPr>
            <w:r w:rsidRPr="005B4AAB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AAB" w:rsidP="005B4AAB">
            <w:pPr>
              <w:pStyle w:val="ListBullet"/>
            </w:pPr>
            <w:r w:rsidRPr="005B4AAB">
              <w:t>AUV calibrations, including:</w:t>
            </w:r>
          </w:p>
          <w:p w:rsidR="00000000" w:rsidRPr="005B4AAB" w:rsidP="005B4AAB">
            <w:pPr>
              <w:pStyle w:val="ListBullet2"/>
            </w:pPr>
            <w:r w:rsidRPr="005B4AAB">
              <w:t>INS</w:t>
            </w:r>
          </w:p>
          <w:p w:rsidR="00000000" w:rsidRPr="005B4AAB" w:rsidP="005B4AAB">
            <w:pPr>
              <w:pStyle w:val="ListBullet2"/>
            </w:pPr>
            <w:r w:rsidRPr="005B4AAB">
              <w:t>pitch-fin control</w:t>
            </w:r>
          </w:p>
          <w:p w:rsidR="00000000" w:rsidRPr="005B4AAB" w:rsidP="005B4AAB">
            <w:pPr>
              <w:pStyle w:val="ListBullet2"/>
            </w:pPr>
            <w:r w:rsidRPr="005B4AAB">
              <w:t>rudder-fin control</w:t>
            </w:r>
          </w:p>
          <w:p w:rsidR="00000000" w:rsidRPr="005B4AAB" w:rsidP="005B4AAB">
            <w:pPr>
              <w:pStyle w:val="ListBullet"/>
            </w:pPr>
            <w:r w:rsidRPr="005B4AAB">
              <w:t>battery technology, including:</w:t>
            </w:r>
          </w:p>
          <w:p w:rsidR="00000000" w:rsidRPr="005B4AAB" w:rsidP="005B4AAB">
            <w:pPr>
              <w:pStyle w:val="ListBullet2"/>
            </w:pPr>
            <w:r w:rsidRPr="005B4AAB">
              <w:t>battery maintenance</w:t>
            </w:r>
          </w:p>
          <w:p w:rsidR="00000000" w:rsidRPr="005B4AAB" w:rsidP="005B4AAB">
            <w:pPr>
              <w:pStyle w:val="ListBullet2"/>
            </w:pPr>
            <w:r w:rsidRPr="005B4AAB">
              <w:t>process for assessing battery performance</w:t>
            </w:r>
          </w:p>
          <w:p w:rsidR="00000000" w:rsidRPr="005B4AAB" w:rsidP="005B4AAB">
            <w:pPr>
              <w:pStyle w:val="ListBullet2"/>
            </w:pPr>
            <w:r w:rsidRPr="005B4AAB">
              <w:t>process for logging battery performance</w:t>
            </w:r>
          </w:p>
          <w:p w:rsidR="00000000" w:rsidRPr="005B4AAB" w:rsidP="005B4AAB">
            <w:pPr>
              <w:pStyle w:val="ListBullet"/>
            </w:pPr>
            <w:r w:rsidRPr="005B4AAB">
              <w:t>diagnostic missions to identify problems and improve performance, including:</w:t>
            </w:r>
          </w:p>
          <w:p w:rsidR="00000000" w:rsidRPr="005B4AAB" w:rsidP="005B4AAB">
            <w:pPr>
              <w:pStyle w:val="ListBullet2"/>
            </w:pPr>
            <w:r w:rsidRPr="005B4AAB">
              <w:t>identify navigation issues involving DVL and INS</w:t>
            </w:r>
          </w:p>
          <w:p w:rsidR="00000000" w:rsidRPr="005B4AAB" w:rsidP="005B4AAB">
            <w:pPr>
              <w:pStyle w:val="ListBullet2"/>
            </w:pPr>
            <w:r w:rsidRPr="005B4AAB">
              <w:t>identifying control issues</w:t>
            </w:r>
          </w:p>
          <w:p w:rsidR="00000000" w:rsidRPr="005B4AAB" w:rsidP="005B4AAB">
            <w:pPr>
              <w:pStyle w:val="ListBullet2"/>
            </w:pPr>
            <w:r w:rsidRPr="005B4AAB">
              <w:t>identifying faulty LBL array</w:t>
            </w:r>
          </w:p>
          <w:p w:rsidR="00000000" w:rsidRPr="005B4AAB" w:rsidP="005B4AAB">
            <w:pPr>
              <w:pStyle w:val="ListBullet2"/>
            </w:pPr>
            <w:r w:rsidRPr="005B4AAB">
              <w:t>improving ballast</w:t>
            </w:r>
          </w:p>
          <w:p w:rsidR="00000000" w:rsidRPr="005B4AAB" w:rsidP="005B4AAB">
            <w:pPr>
              <w:pStyle w:val="ListBullet2"/>
            </w:pPr>
            <w:r w:rsidRPr="005B4AAB">
              <w:t>tuning PID control</w:t>
            </w:r>
          </w:p>
          <w:p w:rsidR="00000000" w:rsidRPr="005B4AAB" w:rsidP="005B4AAB">
            <w:pPr>
              <w:pStyle w:val="ListBullet2"/>
            </w:pPr>
            <w:r w:rsidRPr="005B4AAB">
              <w:t>using ultrashort baseline (USBL) to aid navigation during dives</w:t>
            </w:r>
          </w:p>
          <w:p w:rsidR="00000000" w:rsidRPr="005B4AAB" w:rsidP="005B4AAB">
            <w:pPr>
              <w:pStyle w:val="ListBullet"/>
            </w:pPr>
            <w:r w:rsidRPr="005B4AAB">
              <w:t>d</w:t>
            </w:r>
            <w:r w:rsidRPr="005B4AAB">
              <w:t>esign principles and process for executing diagnostic AUV missions</w:t>
            </w:r>
          </w:p>
          <w:p w:rsidR="00000000" w:rsidRPr="005B4AAB" w:rsidP="005B4AAB">
            <w:pPr>
              <w:pStyle w:val="ListBullet"/>
            </w:pPr>
            <w:r w:rsidRPr="005B4AAB">
              <w:t>ground fault detection procedures</w:t>
            </w:r>
          </w:p>
          <w:p w:rsidR="00000000" w:rsidRPr="005B4AAB" w:rsidP="005B4AAB">
            <w:pPr>
              <w:pStyle w:val="ListBullet"/>
            </w:pPr>
            <w:r w:rsidRPr="005B4AAB">
              <w:t xml:space="preserve">process for completing technical post-mission analysis and vehicle performance analysis for reporting of diagnostic missions </w:t>
            </w:r>
          </w:p>
          <w:p w:rsidR="00000000" w:rsidRPr="005B4AAB" w:rsidP="005B4AAB">
            <w:pPr>
              <w:pStyle w:val="ListBullet"/>
            </w:pPr>
            <w:r w:rsidRPr="005B4AAB">
              <w:t>technical diagnosis of AUV sy</w:t>
            </w:r>
            <w:r w:rsidRPr="005B4AAB">
              <w:t>stems, including:</w:t>
            </w:r>
          </w:p>
          <w:p w:rsidR="00000000" w:rsidRPr="005B4AAB" w:rsidP="005B4AAB">
            <w:pPr>
              <w:pStyle w:val="ListBullet2"/>
            </w:pPr>
            <w:r w:rsidRPr="005B4AAB">
              <w:t>acoustic communication systems</w:t>
            </w:r>
          </w:p>
          <w:p w:rsidR="00000000" w:rsidRPr="005B4AAB" w:rsidP="005B4AAB">
            <w:pPr>
              <w:pStyle w:val="ListBullet2"/>
            </w:pPr>
            <w:r w:rsidRPr="005B4AAB">
              <w:t>AUV networks</w:t>
            </w:r>
          </w:p>
          <w:p w:rsidR="00000000" w:rsidRPr="005B4AAB" w:rsidP="005B4AAB">
            <w:pPr>
              <w:pStyle w:val="ListBullet2"/>
            </w:pPr>
            <w:r w:rsidRPr="005B4AAB">
              <w:t>AUV security</w:t>
            </w:r>
          </w:p>
          <w:p w:rsidR="00000000" w:rsidRPr="005B4AAB" w:rsidP="005B4AAB">
            <w:pPr>
              <w:pStyle w:val="ListBullet2"/>
            </w:pPr>
            <w:r w:rsidRPr="005B4AAB">
              <w:t>AUV internal state and decision-making processes</w:t>
            </w:r>
          </w:p>
          <w:p w:rsidR="00000000" w:rsidRPr="005B4AAB" w:rsidP="005B4AAB">
            <w:pPr>
              <w:pStyle w:val="ListBullet2"/>
            </w:pPr>
            <w:r w:rsidRPr="005B4AAB">
              <w:t>electromagnetic (EM) and radio frequency (RF) communications</w:t>
            </w:r>
          </w:p>
          <w:p w:rsidR="00000000" w:rsidRPr="005B4AAB" w:rsidP="005B4AAB">
            <w:pPr>
              <w:pStyle w:val="ListBullet"/>
            </w:pPr>
            <w:r w:rsidRPr="005B4AAB">
              <w:t>use of graphical and numerical analysis to inform technical post-miss</w:t>
            </w:r>
            <w:r w:rsidRPr="005B4AAB">
              <w:t>ion analysis and vehicle performance analysis.</w:t>
            </w:r>
          </w:p>
        </w:tc>
      </w:tr>
    </w:tbl>
    <w:p w:rsidR="00000000" w:rsidRPr="005B4AAB" w:rsidP="005B4AAB">
      <w:pPr>
        <w:pStyle w:val="NoPaddingFontSize1"/>
      </w:pPr>
    </w:p>
    <w:p w:rsidR="00000000" w:rsidRPr="005B4AAB" w:rsidP="005B4AAB">
      <w:pPr>
        <w:pStyle w:val="AllowPageBreak"/>
      </w:pPr>
    </w:p>
    <w:p w:rsidR="00000000" w:rsidRPr="005B4AAB" w:rsidP="005B4AAB">
      <w:pPr>
        <w:pStyle w:val="Heading1"/>
      </w:pPr>
      <w:bookmarkStart w:id="4" w:name="O_1256105"/>
      <w:bookmarkEnd w:id="4"/>
      <w:r w:rsidRPr="005B4A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4A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AAB" w:rsidP="005B4AAB">
            <w:pPr>
              <w:pStyle w:val="BodyText"/>
            </w:pPr>
            <w:r w:rsidRPr="005B4AAB">
              <w:t xml:space="preserve">Assessors must hold credentials specified within the Standards for Registered Training Organisations current at the time of assessment. </w:t>
            </w:r>
          </w:p>
          <w:p w:rsidR="00000000" w:rsidRPr="005B4AAB" w:rsidP="005B4AAB">
            <w:pPr>
              <w:pStyle w:val="BodyText"/>
            </w:pPr>
            <w:r w:rsidRPr="005B4AA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B4AAB" w:rsidP="005B4AAB">
            <w:pPr>
              <w:pStyle w:val="BodyText"/>
            </w:pPr>
            <w:r w:rsidRPr="005B4AAB">
              <w:t>Assessment processes and techniques must be ap</w:t>
            </w:r>
            <w:r w:rsidRPr="005B4AAB">
              <w:t>propriate to the language, literacy and numeracy requirements of the work being performed and the needs of the candidate.</w:t>
            </w:r>
          </w:p>
          <w:p w:rsidR="00000000" w:rsidRPr="005B4AAB" w:rsidP="005B4AAB">
            <w:pPr>
              <w:pStyle w:val="BodyText"/>
            </w:pPr>
            <w:r w:rsidRPr="005B4AAB">
              <w:t>Assessment must occur in workplace operational situations, and where this is not appropriate, assessment must occur in simulated workp</w:t>
            </w:r>
            <w:r w:rsidRPr="005B4AAB">
              <w:t xml:space="preserve">lace operational situations that replicate workplace conditions.  </w:t>
            </w:r>
          </w:p>
          <w:p w:rsidR="00000000" w:rsidRPr="005B4AAB" w:rsidP="005B4AAB">
            <w:pPr>
              <w:pStyle w:val="BodyText"/>
            </w:pPr>
            <w:r w:rsidRPr="005B4AAB">
              <w:t>Simulated workplace may be used to augment real-world operational situations and does not replace real-world operations in prescribed water conditions.</w:t>
            </w:r>
          </w:p>
          <w:p w:rsidR="00000000" w:rsidRPr="005B4AAB" w:rsidP="005B4AAB">
            <w:pPr>
              <w:pStyle w:val="BodyText"/>
            </w:pPr>
            <w:r w:rsidRPr="005B4AAB">
              <w:t>Resources for assessment must include</w:t>
            </w:r>
            <w:r w:rsidRPr="005B4AAB">
              <w:t xml:space="preserve"> access to:</w:t>
            </w:r>
          </w:p>
          <w:p w:rsidR="00000000" w:rsidRPr="005B4AAB" w:rsidP="005B4AAB">
            <w:pPr>
              <w:pStyle w:val="ListBullet"/>
            </w:pPr>
            <w:r w:rsidRPr="005B4AAB">
              <w:t>applicable documentation such as workplace procedures, regulations, codes of practice, operation manuals, manufacturer instructions and procedures</w:t>
            </w:r>
          </w:p>
          <w:p w:rsidR="00000000" w:rsidRPr="005B4AAB" w:rsidP="005B4AAB">
            <w:pPr>
              <w:pStyle w:val="ListBullet"/>
            </w:pPr>
            <w:r w:rsidRPr="005B4AAB">
              <w:t>tools, equipment, machinery, materials and relevant personal protective equipment (PPE) currentl</w:t>
            </w:r>
            <w:r w:rsidRPr="005B4AAB">
              <w:t>y used in industry, including:</w:t>
            </w:r>
          </w:p>
          <w:p w:rsidR="00000000" w:rsidRPr="005B4AAB" w:rsidP="005B4AAB">
            <w:pPr>
              <w:pStyle w:val="ListBullet2"/>
            </w:pPr>
            <w:r w:rsidRPr="005B4AAB">
              <w:t>AUV aligned with the required size and class that a seafarer will need to operate</w:t>
            </w:r>
          </w:p>
          <w:p w:rsidR="00000000" w:rsidRPr="005B4AAB" w:rsidP="005B4AAB">
            <w:pPr>
              <w:pStyle w:val="ListBullet2"/>
            </w:pPr>
            <w:r w:rsidRPr="005B4AAB">
              <w:t>AUV with minimum depth rating of 100 m and INS</w:t>
            </w:r>
          </w:p>
          <w:p w:rsidR="00000000" w:rsidRPr="005B4AAB" w:rsidP="005B4AAB">
            <w:pPr>
              <w:pStyle w:val="ListBullet2"/>
            </w:pPr>
            <w:r w:rsidRPr="005B4AAB">
              <w:t xml:space="preserve">water conditions consistent with mission requirements as outlined in this unit of </w:t>
            </w:r>
            <w:r w:rsidRPr="005B4AAB">
              <w:t>competency and must include access to water in excess of 100 m, high energy tidal waters and permanently stratified waters.</w:t>
            </w:r>
          </w:p>
        </w:tc>
      </w:tr>
    </w:tbl>
    <w:p w:rsidR="00000000" w:rsidRPr="005B4AAB" w:rsidP="005B4AAB">
      <w:pPr>
        <w:pStyle w:val="NoPaddingFontSize1"/>
      </w:pPr>
    </w:p>
    <w:p w:rsidR="00000000" w:rsidRPr="005B4AAB" w:rsidP="005B4AAB">
      <w:pPr>
        <w:pStyle w:val="AllowPageBreak"/>
      </w:pPr>
    </w:p>
    <w:p w:rsidR="00000000" w:rsidRPr="005B4AAB" w:rsidP="005B4AAB">
      <w:pPr>
        <w:pStyle w:val="Heading1"/>
      </w:pPr>
      <w:bookmarkStart w:id="5" w:name="O_1256108"/>
      <w:bookmarkEnd w:id="5"/>
      <w:r w:rsidRPr="005B4AAB">
        <w:t>Links</w:t>
      </w:r>
    </w:p>
    <w:p w:rsidR="00000000" w:rsidRPr="005B4AAB" w:rsidP="0075373A">
      <w:pPr>
        <w:pStyle w:val="BodyText"/>
      </w:pPr>
      <w:r w:rsidRPr="005B4AAB">
        <w:t>Companion Volume Implem</w:t>
      </w:r>
      <w:r w:rsidRPr="005B4AAB">
        <w:t xml:space="preserve">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824A6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B4AAB" w:rsidP="005B4AAB"/>
    <w:sectPr w:rsidSect="005B4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AAB" w:rsidRPr="0075373A" w:rsidP="00753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3A" w:rsidP="005B4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73A" w:rsidP="005B4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5373A" w:rsidP="005B4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AAB" w:rsidRPr="0075373A" w:rsidP="00753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3A" w:rsidRPr="002D2AF8" w:rsidP="005B4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MARF058 Apply knowledge of Autonomous Underwater Vehicles (AUV) technical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75373A" w:rsidP="005B4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088A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E6D7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04CD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AAB"/>
  </w:style>
  <w:style w:type="character" w:customStyle="1" w:styleId="Heading1Char">
    <w:name w:val="Heading 1 Char"/>
    <w:basedOn w:val="DefaultParagraphFont"/>
    <w:link w:val="Heading1"/>
    <w:rsid w:val="005B4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A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A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4AAB"/>
    <w:rPr>
      <w:b/>
      <w:spacing w:val="0"/>
    </w:rPr>
  </w:style>
  <w:style w:type="paragraph" w:styleId="ListBullet2">
    <w:name w:val="List Bullet 2"/>
    <w:basedOn w:val="List2"/>
    <w:rsid w:val="005B4A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4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4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A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4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4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A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4AAB"/>
    <w:rPr>
      <w:i/>
    </w:rPr>
  </w:style>
  <w:style w:type="paragraph" w:styleId="Caption">
    <w:name w:val="caption"/>
    <w:basedOn w:val="BodyText"/>
    <w:next w:val="Normal"/>
    <w:qFormat/>
    <w:rsid w:val="005B4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AAB"/>
  </w:style>
  <w:style w:type="paragraph" w:styleId="TableofFigures">
    <w:name w:val="table of figures"/>
    <w:basedOn w:val="Normal"/>
    <w:next w:val="Normal"/>
    <w:semiHidden/>
    <w:rsid w:val="005B4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A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4AAB"/>
    <w:rPr>
      <w:rFonts w:ascii="Wingdings" w:hAnsi="Wingdings"/>
    </w:rPr>
  </w:style>
  <w:style w:type="paragraph" w:customStyle="1" w:styleId="TableHeading">
    <w:name w:val="Table Heading"/>
    <w:basedOn w:val="HeadingBase"/>
    <w:rsid w:val="005B4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AAB"/>
    <w:rPr>
      <w:color w:val="0033CC"/>
      <w:u w:val="none"/>
    </w:rPr>
  </w:style>
  <w:style w:type="paragraph" w:customStyle="1" w:styleId="BodyTextRight">
    <w:name w:val="Body Text Right"/>
    <w:basedOn w:val="BodyText"/>
    <w:rsid w:val="005B4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A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AAB"/>
    <w:rPr>
      <w:sz w:val="32"/>
    </w:rPr>
  </w:style>
  <w:style w:type="paragraph" w:customStyle="1" w:styleId="HeadingProcedure">
    <w:name w:val="Heading Procedure"/>
    <w:basedOn w:val="HeadingBase"/>
    <w:next w:val="Normal"/>
    <w:rsid w:val="005B4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AAB"/>
    <w:pPr>
      <w:spacing w:before="60" w:after="60"/>
    </w:pPr>
  </w:style>
  <w:style w:type="paragraph" w:styleId="ListContinue">
    <w:name w:val="List Continue"/>
    <w:basedOn w:val="List"/>
    <w:rsid w:val="005B4AAB"/>
    <w:pPr>
      <w:ind w:firstLine="0"/>
    </w:pPr>
  </w:style>
  <w:style w:type="paragraph" w:customStyle="1" w:styleId="ListNote">
    <w:name w:val="List Note"/>
    <w:basedOn w:val="List"/>
    <w:rsid w:val="005B4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AAB"/>
    <w:rPr>
      <w:rFonts w:ascii="Courier New" w:hAnsi="Courier New"/>
    </w:rPr>
  </w:style>
  <w:style w:type="paragraph" w:customStyle="1" w:styleId="NoteBullet">
    <w:name w:val="Note Bullet"/>
    <w:basedOn w:val="Note"/>
    <w:rsid w:val="005B4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A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4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AAB"/>
    <w:rPr>
      <w:b/>
      <w:smallCaps/>
    </w:rPr>
  </w:style>
  <w:style w:type="paragraph" w:customStyle="1" w:styleId="TableListNumber">
    <w:name w:val="Table List Number"/>
    <w:basedOn w:val="ListNumber"/>
    <w:rsid w:val="005B4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AAB"/>
    <w:pPr>
      <w:numPr>
        <w:numId w:val="9"/>
      </w:numPr>
    </w:pPr>
  </w:style>
  <w:style w:type="paragraph" w:customStyle="1" w:styleId="ListAlpha2">
    <w:name w:val="List Alpha 2"/>
    <w:basedOn w:val="List2"/>
    <w:rsid w:val="005B4AAB"/>
    <w:pPr>
      <w:numPr>
        <w:numId w:val="8"/>
      </w:numPr>
    </w:pPr>
  </w:style>
  <w:style w:type="paragraph" w:styleId="List2">
    <w:name w:val="List 2"/>
    <w:basedOn w:val="BodyText"/>
    <w:rsid w:val="005B4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A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A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4AAB"/>
    <w:pPr>
      <w:numPr>
        <w:numId w:val="4"/>
      </w:numPr>
    </w:pPr>
  </w:style>
  <w:style w:type="paragraph" w:styleId="ListContinue2">
    <w:name w:val="List Continue 2"/>
    <w:basedOn w:val="List2"/>
    <w:rsid w:val="005B4AAB"/>
    <w:pPr>
      <w:ind w:firstLine="0"/>
    </w:pPr>
  </w:style>
  <w:style w:type="paragraph" w:styleId="ListContinue3">
    <w:name w:val="List Continue 3"/>
    <w:basedOn w:val="List3"/>
    <w:rsid w:val="005B4AAB"/>
    <w:pPr>
      <w:ind w:left="1021" w:firstLine="0"/>
    </w:pPr>
  </w:style>
  <w:style w:type="paragraph" w:styleId="ListContinue4">
    <w:name w:val="List Continue 4"/>
    <w:basedOn w:val="List4"/>
    <w:rsid w:val="005B4AAB"/>
    <w:pPr>
      <w:ind w:firstLine="0"/>
    </w:pPr>
  </w:style>
  <w:style w:type="paragraph" w:styleId="ListContinue5">
    <w:name w:val="List Continue 5"/>
    <w:basedOn w:val="List5"/>
    <w:rsid w:val="005B4AAB"/>
    <w:pPr>
      <w:ind w:firstLine="0"/>
    </w:pPr>
  </w:style>
  <w:style w:type="paragraph" w:styleId="ListNumber3">
    <w:name w:val="List Number 3"/>
    <w:basedOn w:val="List3"/>
    <w:rsid w:val="005B4AAB"/>
    <w:pPr>
      <w:numPr>
        <w:numId w:val="5"/>
      </w:numPr>
    </w:pPr>
  </w:style>
  <w:style w:type="paragraph" w:styleId="ListNumber4">
    <w:name w:val="List Number 4"/>
    <w:basedOn w:val="List4"/>
    <w:rsid w:val="005B4AAB"/>
    <w:pPr>
      <w:numPr>
        <w:numId w:val="6"/>
      </w:numPr>
    </w:pPr>
  </w:style>
  <w:style w:type="paragraph" w:styleId="ListNumber5">
    <w:name w:val="List Number 5"/>
    <w:basedOn w:val="List5"/>
    <w:rsid w:val="005B4AAB"/>
    <w:pPr>
      <w:numPr>
        <w:numId w:val="7"/>
      </w:numPr>
    </w:pPr>
  </w:style>
  <w:style w:type="paragraph" w:styleId="BlockText">
    <w:name w:val="Block Text"/>
    <w:basedOn w:val="Normal"/>
    <w:rsid w:val="005B4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AAB"/>
    <w:rPr>
      <w:sz w:val="16"/>
      <w:vertAlign w:val="superscript"/>
    </w:rPr>
  </w:style>
  <w:style w:type="character" w:customStyle="1" w:styleId="Symbols">
    <w:name w:val="Symbols"/>
    <w:basedOn w:val="DefaultParagraphFont"/>
    <w:rsid w:val="005B4AAB"/>
    <w:rPr>
      <w:rFonts w:ascii="Symbol" w:hAnsi="Symbol"/>
    </w:rPr>
  </w:style>
  <w:style w:type="character" w:customStyle="1" w:styleId="MenuOptions">
    <w:name w:val="Menu Options"/>
    <w:basedOn w:val="DefaultParagraphFont"/>
    <w:rsid w:val="005B4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AAB"/>
    <w:rPr>
      <w:b/>
    </w:rPr>
  </w:style>
  <w:style w:type="character" w:customStyle="1" w:styleId="Underlined">
    <w:name w:val="Underlined"/>
    <w:basedOn w:val="DefaultParagraphFont"/>
    <w:rsid w:val="005B4AAB"/>
    <w:rPr>
      <w:u w:val="single"/>
    </w:rPr>
  </w:style>
  <w:style w:type="paragraph" w:customStyle="1" w:styleId="TableBodyTextRight">
    <w:name w:val="Table Body Text Right"/>
    <w:basedOn w:val="TableBodyText"/>
    <w:rsid w:val="005B4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AAB"/>
    <w:rPr>
      <w:sz w:val="18"/>
    </w:rPr>
  </w:style>
  <w:style w:type="paragraph" w:customStyle="1" w:styleId="BodySmallRight">
    <w:name w:val="Body Small Right"/>
    <w:basedOn w:val="BodyTextRight"/>
    <w:rsid w:val="005B4AAB"/>
    <w:rPr>
      <w:sz w:val="18"/>
      <w:szCs w:val="18"/>
    </w:rPr>
  </w:style>
  <w:style w:type="paragraph" w:customStyle="1" w:styleId="MarginEdition">
    <w:name w:val="Margin Edition"/>
    <w:basedOn w:val="MarginNote"/>
    <w:rsid w:val="005B4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AAB"/>
    <w:rPr>
      <w:sz w:val="2"/>
      <w:szCs w:val="2"/>
    </w:rPr>
  </w:style>
  <w:style w:type="character" w:customStyle="1" w:styleId="Small">
    <w:name w:val="Small"/>
    <w:basedOn w:val="DefaultParagraphFont"/>
    <w:rsid w:val="005B4AAB"/>
    <w:rPr>
      <w:sz w:val="16"/>
    </w:rPr>
  </w:style>
  <w:style w:type="paragraph" w:customStyle="1" w:styleId="WideTable">
    <w:name w:val="Wide Table"/>
    <w:basedOn w:val="Normal"/>
    <w:rsid w:val="005B4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AAB"/>
  </w:style>
  <w:style w:type="paragraph" w:styleId="Quote">
    <w:name w:val="Quote"/>
    <w:basedOn w:val="Heading1"/>
    <w:link w:val="QuoteChar"/>
    <w:qFormat/>
    <w:rsid w:val="005B4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AAB"/>
    <w:pPr>
      <w:pageBreakBefore/>
    </w:pPr>
  </w:style>
  <w:style w:type="paragraph" w:customStyle="1" w:styleId="Border">
    <w:name w:val="Border"/>
    <w:basedOn w:val="Normal"/>
    <w:qFormat/>
    <w:rsid w:val="005B4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AAB"/>
    <w:rPr>
      <w:u w:val="single"/>
    </w:rPr>
  </w:style>
  <w:style w:type="character" w:customStyle="1" w:styleId="BoldandItalics">
    <w:name w:val="Bold and Italics"/>
    <w:qFormat/>
    <w:rsid w:val="005B4AAB"/>
    <w:rPr>
      <w:b/>
      <w:i/>
      <w:u w:val="none"/>
    </w:rPr>
  </w:style>
  <w:style w:type="paragraph" w:styleId="BalloonText">
    <w:name w:val="Balloon Text"/>
    <w:basedOn w:val="Normal"/>
    <w:link w:val="BalloonTextChar"/>
    <w:rsid w:val="005B4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AAB"/>
    <w:pPr>
      <w:spacing w:before="0" w:after="0"/>
    </w:pPr>
  </w:style>
  <w:style w:type="paragraph" w:customStyle="1" w:styleId="BodyTextBold">
    <w:name w:val="Body Text Bold"/>
    <w:basedOn w:val="BodyText"/>
    <w:qFormat/>
    <w:rsid w:val="005B4AAB"/>
    <w:rPr>
      <w:b/>
    </w:rPr>
  </w:style>
  <w:style w:type="character" w:styleId="Hyperlink">
    <w:name w:val="Hyperlink"/>
    <w:basedOn w:val="DefaultParagraphFont"/>
    <w:uiPriority w:val="99"/>
    <w:unhideWhenUsed/>
    <w:rsid w:val="007537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3903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MARF058 Apply knowledge of Autonomous Underwater Vehicles (AUV) technical management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2024-11-22T08:11:00Z</dcterms:created>
  <dcterms:modified xsi:type="dcterms:W3CDTF">2024-11-22T08:11:00Z</dcterms:modified>
</cp:coreProperties>
</file>