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319" w:rsidP="008A3319">
      <w:pPr>
        <w:pStyle w:val="Title"/>
      </w:pPr>
      <w:r>
        <w:fldChar w:fldCharType="begin"/>
      </w:r>
      <w:r>
        <w:instrText xml:space="preserve"> TITLE   \* MERGEFORMAT </w:instrText>
      </w:r>
      <w:r>
        <w:fldChar w:fldCharType="separate"/>
      </w:r>
      <w:r>
        <w:t>MARF055 Classify marina infrastructure, vessels and staffing structure</w:t>
      </w:r>
      <w:r>
        <w:fldChar w:fldCharType="end"/>
      </w:r>
    </w:p>
    <w:p w:rsidR="008A3319" w:rsidP="008A3319">
      <w:pPr>
        <w:pStyle w:val="Version"/>
        <w:sectPr w:rsidSect="00E70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858" w:rsidP="00E70858">
      <w:pPr>
        <w:pStyle w:val="SuperHeading"/>
      </w:pPr>
      <w:r w:rsidRPr="00E70858">
        <w:t>MARF055 Classify marina infrastructure, vessels and staffing structure</w:t>
      </w:r>
    </w:p>
    <w:p w:rsidR="00000000" w:rsidRPr="00E70858" w:rsidP="00E70858">
      <w:pPr>
        <w:pStyle w:val="Heading1"/>
      </w:pPr>
      <w:bookmarkStart w:id="1" w:name="O_1233826"/>
      <w:bookmarkEnd w:id="1"/>
      <w:r w:rsidRPr="00E70858">
        <w:t>Modification History</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Release 1. This is the first release of this unit of competency in the MAR Maritime Training Package.</w:t>
            </w:r>
          </w:p>
        </w:tc>
      </w:tr>
    </w:tbl>
    <w:p w:rsidR="008A3319" w:rsidP="00E70858">
      <w:pPr>
        <w:pStyle w:val="NoPaddingFontSize1"/>
      </w:pPr>
    </w:p>
    <w:p w:rsidR="008A3319" w:rsidP="00E70858">
      <w:pPr>
        <w:pStyle w:val="NoPaddingFontSize1"/>
      </w:pPr>
    </w:p>
    <w:p w:rsidR="00000000" w:rsidRPr="00E70858" w:rsidP="00E70858">
      <w:pPr>
        <w:pStyle w:val="Heading1"/>
      </w:pPr>
      <w:bookmarkStart w:id="2" w:name="O_1233827"/>
      <w:bookmarkEnd w:id="2"/>
      <w:r w:rsidRPr="00E70858">
        <w:t>Application</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This unit involves the skills and knowledge required to classify marina infrastructure and vessels and provide an overview of marina staffing structure and skills. It includes identifying types, features and characteristics of a marina.</w:t>
            </w:r>
          </w:p>
          <w:p w:rsidR="00000000" w:rsidRPr="00E70858" w:rsidP="00E70858">
            <w:pPr>
              <w:pStyle w:val="BodyText"/>
            </w:pPr>
            <w:r w:rsidRPr="00E70858">
              <w:t>This unit applies t</w:t>
            </w:r>
            <w:r w:rsidRPr="00E70858">
              <w:t>o individuals who provide assistance under supervision in the operational management of the marina.</w:t>
            </w:r>
          </w:p>
          <w:p w:rsidR="00000000" w:rsidRPr="00E70858" w:rsidP="00E70858">
            <w:pPr>
              <w:pStyle w:val="BodyText"/>
            </w:pPr>
            <w:r w:rsidRPr="00E70858">
              <w:rPr>
                <w:rStyle w:val="SpecialBold"/>
              </w:rPr>
              <w:t>Licensing/Regulatory Information</w:t>
            </w:r>
          </w:p>
          <w:p w:rsidR="00000000" w:rsidRPr="00E70858" w:rsidP="00E70858">
            <w:pPr>
              <w:pStyle w:val="BodyText"/>
            </w:pPr>
            <w:r w:rsidRPr="00E70858">
              <w:t>No licensing, legislative or certification requirements apply to this unit at the time of publication.</w:t>
            </w:r>
          </w:p>
        </w:tc>
      </w:tr>
    </w:tbl>
    <w:p w:rsidR="008A3319" w:rsidP="00E70858">
      <w:pPr>
        <w:pStyle w:val="NoPaddingFontSize1"/>
      </w:pPr>
    </w:p>
    <w:p w:rsidR="008A3319" w:rsidP="00E70858">
      <w:pPr>
        <w:pStyle w:val="NoPaddingFontSize1"/>
      </w:pPr>
    </w:p>
    <w:p w:rsidR="00000000" w:rsidRPr="00E70858" w:rsidP="00E70858">
      <w:pPr>
        <w:pStyle w:val="Heading1"/>
      </w:pPr>
      <w:bookmarkStart w:id="3" w:name="O_1233828"/>
      <w:bookmarkEnd w:id="3"/>
      <w:r w:rsidRPr="00E70858">
        <w:t>Pre-requisite Unit</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Not applicable.</w:t>
            </w:r>
          </w:p>
        </w:tc>
      </w:tr>
    </w:tbl>
    <w:p w:rsidR="008A3319" w:rsidP="00E70858">
      <w:pPr>
        <w:pStyle w:val="NoPaddingFontSize1"/>
      </w:pPr>
    </w:p>
    <w:p w:rsidR="008A3319" w:rsidP="00E70858">
      <w:pPr>
        <w:pStyle w:val="NoPaddingFontSize1"/>
      </w:pPr>
    </w:p>
    <w:p w:rsidR="00000000" w:rsidRPr="00E70858" w:rsidP="00E70858">
      <w:pPr>
        <w:pStyle w:val="Heading1"/>
      </w:pPr>
      <w:bookmarkStart w:id="4" w:name="O_1233829"/>
      <w:bookmarkEnd w:id="4"/>
      <w:r w:rsidRPr="00E70858">
        <w:t>Competency Field</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F – Operational Quality and Safety</w:t>
            </w:r>
          </w:p>
        </w:tc>
      </w:tr>
    </w:tbl>
    <w:p w:rsidR="008A3319" w:rsidP="00E70858">
      <w:pPr>
        <w:pStyle w:val="NoPaddingFontSize1"/>
      </w:pPr>
    </w:p>
    <w:p w:rsidR="008A3319" w:rsidP="00E70858">
      <w:pPr>
        <w:pStyle w:val="NoPaddingFontSize1"/>
      </w:pPr>
    </w:p>
    <w:p w:rsidR="00000000" w:rsidRPr="00E70858" w:rsidP="00E70858">
      <w:pPr>
        <w:pStyle w:val="Heading1"/>
      </w:pPr>
      <w:bookmarkStart w:id="5" w:name="O_1233830"/>
      <w:bookmarkEnd w:id="5"/>
      <w:r w:rsidRPr="00E70858">
        <w:t>Unit Sector</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Not applicable.</w:t>
            </w:r>
          </w:p>
        </w:tc>
      </w:tr>
    </w:tbl>
    <w:p w:rsidR="008A3319" w:rsidP="00E70858">
      <w:pPr>
        <w:pStyle w:val="NoPaddingFontSize1"/>
      </w:pPr>
    </w:p>
    <w:p w:rsidR="008A3319" w:rsidP="00E70858">
      <w:pPr>
        <w:pStyle w:val="NoPaddingFontSize1"/>
      </w:pPr>
    </w:p>
    <w:p w:rsidR="00000000" w:rsidRPr="00E70858" w:rsidP="00E70858">
      <w:pPr>
        <w:pStyle w:val="Heading1"/>
      </w:pPr>
      <w:bookmarkStart w:id="6" w:name="O_1233831"/>
      <w:bookmarkEnd w:id="6"/>
      <w:r w:rsidRPr="00E70858">
        <w:t>Elements and Performance Criteria</w:t>
      </w:r>
    </w:p>
    <w:tbl>
      <w:tblPr>
        <w:tblW w:w="9298" w:type="dxa"/>
        <w:tblLayout w:type="fixed"/>
        <w:tblCellMar>
          <w:left w:w="62" w:type="dxa"/>
          <w:right w:w="62" w:type="dxa"/>
        </w:tblCellMar>
        <w:tblLook w:val="0000"/>
      </w:tblPr>
      <w:tblGrid>
        <w:gridCol w:w="525"/>
        <w:gridCol w:w="3093"/>
        <w:gridCol w:w="710"/>
        <w:gridCol w:w="3834"/>
        <w:gridCol w:w="1136"/>
      </w:tblGrid>
      <w:tr w:rsidTr="00E70858">
        <w:tblPrEx>
          <w:tblW w:w="9298" w:type="dxa"/>
          <w:tblLayout w:type="fixed"/>
          <w:tblCellMar>
            <w:left w:w="62" w:type="dxa"/>
            <w:right w:w="62" w:type="dxa"/>
          </w:tblCellMar>
          <w:tblLook w:val="0000"/>
        </w:tblPrEx>
        <w:tc>
          <w:tcPr>
            <w:tcW w:w="4328" w:type="dxa"/>
            <w:gridSpan w:val="3"/>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ELEMENTS</w:t>
            </w:r>
          </w:p>
        </w:tc>
        <w:tc>
          <w:tcPr>
            <w:tcW w:w="4970" w:type="dxa"/>
            <w:gridSpan w:val="2"/>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PERFORMANCE CRITERIA</w:t>
            </w:r>
          </w:p>
        </w:tc>
      </w:tr>
      <w:tr w:rsidTr="00E70858">
        <w:tblPrEx>
          <w:tblW w:w="9298" w:type="dxa"/>
          <w:tblLayout w:type="fixed"/>
          <w:tblCellMar>
            <w:left w:w="62" w:type="dxa"/>
            <w:right w:w="62" w:type="dxa"/>
          </w:tblCellMar>
          <w:tblLook w:val="0000"/>
        </w:tblPrEx>
        <w:tc>
          <w:tcPr>
            <w:tcW w:w="4328" w:type="dxa"/>
            <w:gridSpan w:val="3"/>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Elements describe the essential outcomes.</w:t>
            </w:r>
          </w:p>
        </w:tc>
        <w:tc>
          <w:tcPr>
            <w:tcW w:w="4970" w:type="dxa"/>
            <w:gridSpan w:val="2"/>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Performance criteria describe the performance needed to demonstrate achievement of the element.</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1</w:t>
            </w:r>
          </w:p>
        </w:tc>
        <w:tc>
          <w:tcPr>
            <w:tcW w:w="3093"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 xml:space="preserve">Classify marinas and identify marina </w:t>
            </w:r>
            <w:r w:rsidRPr="00E70858">
              <w:rPr>
                <w:rStyle w:val="SpecialBold"/>
              </w:rPr>
              <w:t>infrastructure</w:t>
            </w: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1.1</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Various types of marina structures, their features and c</w:t>
            </w:r>
            <w:r w:rsidRPr="00E70858">
              <w:t xml:space="preserve">haracteristics are </w:t>
            </w:r>
            <w:r w:rsidRPr="00E70858">
              <w:t>identified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1.2</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Marina ownership types are identified and advantages and disadvantages of each are outlined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1.3</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Different types of boat storage and dock systems are identified and outlined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1.4</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 xml:space="preserve">Equipment and objects found in a marina are identified and their function is explained </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1.5</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Different business models for marina operations are outlined and the advantages and disadvantages of each are outlined and documented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2</w:t>
            </w:r>
          </w:p>
        </w:tc>
        <w:tc>
          <w:tcPr>
            <w:tcW w:w="3093"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Classify different marin</w:t>
            </w:r>
            <w:r w:rsidRPr="00E70858">
              <w:rPr>
                <w:rStyle w:val="SpecialBold"/>
              </w:rPr>
              <w:t>e vessel types commonly seen on a marina</w:t>
            </w: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2.1</w:t>
            </w:r>
          </w:p>
        </w:tc>
        <w:tc>
          <w:tcPr>
            <w:tcW w:w="3834"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 xml:space="preserve">Hull form and superstructure features are outlined, and hull designs are matched to normal vessel operation </w:t>
            </w:r>
          </w:p>
          <w:p w:rsidR="00000000" w:rsidP="00E70858">
            <w:pPr>
              <w:pStyle w:val="BodyText"/>
              <w:rPr>
                <w:lang w:val="en-NZ"/>
              </w:rPr>
            </w:pP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2.2</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Vessel construction materials are identified and their relevance to the marina is explained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2.3</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Various parts of a vessel are identified, and the functions of the parts are explained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2.4</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Systems used for vessel propulsion, steering, navigation and communication are identified, and their functions are explained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2.5</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Vessel identification systems, registration tags, engine number and model designation are located, recorded and used to confirm vessel year of manufacture, refurbishment and/or registration</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3</w:t>
            </w:r>
          </w:p>
        </w:tc>
        <w:tc>
          <w:tcPr>
            <w:tcW w:w="3093"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rPr>
                <w:rStyle w:val="SpecialBold"/>
              </w:rPr>
              <w:t>Provide an overview of the marina staffing structure</w:t>
            </w: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3.1</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 xml:space="preserve">Organisational structure of a commercial and club marina and their differences are identified and </w:t>
            </w:r>
            <w:r w:rsidRPr="00E70858">
              <w:t>explained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3.2</w:t>
            </w:r>
          </w:p>
        </w:tc>
        <w:tc>
          <w:tcPr>
            <w:tcW w:w="3834"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Role and performance outcomes of key marina personnel are identified, and job descriptions are explained</w:t>
            </w:r>
          </w:p>
        </w:tc>
      </w:tr>
      <w:tr w:rsidTr="00E70858">
        <w:tblPrEx>
          <w:tblW w:w="9298" w:type="dxa"/>
          <w:tblLayout w:type="fixed"/>
          <w:tblCellMar>
            <w:left w:w="62" w:type="dxa"/>
            <w:right w:w="62" w:type="dxa"/>
          </w:tblCellMar>
          <w:tblLook w:val="0000"/>
        </w:tblPrEx>
        <w:trPr>
          <w:gridAfter w:val="1"/>
          <w:wAfter w:w="1136" w:type="dxa"/>
          <w:trHeight w:val="764"/>
        </w:trPr>
        <w:tc>
          <w:tcPr>
            <w:tcW w:w="5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93" w:type="dxa"/>
            <w:tcBorders>
              <w:top w:val="nil"/>
              <w:left w:val="nil"/>
              <w:bottom w:val="nil"/>
              <w:right w:val="nil"/>
            </w:tcBorders>
            <w:tcMar>
              <w:top w:w="0" w:type="dxa"/>
              <w:left w:w="62" w:type="dxa"/>
              <w:bottom w:w="0" w:type="dxa"/>
              <w:right w:w="62" w:type="dxa"/>
            </w:tcMar>
          </w:tcPr>
          <w:p w:rsidR="00000000" w:rsidRPr="00E70858">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rPr>
                <w:rStyle w:val="SpecialBold"/>
              </w:rPr>
              <w:t>3.3</w:t>
            </w:r>
          </w:p>
        </w:tc>
        <w:tc>
          <w:tcPr>
            <w:tcW w:w="3834"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 xml:space="preserve">Skills and experience of key </w:t>
            </w:r>
            <w:r w:rsidRPr="00E70858">
              <w:t>marina personnel are established, and area of responsibility identified according to relevant job description</w:t>
            </w:r>
          </w:p>
        </w:tc>
      </w:tr>
    </w:tbl>
    <w:p w:rsidR="008A3319" w:rsidP="00E70858">
      <w:pPr>
        <w:pStyle w:val="NoPaddingFontSize1"/>
      </w:pPr>
    </w:p>
    <w:p w:rsidR="008A3319" w:rsidP="00E70858">
      <w:pPr>
        <w:pStyle w:val="NoPaddingFontSize1"/>
      </w:pPr>
    </w:p>
    <w:p w:rsidR="00000000" w:rsidRPr="00E70858" w:rsidP="00E70858">
      <w:pPr>
        <w:pStyle w:val="Heading1"/>
      </w:pPr>
      <w:bookmarkStart w:id="7" w:name="O_1233832"/>
      <w:bookmarkEnd w:id="7"/>
      <w:r w:rsidRPr="00E70858">
        <w:t>Foundation Skills</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Foundation skills essential to performance are explicit in the performance criteria of this unit of compet</w:t>
            </w:r>
            <w:r w:rsidRPr="00E70858">
              <w:t>ency.</w:t>
            </w:r>
          </w:p>
        </w:tc>
      </w:tr>
    </w:tbl>
    <w:p w:rsidR="008A3319" w:rsidP="00E70858">
      <w:pPr>
        <w:pStyle w:val="NoPaddingFontSize1"/>
      </w:pPr>
    </w:p>
    <w:p w:rsidR="008A3319" w:rsidP="00E70858">
      <w:pPr>
        <w:pStyle w:val="NoPaddingFontSize1"/>
      </w:pPr>
    </w:p>
    <w:p w:rsidR="00000000" w:rsidRPr="00E70858" w:rsidP="00E70858">
      <w:pPr>
        <w:pStyle w:val="Heading1"/>
      </w:pPr>
      <w:bookmarkStart w:id="8" w:name="O_1233833"/>
      <w:bookmarkEnd w:id="8"/>
      <w:r w:rsidRPr="00E70858">
        <w:t>Range of Conditions</w:t>
      </w:r>
    </w:p>
    <w:tbl>
      <w:tblPr>
        <w:tblW w:w="9497" w:type="dxa"/>
        <w:tblLayout w:type="fixed"/>
        <w:tblCellMar>
          <w:left w:w="62" w:type="dxa"/>
          <w:right w:w="62" w:type="dxa"/>
        </w:tblCellMar>
        <w:tblLook w:val="0000"/>
      </w:tblPr>
      <w:tblGrid>
        <w:gridCol w:w="5259"/>
        <w:gridCol w:w="4238"/>
      </w:tblGrid>
      <w:tr w:rsidTr="00E7085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Range is restricted to essential operating conditions and any other variables essential to the work environment.</w:t>
            </w:r>
          </w:p>
          <w:p w:rsidR="00000000" w:rsidP="00E70858">
            <w:pPr>
              <w:pStyle w:val="BodyText"/>
              <w:rPr>
                <w:lang w:val="en-NZ"/>
              </w:rPr>
            </w:pPr>
            <w:r w:rsidRPr="00E70858">
              <w:t>Non-essential conditions can be found in the MAR Maritime Training Package Companion Volume Implementation Guide.</w:t>
            </w:r>
          </w:p>
        </w:tc>
      </w:tr>
      <w:tr w:rsidTr="00E70858">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 xml:space="preserve">Types of marinas include one or more of the following: </w:t>
            </w:r>
          </w:p>
        </w:tc>
        <w:tc>
          <w:tcPr>
            <w:tcW w:w="4238" w:type="dxa"/>
            <w:tcBorders>
              <w:top w:val="nil"/>
              <w:left w:val="nil"/>
              <w:bottom w:val="nil"/>
              <w:right w:val="nil"/>
            </w:tcBorders>
            <w:tcMar>
              <w:top w:w="0" w:type="dxa"/>
              <w:left w:w="62" w:type="dxa"/>
              <w:bottom w:w="0" w:type="dxa"/>
              <w:right w:w="62" w:type="dxa"/>
            </w:tcMar>
          </w:tcPr>
          <w:p w:rsidR="00000000" w:rsidRPr="00E70858" w:rsidP="00E70858">
            <w:pPr>
              <w:pStyle w:val="ListBullet"/>
            </w:pPr>
            <w:r w:rsidRPr="00E70858">
              <w:t>berthing inside residential premises club</w:t>
            </w:r>
          </w:p>
          <w:p w:rsidR="00000000" w:rsidRPr="00E70858" w:rsidP="00E70858">
            <w:pPr>
              <w:pStyle w:val="ListBullet"/>
            </w:pPr>
            <w:r w:rsidRPr="00E70858">
              <w:t>combination</w:t>
            </w:r>
          </w:p>
          <w:p w:rsidR="00000000" w:rsidRPr="00E70858" w:rsidP="00E70858">
            <w:pPr>
              <w:pStyle w:val="ListBullet"/>
            </w:pPr>
            <w:r w:rsidRPr="00E70858">
              <w:t>destination</w:t>
            </w:r>
          </w:p>
          <w:p w:rsidR="00000000" w:rsidRPr="00E70858" w:rsidP="00E70858">
            <w:pPr>
              <w:pStyle w:val="ListBullet"/>
            </w:pPr>
            <w:r w:rsidRPr="00E70858">
              <w:t>dry stack storage/wet berth</w:t>
            </w:r>
          </w:p>
          <w:p w:rsidR="00000000" w:rsidRPr="00E70858" w:rsidP="00E70858">
            <w:pPr>
              <w:pStyle w:val="ListBullet"/>
            </w:pPr>
            <w:r w:rsidRPr="00E70858">
              <w:t>traditional</w:t>
            </w:r>
          </w:p>
          <w:p w:rsidR="00000000" w:rsidRPr="00E70858" w:rsidP="00E70858">
            <w:pPr>
              <w:pStyle w:val="ListBullet"/>
            </w:pPr>
            <w:r w:rsidRPr="00E70858">
              <w:t>transient</w:t>
            </w:r>
          </w:p>
          <w:p w:rsidR="00000000" w:rsidRPr="00E70858" w:rsidP="00E70858">
            <w:pPr>
              <w:pStyle w:val="ListBullet"/>
            </w:pPr>
            <w:r w:rsidRPr="00E70858">
              <w:t>working marina (boatyard including hard stand)</w:t>
            </w:r>
          </w:p>
          <w:p w:rsidR="00000000" w:rsidP="00E70858">
            <w:pPr>
              <w:pStyle w:val="ListBullet"/>
              <w:rPr>
                <w:lang w:val="en-NZ"/>
              </w:rPr>
            </w:pPr>
            <w:r w:rsidRPr="00E70858">
              <w:t>resort style marinas</w:t>
            </w:r>
          </w:p>
        </w:tc>
      </w:tr>
      <w:tr w:rsidTr="00E70858">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Ownership types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E70858" w:rsidP="00E70858">
            <w:pPr>
              <w:pStyle w:val="ListBullet"/>
            </w:pPr>
            <w:r w:rsidRPr="00E70858">
              <w:t>freehold</w:t>
            </w:r>
          </w:p>
          <w:p w:rsidR="00000000" w:rsidRPr="00E70858" w:rsidP="00E70858">
            <w:pPr>
              <w:pStyle w:val="ListBullet"/>
            </w:pPr>
            <w:r w:rsidRPr="00E70858">
              <w:t>government owned</w:t>
            </w:r>
          </w:p>
          <w:p w:rsidR="00000000" w:rsidRPr="00E70858" w:rsidP="00E70858">
            <w:pPr>
              <w:pStyle w:val="ListBullet"/>
            </w:pPr>
            <w:r w:rsidRPr="00E70858">
              <w:t>lease hold</w:t>
            </w:r>
          </w:p>
          <w:p w:rsidR="00000000" w:rsidRPr="00E70858" w:rsidP="00E70858">
            <w:pPr>
              <w:pStyle w:val="ListBullet"/>
            </w:pPr>
            <w:r w:rsidRPr="00E70858">
              <w:t>not-for-profit club</w:t>
            </w:r>
          </w:p>
          <w:p w:rsidR="00000000" w:rsidRPr="00E70858" w:rsidP="00E70858">
            <w:pPr>
              <w:pStyle w:val="ListBullet"/>
            </w:pPr>
            <w:r w:rsidRPr="00E70858">
              <w:t>public/private marina</w:t>
            </w:r>
          </w:p>
          <w:p w:rsidR="00000000" w:rsidRPr="00E70858" w:rsidP="00E70858">
            <w:pPr>
              <w:pStyle w:val="ListBullet"/>
            </w:pPr>
            <w:r w:rsidRPr="00E70858">
              <w:t>pri</w:t>
            </w:r>
            <w:r w:rsidRPr="00E70858">
              <w:t>vate club</w:t>
            </w:r>
          </w:p>
          <w:p w:rsidR="00000000" w:rsidRPr="00E70858" w:rsidP="00E70858">
            <w:pPr>
              <w:pStyle w:val="ListBullet"/>
            </w:pPr>
            <w:r w:rsidRPr="00E70858">
              <w:t>private yacht berth</w:t>
            </w:r>
          </w:p>
          <w:p w:rsidR="00000000" w:rsidP="00E70858">
            <w:pPr>
              <w:pStyle w:val="ListBullet"/>
              <w:rPr>
                <w:lang w:val="en-NZ"/>
              </w:rPr>
            </w:pPr>
            <w:r w:rsidRPr="00E70858">
              <w:t>strata berth</w:t>
            </w:r>
          </w:p>
        </w:tc>
      </w:tr>
      <w:tr w:rsidTr="00E70858">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Types of boat storage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E70858" w:rsidP="00E70858">
            <w:pPr>
              <w:pStyle w:val="ListBullet"/>
            </w:pPr>
            <w:r w:rsidRPr="00E70858">
              <w:t xml:space="preserve">alternative storage, such as air berth and sea pens </w:t>
            </w:r>
          </w:p>
          <w:p w:rsidR="00000000" w:rsidRPr="00E70858" w:rsidP="00E70858">
            <w:pPr>
              <w:pStyle w:val="ListBullet"/>
            </w:pPr>
            <w:r w:rsidRPr="00E70858">
              <w:t>dry stack</w:t>
            </w:r>
          </w:p>
          <w:p w:rsidR="00000000" w:rsidRPr="00E70858" w:rsidP="00E70858">
            <w:pPr>
              <w:pStyle w:val="ListBullet"/>
            </w:pPr>
            <w:r w:rsidRPr="00E70858">
              <w:t>hard stand</w:t>
            </w:r>
          </w:p>
          <w:p w:rsidR="00000000" w:rsidRPr="00E70858" w:rsidP="00E70858">
            <w:pPr>
              <w:pStyle w:val="ListBullet"/>
            </w:pPr>
            <w:r w:rsidRPr="00E70858">
              <w:t>mooring</w:t>
            </w:r>
          </w:p>
          <w:p w:rsidR="00000000" w:rsidP="00E70858">
            <w:pPr>
              <w:pStyle w:val="ListBullet"/>
              <w:rPr>
                <w:lang w:val="en-NZ"/>
              </w:rPr>
            </w:pPr>
            <w:r w:rsidRPr="00E70858">
              <w:t>wet berth</w:t>
            </w:r>
          </w:p>
        </w:tc>
      </w:tr>
      <w:tr w:rsidTr="00E70858">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Types of dock systems include one of more of the following:</w:t>
            </w:r>
          </w:p>
        </w:tc>
        <w:tc>
          <w:tcPr>
            <w:tcW w:w="4238" w:type="dxa"/>
            <w:tcBorders>
              <w:top w:val="nil"/>
              <w:left w:val="nil"/>
              <w:bottom w:val="nil"/>
              <w:right w:val="nil"/>
            </w:tcBorders>
            <w:tcMar>
              <w:top w:w="0" w:type="dxa"/>
              <w:left w:w="62" w:type="dxa"/>
              <w:bottom w:w="0" w:type="dxa"/>
              <w:right w:w="62" w:type="dxa"/>
            </w:tcMar>
          </w:tcPr>
          <w:p w:rsidR="00000000" w:rsidRPr="00E70858" w:rsidP="00E70858">
            <w:pPr>
              <w:pStyle w:val="ListBullet"/>
            </w:pPr>
            <w:r w:rsidRPr="00E70858">
              <w:t>fixed</w:t>
            </w:r>
          </w:p>
          <w:p w:rsidR="00000000" w:rsidP="00E70858">
            <w:pPr>
              <w:pStyle w:val="ListBullet"/>
              <w:rPr>
                <w:lang w:val="en-NZ"/>
              </w:rPr>
            </w:pPr>
            <w:r w:rsidRPr="00E70858">
              <w:t>floating</w:t>
            </w:r>
          </w:p>
        </w:tc>
      </w:tr>
      <w:tr w:rsidTr="00E70858">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Business models for marina operations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E70858" w:rsidP="00E70858">
            <w:pPr>
              <w:pStyle w:val="ListBullet"/>
            </w:pPr>
            <w:r w:rsidRPr="00E70858">
              <w:t xml:space="preserve">contractor </w:t>
            </w:r>
          </w:p>
          <w:p w:rsidR="00000000" w:rsidRPr="00E70858" w:rsidP="00E70858">
            <w:pPr>
              <w:pStyle w:val="ListBullet"/>
            </w:pPr>
            <w:r w:rsidRPr="00E70858">
              <w:t>in-house</w:t>
            </w:r>
          </w:p>
          <w:p w:rsidR="00000000" w:rsidP="00E70858">
            <w:pPr>
              <w:pStyle w:val="ListBullet"/>
              <w:rPr>
                <w:lang w:val="en-NZ"/>
              </w:rPr>
            </w:pPr>
            <w:r w:rsidRPr="00E70858">
              <w:t>tenant</w:t>
            </w:r>
          </w:p>
        </w:tc>
      </w:tr>
      <w:tr w:rsidTr="00E70858">
        <w:tblPrEx>
          <w:tblW w:w="9497" w:type="dxa"/>
          <w:tblLayout w:type="fixed"/>
          <w:tblCellMar>
            <w:left w:w="62" w:type="dxa"/>
            <w:right w:w="62" w:type="dxa"/>
          </w:tblCellMar>
          <w:tblLook w:val="0000"/>
        </w:tblPrEx>
        <w:tc>
          <w:tcPr>
            <w:tcW w:w="5259" w:type="dxa"/>
            <w:tcBorders>
              <w:top w:val="nil"/>
              <w:left w:val="nil"/>
              <w:bottom w:val="nil"/>
              <w:right w:val="nil"/>
            </w:tcBorders>
            <w:tcMar>
              <w:top w:w="0" w:type="dxa"/>
              <w:left w:w="62" w:type="dxa"/>
              <w:bottom w:w="0" w:type="dxa"/>
              <w:right w:w="62" w:type="dxa"/>
            </w:tcMar>
          </w:tcPr>
          <w:p w:rsidR="00000000" w:rsidP="00E70858">
            <w:pPr>
              <w:pStyle w:val="BodyText"/>
              <w:rPr>
                <w:lang w:val="en-NZ"/>
              </w:rPr>
            </w:pPr>
            <w:r w:rsidRPr="00E70858">
              <w:t>Vessels found in a marina include one or more of the following:</w:t>
            </w:r>
          </w:p>
        </w:tc>
        <w:tc>
          <w:tcPr>
            <w:tcW w:w="4238" w:type="dxa"/>
            <w:tcBorders>
              <w:top w:val="nil"/>
              <w:left w:val="nil"/>
              <w:bottom w:val="nil"/>
              <w:right w:val="nil"/>
            </w:tcBorders>
            <w:tcMar>
              <w:top w:w="0" w:type="dxa"/>
              <w:left w:w="62" w:type="dxa"/>
              <w:bottom w:w="0" w:type="dxa"/>
              <w:right w:w="62" w:type="dxa"/>
            </w:tcMar>
          </w:tcPr>
          <w:p w:rsidR="00000000" w:rsidRPr="00E70858" w:rsidP="00E70858">
            <w:pPr>
              <w:pStyle w:val="ListBullet"/>
            </w:pPr>
            <w:r w:rsidRPr="00E70858">
              <w:t>commercial or charter vessel</w:t>
            </w:r>
          </w:p>
          <w:p w:rsidR="00000000" w:rsidRPr="00E70858" w:rsidP="00E70858">
            <w:pPr>
              <w:pStyle w:val="ListBullet"/>
            </w:pPr>
            <w:r w:rsidRPr="00E70858">
              <w:t>motor/power boat</w:t>
            </w:r>
          </w:p>
          <w:p w:rsidR="00000000" w:rsidRPr="00E70858" w:rsidP="00E70858">
            <w:pPr>
              <w:pStyle w:val="ListBullet"/>
            </w:pPr>
            <w:r w:rsidRPr="00E70858">
              <w:t xml:space="preserve">motor yacht </w:t>
            </w:r>
          </w:p>
          <w:p w:rsidR="00000000" w:rsidRPr="00E70858" w:rsidP="00E70858">
            <w:pPr>
              <w:pStyle w:val="ListBullet"/>
            </w:pPr>
            <w:r w:rsidRPr="00E70858">
              <w:t>multihull (e.g. catamaran)</w:t>
            </w:r>
          </w:p>
          <w:p w:rsidR="00000000" w:rsidRPr="00E70858" w:rsidP="00E70858">
            <w:pPr>
              <w:pStyle w:val="ListBullet"/>
            </w:pPr>
            <w:r w:rsidRPr="00E70858">
              <w:t>sailing yacht</w:t>
            </w:r>
          </w:p>
          <w:p w:rsidR="00000000" w:rsidRPr="00E70858" w:rsidP="00E70858">
            <w:pPr>
              <w:pStyle w:val="ListBullet"/>
            </w:pPr>
            <w:r w:rsidRPr="00E70858">
              <w:t>superyacht/mega yachts</w:t>
            </w:r>
          </w:p>
          <w:p w:rsidR="00000000" w:rsidRPr="00E70858" w:rsidP="00E70858">
            <w:pPr>
              <w:pStyle w:val="ListBullet"/>
            </w:pPr>
            <w:r w:rsidRPr="00E70858">
              <w:t>houseboat</w:t>
            </w:r>
          </w:p>
          <w:p w:rsidR="00000000" w:rsidRPr="00E70858" w:rsidP="00E70858">
            <w:pPr>
              <w:pStyle w:val="ListBullet"/>
            </w:pPr>
            <w:r w:rsidRPr="00E70858">
              <w:t xml:space="preserve">personal watercraft (PWC) </w:t>
            </w:r>
          </w:p>
        </w:tc>
      </w:tr>
    </w:tbl>
    <w:p w:rsidR="00000000" w:rsidRPr="00E70858" w:rsidP="00E70858">
      <w:pPr>
        <w:pStyle w:val="NoPaddingFontSize1"/>
      </w:pPr>
    </w:p>
    <w:p w:rsidR="00000000" w:rsidRPr="00E70858" w:rsidP="00E70858">
      <w:pPr>
        <w:pStyle w:val="AllowPageBreak"/>
      </w:pPr>
    </w:p>
    <w:p w:rsidR="00000000" w:rsidRPr="00E70858" w:rsidP="00E70858">
      <w:pPr>
        <w:pStyle w:val="Heading1"/>
      </w:pPr>
      <w:bookmarkStart w:id="9" w:name="O_1233834"/>
      <w:bookmarkEnd w:id="9"/>
      <w:r w:rsidRPr="00E70858">
        <w:t>Unit Mapping Information</w:t>
      </w:r>
    </w:p>
    <w:tbl>
      <w:tblPr>
        <w:tblW w:w="9497" w:type="dxa"/>
        <w:tblLayout w:type="fixed"/>
        <w:tblCellMar>
          <w:left w:w="62" w:type="dxa"/>
          <w:right w:w="62" w:type="dxa"/>
        </w:tblCellMar>
        <w:tblLook w:val="0000"/>
      </w:tblPr>
      <w:tblGrid>
        <w:gridCol w:w="9497"/>
      </w:tblGrid>
      <w:tr w:rsidTr="00E70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58" w:rsidP="00E70858">
            <w:pPr>
              <w:pStyle w:val="BodyText"/>
            </w:pPr>
            <w:r w:rsidRPr="00E70858">
              <w:t>This unit replaces and is not equivalent to MARF024 Classify marina infrastructure, vessels and staffing structure</w:t>
            </w:r>
          </w:p>
        </w:tc>
      </w:tr>
    </w:tbl>
    <w:p w:rsidR="008A3319" w:rsidP="00E70858">
      <w:pPr>
        <w:pStyle w:val="NoPaddingFontSize1"/>
      </w:pPr>
    </w:p>
    <w:p w:rsidR="008A3319" w:rsidP="00E70858">
      <w:pPr>
        <w:pStyle w:val="NoPaddingFontSize1"/>
      </w:pPr>
    </w:p>
    <w:p w:rsidR="00000000" w:rsidRPr="00E70858" w:rsidP="00E70858">
      <w:pPr>
        <w:pStyle w:val="Heading1"/>
      </w:pPr>
      <w:bookmarkStart w:id="10" w:name="O_1233841"/>
      <w:bookmarkEnd w:id="10"/>
      <w:r w:rsidRPr="00E70858">
        <w:t>Links</w:t>
      </w:r>
    </w:p>
    <w:p w:rsidR="00000000" w:rsidRPr="00E70858" w:rsidP="008A3319">
      <w:pPr>
        <w:pStyle w:val="BodyText"/>
      </w:pPr>
      <w:r w:rsidRPr="00E7085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94072">
        <w:rPr>
          <w:rStyle w:val="Hyperlink"/>
        </w:rPr>
        <w:t>https://vetnet.gov.au/Pages/TrainingDocs.aspx?q=772efb7b-4cce-47fe-9bbd-ee3b1d1eb4c2</w:t>
      </w:r>
      <w:r>
        <w:fldChar w:fldCharType="end"/>
      </w:r>
    </w:p>
    <w:p w:rsidR="00000000" w:rsidRPr="00E70858" w:rsidP="00E70858"/>
    <w:sectPr w:rsidSect="00E708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58" w:rsidRPr="008A3319" w:rsidP="008A3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19" w:rsidP="00E70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319" w:rsidP="00E708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A3319" w:rsidP="00E70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858" w:rsidRPr="008A3319" w:rsidP="008A3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319" w:rsidRPr="002D2AF8" w:rsidP="00E70858">
    <w:pPr>
      <w:pStyle w:val="Header"/>
      <w:framePr w:wrap="around"/>
    </w:pPr>
    <w:r>
      <w:fldChar w:fldCharType="begin"/>
    </w:r>
    <w:r>
      <w:instrText xml:space="preserve"> TITLE   \* MERGEFORMAT </w:instrText>
    </w:r>
    <w:r>
      <w:fldChar w:fldCharType="separate"/>
    </w:r>
    <w:r>
      <w:t>MARF055 Classify marina infrastructure, vessels and staffing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A3319" w:rsidP="00E70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DC98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E89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858"/>
    <w:pPr>
      <w:spacing w:before="360" w:after="60"/>
      <w:outlineLvl w:val="0"/>
    </w:pPr>
    <w:rPr>
      <w:sz w:val="32"/>
    </w:rPr>
  </w:style>
  <w:style w:type="paragraph" w:styleId="Heading2">
    <w:name w:val="heading 2"/>
    <w:basedOn w:val="HeadingBase"/>
    <w:next w:val="BodyText"/>
    <w:link w:val="Heading2Char"/>
    <w:qFormat/>
    <w:rsid w:val="00E70858"/>
    <w:pPr>
      <w:keepLines/>
      <w:spacing w:before="240" w:after="120"/>
      <w:outlineLvl w:val="1"/>
    </w:pPr>
    <w:rPr>
      <w:sz w:val="28"/>
      <w:szCs w:val="40"/>
    </w:rPr>
  </w:style>
  <w:style w:type="paragraph" w:styleId="Heading3">
    <w:name w:val="heading 3"/>
    <w:basedOn w:val="HeadingBase"/>
    <w:next w:val="BodyText"/>
    <w:link w:val="Heading3Char"/>
    <w:qFormat/>
    <w:rsid w:val="00E70858"/>
    <w:pPr>
      <w:spacing w:before="180" w:after="120"/>
      <w:outlineLvl w:val="2"/>
    </w:pPr>
    <w:rPr>
      <w:spacing w:val="-10"/>
      <w:kern w:val="32"/>
    </w:rPr>
  </w:style>
  <w:style w:type="paragraph" w:styleId="Heading4">
    <w:name w:val="heading 4"/>
    <w:basedOn w:val="HeadingBase"/>
    <w:next w:val="BodyText"/>
    <w:link w:val="Heading4Char"/>
    <w:qFormat/>
    <w:rsid w:val="00E70858"/>
    <w:pPr>
      <w:spacing w:before="160" w:after="120"/>
      <w:outlineLvl w:val="3"/>
    </w:pPr>
    <w:rPr>
      <w:sz w:val="22"/>
    </w:rPr>
  </w:style>
  <w:style w:type="paragraph" w:styleId="Heading5">
    <w:name w:val="heading 5"/>
    <w:basedOn w:val="HeadingBase"/>
    <w:next w:val="Normal"/>
    <w:link w:val="Heading5Char"/>
    <w:qFormat/>
    <w:rsid w:val="00E70858"/>
    <w:pPr>
      <w:spacing w:before="80"/>
      <w:outlineLvl w:val="4"/>
    </w:pPr>
    <w:rPr>
      <w:color w:val="918585"/>
      <w:sz w:val="20"/>
    </w:rPr>
  </w:style>
  <w:style w:type="paragraph" w:styleId="Heading6">
    <w:name w:val="heading 6"/>
    <w:basedOn w:val="HeadingBase"/>
    <w:next w:val="Normal"/>
    <w:link w:val="Heading6Char"/>
    <w:qFormat/>
    <w:rsid w:val="00E70858"/>
    <w:pPr>
      <w:spacing w:before="60"/>
      <w:outlineLvl w:val="5"/>
    </w:pPr>
    <w:rPr>
      <w:color w:val="918585"/>
      <w:sz w:val="20"/>
    </w:rPr>
  </w:style>
  <w:style w:type="paragraph" w:styleId="Heading7">
    <w:name w:val="heading 7"/>
    <w:basedOn w:val="Normal"/>
    <w:next w:val="Normal"/>
    <w:link w:val="Heading7Char"/>
    <w:qFormat/>
    <w:rsid w:val="00E70858"/>
    <w:pPr>
      <w:ind w:left="720"/>
      <w:outlineLvl w:val="6"/>
    </w:pPr>
    <w:rPr>
      <w:i/>
    </w:rPr>
  </w:style>
  <w:style w:type="paragraph" w:styleId="Heading8">
    <w:name w:val="heading 8"/>
    <w:basedOn w:val="Normal"/>
    <w:next w:val="Normal"/>
    <w:link w:val="Heading8Char"/>
    <w:qFormat/>
    <w:rsid w:val="00E70858"/>
    <w:pPr>
      <w:ind w:left="720"/>
      <w:outlineLvl w:val="7"/>
    </w:pPr>
    <w:rPr>
      <w:i/>
    </w:rPr>
  </w:style>
  <w:style w:type="paragraph" w:styleId="Heading9">
    <w:name w:val="heading 9"/>
    <w:basedOn w:val="Normal"/>
    <w:next w:val="Normal"/>
    <w:link w:val="Heading9Char"/>
    <w:qFormat/>
    <w:rsid w:val="00E70858"/>
    <w:pPr>
      <w:ind w:left="720"/>
      <w:outlineLvl w:val="8"/>
    </w:pPr>
    <w:rPr>
      <w:i/>
    </w:rPr>
  </w:style>
  <w:style w:type="character" w:default="1" w:styleId="DefaultParagraphFont">
    <w:name w:val="Default Paragraph Font"/>
    <w:uiPriority w:val="1"/>
    <w:unhideWhenUsed/>
    <w:rsid w:val="00E70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858"/>
  </w:style>
  <w:style w:type="character" w:customStyle="1" w:styleId="Heading1Char">
    <w:name w:val="Heading 1 Char"/>
    <w:basedOn w:val="DefaultParagraphFont"/>
    <w:link w:val="Heading1"/>
    <w:rsid w:val="00E70858"/>
    <w:rPr>
      <w:rFonts w:ascii="Times New Roman" w:eastAsia="Times New Roman" w:hAnsi="Times New Roman" w:cs="Times New Roman"/>
      <w:b/>
      <w:sz w:val="32"/>
      <w:szCs w:val="20"/>
      <w:lang w:eastAsia="en-US"/>
    </w:rPr>
  </w:style>
  <w:style w:type="paragraph" w:styleId="BodyText">
    <w:name w:val="Body Text"/>
    <w:basedOn w:val="Normal"/>
    <w:link w:val="BodyTextChar"/>
    <w:rsid w:val="00E70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858"/>
    <w:rPr>
      <w:rFonts w:ascii="Times New Roman" w:eastAsia="Times New Roman" w:hAnsi="Times New Roman" w:cs="Times New Roman"/>
      <w:sz w:val="24"/>
      <w:lang w:eastAsia="en-US"/>
    </w:rPr>
  </w:style>
  <w:style w:type="paragraph" w:styleId="ListBullet">
    <w:name w:val="List Bullet"/>
    <w:basedOn w:val="List"/>
    <w:rsid w:val="00E70858"/>
    <w:pPr>
      <w:numPr>
        <w:numId w:val="11"/>
      </w:numPr>
      <w:tabs>
        <w:tab w:val="clear" w:pos="340"/>
      </w:tabs>
      <w:spacing w:before="40" w:after="40"/>
    </w:pPr>
  </w:style>
  <w:style w:type="character" w:customStyle="1" w:styleId="SpecialBold">
    <w:name w:val="Special Bold"/>
    <w:basedOn w:val="DefaultParagraphFont"/>
    <w:rsid w:val="00E70858"/>
    <w:rPr>
      <w:b/>
      <w:spacing w:val="0"/>
    </w:rPr>
  </w:style>
  <w:style w:type="paragraph" w:customStyle="1" w:styleId="SuperHeading">
    <w:name w:val="SuperHeading"/>
    <w:basedOn w:val="Normal"/>
    <w:rsid w:val="00E70858"/>
    <w:pPr>
      <w:spacing w:before="240" w:after="120"/>
      <w:outlineLvl w:val="0"/>
    </w:pPr>
    <w:rPr>
      <w:rFonts w:ascii="Times New Roman" w:hAnsi="Times New Roman"/>
      <w:b/>
      <w:sz w:val="32"/>
    </w:rPr>
  </w:style>
  <w:style w:type="paragraph" w:customStyle="1" w:styleId="AllowPageBreak">
    <w:name w:val="AllowPageBreak"/>
    <w:rsid w:val="00E708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0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858"/>
    <w:rPr>
      <w:rFonts w:ascii="Courier New" w:eastAsia="Times New Roman" w:hAnsi="Courier New" w:cs="Times New Roman"/>
      <w:i/>
      <w:szCs w:val="20"/>
      <w:lang w:eastAsia="en-US"/>
    </w:rPr>
  </w:style>
  <w:style w:type="paragraph" w:customStyle="1" w:styleId="HeadingBase">
    <w:name w:val="Heading Base"/>
    <w:rsid w:val="00E70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858"/>
    <w:pPr>
      <w:tabs>
        <w:tab w:val="right" w:leader="dot" w:pos="9072"/>
      </w:tabs>
      <w:ind w:left="567"/>
    </w:pPr>
    <w:rPr>
      <w:szCs w:val="22"/>
    </w:rPr>
  </w:style>
  <w:style w:type="paragraph" w:customStyle="1" w:styleId="TOCBase">
    <w:name w:val="TOC Base"/>
    <w:rsid w:val="00E70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858"/>
    <w:pPr>
      <w:tabs>
        <w:tab w:val="right" w:leader="dot" w:pos="9072"/>
      </w:tabs>
      <w:spacing w:before="40" w:after="40"/>
      <w:ind w:left="284"/>
    </w:pPr>
    <w:rPr>
      <w:rFonts w:ascii="Times New Roman" w:hAnsi="Times New Roman"/>
    </w:rPr>
  </w:style>
  <w:style w:type="paragraph" w:styleId="TOC1">
    <w:name w:val="toc 1"/>
    <w:basedOn w:val="TOCBase"/>
    <w:next w:val="Normal"/>
    <w:rsid w:val="00E70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858"/>
    <w:rPr>
      <w:rFonts w:ascii="Times New Roman" w:eastAsia="Times New Roman" w:hAnsi="Times New Roman" w:cs="Times New Roman"/>
      <w:sz w:val="16"/>
      <w:lang w:eastAsia="en-US"/>
    </w:rPr>
  </w:style>
  <w:style w:type="paragraph" w:styleId="Title">
    <w:name w:val="Title"/>
    <w:basedOn w:val="HeadingBase"/>
    <w:link w:val="TitleChar"/>
    <w:qFormat/>
    <w:rsid w:val="00E70858"/>
    <w:pPr>
      <w:spacing w:before="5040"/>
      <w:jc w:val="center"/>
    </w:pPr>
    <w:rPr>
      <w:sz w:val="48"/>
      <w:szCs w:val="72"/>
      <w:lang w:val="en-US"/>
    </w:rPr>
  </w:style>
  <w:style w:type="character" w:customStyle="1" w:styleId="TitleChar">
    <w:name w:val="Title Char"/>
    <w:basedOn w:val="DefaultParagraphFont"/>
    <w:link w:val="Title"/>
    <w:rsid w:val="00E70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858"/>
    <w:pPr>
      <w:tabs>
        <w:tab w:val="left" w:pos="3600"/>
        <w:tab w:val="left" w:pos="3958"/>
      </w:tabs>
    </w:pPr>
  </w:style>
  <w:style w:type="paragraph" w:styleId="List">
    <w:name w:val="List"/>
    <w:basedOn w:val="BodyText"/>
    <w:next w:val="BodyText"/>
    <w:rsid w:val="00E70858"/>
    <w:pPr>
      <w:tabs>
        <w:tab w:val="left" w:pos="340"/>
      </w:tabs>
      <w:spacing w:before="60" w:after="60"/>
      <w:ind w:left="340" w:hanging="340"/>
    </w:pPr>
  </w:style>
  <w:style w:type="paragraph" w:customStyle="1" w:styleId="Note">
    <w:name w:val="Note"/>
    <w:basedOn w:val="BodyText"/>
    <w:rsid w:val="00E70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858"/>
    <w:pPr>
      <w:framePr w:wrap="auto" w:hAnchor="text" w:y="6049"/>
    </w:pPr>
    <w:rPr>
      <w:color w:val="000000"/>
      <w:sz w:val="40"/>
    </w:rPr>
  </w:style>
  <w:style w:type="paragraph" w:customStyle="1" w:styleId="TOCTitle">
    <w:name w:val="TOCTitle"/>
    <w:basedOn w:val="Heading1"/>
    <w:rsid w:val="00E70858"/>
    <w:pPr>
      <w:spacing w:after="240"/>
      <w:jc w:val="center"/>
      <w:outlineLvl w:val="9"/>
    </w:pPr>
    <w:rPr>
      <w:caps/>
    </w:rPr>
  </w:style>
  <w:style w:type="paragraph" w:customStyle="1" w:styleId="Version">
    <w:name w:val="Version"/>
    <w:rsid w:val="00E708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858"/>
    <w:pPr>
      <w:numPr>
        <w:numId w:val="12"/>
      </w:numPr>
      <w:tabs>
        <w:tab w:val="clear" w:pos="680"/>
      </w:tabs>
    </w:pPr>
  </w:style>
  <w:style w:type="paragraph" w:styleId="Index1">
    <w:name w:val="index 1"/>
    <w:basedOn w:val="Normal"/>
    <w:next w:val="Normal"/>
    <w:semiHidden/>
    <w:rsid w:val="00E70858"/>
    <w:pPr>
      <w:keepNext w:val="0"/>
      <w:tabs>
        <w:tab w:val="right" w:pos="4176"/>
      </w:tabs>
      <w:ind w:left="198" w:hanging="198"/>
    </w:pPr>
    <w:rPr>
      <w:rFonts w:ascii="Garamond" w:hAnsi="Garamond"/>
    </w:rPr>
  </w:style>
  <w:style w:type="paragraph" w:styleId="IndexHeading">
    <w:name w:val="index heading"/>
    <w:basedOn w:val="Normal"/>
    <w:next w:val="Index1"/>
    <w:semiHidden/>
    <w:rsid w:val="00E70858"/>
    <w:pPr>
      <w:spacing w:before="120" w:after="120"/>
    </w:pPr>
    <w:rPr>
      <w:rFonts w:ascii="Arial" w:hAnsi="Arial"/>
      <w:b/>
      <w:color w:val="918585"/>
      <w:sz w:val="24"/>
    </w:rPr>
  </w:style>
  <w:style w:type="paragraph" w:styleId="Header">
    <w:name w:val="header"/>
    <w:basedOn w:val="Normal"/>
    <w:link w:val="HeaderChar"/>
    <w:rsid w:val="00E70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858"/>
    <w:rPr>
      <w:rFonts w:ascii="Times New Roman" w:eastAsia="Times New Roman" w:hAnsi="Times New Roman" w:cs="Times New Roman"/>
      <w:sz w:val="16"/>
      <w:szCs w:val="20"/>
      <w:lang w:val="en-GB" w:eastAsia="en-US"/>
    </w:rPr>
  </w:style>
  <w:style w:type="paragraph" w:customStyle="1" w:styleId="Chapter">
    <w:name w:val="Chapter"/>
    <w:basedOn w:val="Normal"/>
    <w:rsid w:val="00E70858"/>
    <w:pPr>
      <w:spacing w:before="240"/>
    </w:pPr>
    <w:rPr>
      <w:rFonts w:ascii="Times New Roman" w:hAnsi="Times New Roman"/>
      <w:smallCaps/>
      <w:spacing w:val="80"/>
      <w:sz w:val="28"/>
    </w:rPr>
  </w:style>
  <w:style w:type="paragraph" w:customStyle="1" w:styleId="InChapter">
    <w:name w:val="InChapter"/>
    <w:basedOn w:val="Heading3"/>
    <w:rsid w:val="00E70858"/>
    <w:pPr>
      <w:spacing w:after="240"/>
      <w:outlineLvl w:val="9"/>
    </w:pPr>
    <w:rPr>
      <w:noProof/>
    </w:rPr>
  </w:style>
  <w:style w:type="paragraph" w:styleId="Index2">
    <w:name w:val="index 2"/>
    <w:basedOn w:val="Normal"/>
    <w:next w:val="Normal"/>
    <w:semiHidden/>
    <w:rsid w:val="00E70858"/>
    <w:pPr>
      <w:tabs>
        <w:tab w:val="right" w:pos="4176"/>
      </w:tabs>
      <w:ind w:left="568" w:hanging="284"/>
    </w:pPr>
    <w:rPr>
      <w:rFonts w:ascii="Garamond" w:hAnsi="Garamond"/>
    </w:rPr>
  </w:style>
  <w:style w:type="paragraph" w:customStyle="1" w:styleId="Byline">
    <w:name w:val="Byline"/>
    <w:rsid w:val="00E70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858"/>
    <w:pPr>
      <w:tabs>
        <w:tab w:val="clear" w:pos="3600"/>
        <w:tab w:val="clear" w:pos="3958"/>
      </w:tabs>
      <w:jc w:val="right"/>
    </w:pPr>
  </w:style>
  <w:style w:type="character" w:styleId="Emphasis">
    <w:name w:val="Emphasis"/>
    <w:basedOn w:val="DefaultParagraphFont"/>
    <w:qFormat/>
    <w:rsid w:val="00E70858"/>
    <w:rPr>
      <w:i/>
    </w:rPr>
  </w:style>
  <w:style w:type="paragraph" w:styleId="Caption">
    <w:name w:val="caption"/>
    <w:basedOn w:val="BodyText"/>
    <w:next w:val="Normal"/>
    <w:qFormat/>
    <w:rsid w:val="00E70858"/>
    <w:pPr>
      <w:framePr w:w="2268" w:hSpace="181" w:vSpace="181" w:wrap="around" w:vAnchor="text" w:hAnchor="page" w:x="1135" w:y="285" w:anchorLock="1"/>
    </w:pPr>
    <w:rPr>
      <w:i/>
    </w:rPr>
  </w:style>
  <w:style w:type="paragraph" w:customStyle="1" w:styleId="MiniTOCTitle">
    <w:name w:val="MiniTOCTitle"/>
    <w:basedOn w:val="Heading4"/>
    <w:rsid w:val="00E70858"/>
    <w:pPr>
      <w:spacing w:before="240"/>
      <w:outlineLvl w:val="9"/>
    </w:pPr>
    <w:rPr>
      <w:noProof/>
      <w:sz w:val="24"/>
    </w:rPr>
  </w:style>
  <w:style w:type="paragraph" w:customStyle="1" w:styleId="MiniTOCItem">
    <w:name w:val="MiniTOCItem"/>
    <w:basedOn w:val="ListBullet"/>
    <w:rsid w:val="00E70858"/>
    <w:pPr>
      <w:numPr>
        <w:numId w:val="0"/>
      </w:numPr>
      <w:tabs>
        <w:tab w:val="right" w:leader="dot" w:pos="6521"/>
      </w:tabs>
      <w:spacing w:before="0" w:after="0"/>
    </w:pPr>
  </w:style>
  <w:style w:type="paragraph" w:customStyle="1" w:styleId="TOFTitle">
    <w:name w:val="TOFTitle"/>
    <w:basedOn w:val="TOCTitle"/>
    <w:rsid w:val="00E70858"/>
  </w:style>
  <w:style w:type="paragraph" w:styleId="TableofFigures">
    <w:name w:val="table of figures"/>
    <w:basedOn w:val="Normal"/>
    <w:next w:val="Normal"/>
    <w:semiHidden/>
    <w:rsid w:val="00E70858"/>
    <w:pPr>
      <w:tabs>
        <w:tab w:val="right" w:leader="dot" w:pos="9072"/>
      </w:tabs>
      <w:ind w:left="970" w:hanging="403"/>
    </w:pPr>
    <w:rPr>
      <w:rFonts w:ascii="Times New Roman" w:hAnsi="Times New Roman"/>
      <w:b/>
    </w:rPr>
  </w:style>
  <w:style w:type="paragraph" w:styleId="ListNumber">
    <w:name w:val="List Number"/>
    <w:basedOn w:val="List"/>
    <w:rsid w:val="00E70858"/>
    <w:pPr>
      <w:numPr>
        <w:numId w:val="14"/>
      </w:numPr>
      <w:tabs>
        <w:tab w:val="clear" w:pos="340"/>
      </w:tabs>
    </w:pPr>
  </w:style>
  <w:style w:type="character" w:customStyle="1" w:styleId="WingdingSymbols">
    <w:name w:val="Wingding Symbols"/>
    <w:rsid w:val="00E70858"/>
    <w:rPr>
      <w:rFonts w:ascii="Wingdings" w:hAnsi="Wingdings"/>
    </w:rPr>
  </w:style>
  <w:style w:type="paragraph" w:customStyle="1" w:styleId="TableHeading">
    <w:name w:val="Table Heading"/>
    <w:basedOn w:val="HeadingBase"/>
    <w:rsid w:val="00E70858"/>
    <w:pPr>
      <w:keepLines/>
      <w:pBdr>
        <w:bottom w:val="single" w:sz="6" w:space="1" w:color="918585"/>
      </w:pBdr>
      <w:spacing w:before="240"/>
    </w:pPr>
  </w:style>
  <w:style w:type="character" w:customStyle="1" w:styleId="HotSpot">
    <w:name w:val="HotSpot"/>
    <w:rsid w:val="00E70858"/>
    <w:rPr>
      <w:color w:val="0033CC"/>
      <w:u w:val="none"/>
    </w:rPr>
  </w:style>
  <w:style w:type="paragraph" w:customStyle="1" w:styleId="BodyTextRight">
    <w:name w:val="Body Text Right"/>
    <w:basedOn w:val="BodyText"/>
    <w:rsid w:val="00E70858"/>
    <w:pPr>
      <w:spacing w:before="0" w:after="0"/>
      <w:jc w:val="right"/>
    </w:pPr>
  </w:style>
  <w:style w:type="paragraph" w:styleId="Index3">
    <w:name w:val="index 3"/>
    <w:basedOn w:val="ListNumber2"/>
    <w:next w:val="Normal"/>
    <w:semiHidden/>
    <w:rsid w:val="00E70858"/>
    <w:pPr>
      <w:numPr>
        <w:numId w:val="0"/>
      </w:numPr>
      <w:tabs>
        <w:tab w:val="right" w:leader="dot" w:pos="4176"/>
      </w:tabs>
    </w:pPr>
  </w:style>
  <w:style w:type="paragraph" w:styleId="ListNumber2">
    <w:name w:val="List Number 2"/>
    <w:basedOn w:val="List2"/>
    <w:rsid w:val="00E70858"/>
    <w:pPr>
      <w:numPr>
        <w:numId w:val="9"/>
      </w:numPr>
      <w:tabs>
        <w:tab w:val="clear" w:pos="1060"/>
      </w:tabs>
    </w:pPr>
  </w:style>
  <w:style w:type="paragraph" w:customStyle="1" w:styleId="MarginNote">
    <w:name w:val="Margin Note"/>
    <w:basedOn w:val="BodyText"/>
    <w:rsid w:val="00E70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858"/>
    <w:rPr>
      <w:sz w:val="32"/>
    </w:rPr>
  </w:style>
  <w:style w:type="paragraph" w:customStyle="1" w:styleId="HeadingProcedure">
    <w:name w:val="Heading Procedure"/>
    <w:basedOn w:val="HeadingBase"/>
    <w:next w:val="Normal"/>
    <w:rsid w:val="00E70858"/>
    <w:pPr>
      <w:tabs>
        <w:tab w:val="left" w:pos="0"/>
      </w:tabs>
      <w:spacing w:before="120" w:after="60"/>
    </w:pPr>
    <w:rPr>
      <w:i/>
      <w:color w:val="918585"/>
      <w:sz w:val="22"/>
    </w:rPr>
  </w:style>
  <w:style w:type="paragraph" w:customStyle="1" w:styleId="TableBodyText">
    <w:name w:val="Table Body Text"/>
    <w:basedOn w:val="BodyText"/>
    <w:rsid w:val="00E70858"/>
    <w:pPr>
      <w:spacing w:before="60" w:after="60"/>
    </w:pPr>
  </w:style>
  <w:style w:type="paragraph" w:styleId="ListContinue">
    <w:name w:val="List Continue"/>
    <w:basedOn w:val="List"/>
    <w:rsid w:val="00E70858"/>
    <w:pPr>
      <w:ind w:firstLine="0"/>
    </w:pPr>
  </w:style>
  <w:style w:type="paragraph" w:customStyle="1" w:styleId="ListNote">
    <w:name w:val="List Note"/>
    <w:basedOn w:val="List"/>
    <w:rsid w:val="00E70858"/>
    <w:pPr>
      <w:pBdr>
        <w:top w:val="single" w:sz="6" w:space="2" w:color="918585"/>
        <w:bottom w:val="single" w:sz="6" w:space="2" w:color="918585"/>
      </w:pBdr>
      <w:tabs>
        <w:tab w:val="left" w:pos="1021"/>
      </w:tabs>
      <w:ind w:firstLine="0"/>
    </w:pPr>
  </w:style>
  <w:style w:type="paragraph" w:customStyle="1" w:styleId="Warning">
    <w:name w:val="Warning"/>
    <w:basedOn w:val="BodyText"/>
    <w:rsid w:val="00E70858"/>
    <w:pPr>
      <w:shd w:val="clear" w:color="auto" w:fill="D9D9D9"/>
      <w:tabs>
        <w:tab w:val="left" w:pos="992"/>
      </w:tabs>
      <w:ind w:left="119" w:right="119"/>
    </w:pPr>
    <w:rPr>
      <w:sz w:val="20"/>
    </w:rPr>
  </w:style>
  <w:style w:type="paragraph" w:customStyle="1" w:styleId="MarginIcons">
    <w:name w:val="Margin Icons"/>
    <w:basedOn w:val="BodyText"/>
    <w:rsid w:val="00E70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858"/>
    <w:rPr>
      <w:rFonts w:ascii="Courier New" w:hAnsi="Courier New"/>
    </w:rPr>
  </w:style>
  <w:style w:type="paragraph" w:customStyle="1" w:styleId="NoteBullet">
    <w:name w:val="Note Bullet"/>
    <w:basedOn w:val="Note"/>
    <w:rsid w:val="00E70858"/>
    <w:pPr>
      <w:tabs>
        <w:tab w:val="clear" w:pos="680"/>
      </w:tabs>
      <w:spacing w:before="60" w:after="60"/>
    </w:pPr>
  </w:style>
  <w:style w:type="paragraph" w:customStyle="1" w:styleId="SubHeading2">
    <w:name w:val="SubHeading2"/>
    <w:basedOn w:val="HeadingBase"/>
    <w:rsid w:val="00E70858"/>
    <w:pPr>
      <w:spacing w:before="240" w:after="60"/>
    </w:pPr>
    <w:rPr>
      <w:sz w:val="20"/>
    </w:rPr>
  </w:style>
  <w:style w:type="paragraph" w:customStyle="1" w:styleId="SubHeading1">
    <w:name w:val="SubHeading1"/>
    <w:basedOn w:val="HeadingBase"/>
    <w:rsid w:val="00E70858"/>
    <w:pPr>
      <w:spacing w:before="240" w:after="60"/>
    </w:pPr>
    <w:rPr>
      <w:color w:val="918585"/>
      <w:sz w:val="22"/>
    </w:rPr>
  </w:style>
  <w:style w:type="paragraph" w:customStyle="1" w:styleId="SideHeading">
    <w:name w:val="Side Heading"/>
    <w:basedOn w:val="HeadingBase"/>
    <w:rsid w:val="00E70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858"/>
    <w:pPr>
      <w:numPr>
        <w:numId w:val="10"/>
      </w:numPr>
    </w:pPr>
  </w:style>
  <w:style w:type="paragraph" w:styleId="PlainText">
    <w:name w:val="Plain Text"/>
    <w:basedOn w:val="Normal"/>
    <w:link w:val="PlainTextChar"/>
    <w:rsid w:val="00E70858"/>
    <w:rPr>
      <w:sz w:val="20"/>
    </w:rPr>
  </w:style>
  <w:style w:type="character" w:customStyle="1" w:styleId="PlainTextChar">
    <w:name w:val="Plain Text Char"/>
    <w:basedOn w:val="DefaultParagraphFont"/>
    <w:link w:val="PlainText"/>
    <w:rsid w:val="00E70858"/>
    <w:rPr>
      <w:rFonts w:ascii="Courier New" w:eastAsia="Times New Roman" w:hAnsi="Courier New" w:cs="Times New Roman"/>
      <w:sz w:val="20"/>
      <w:szCs w:val="20"/>
      <w:lang w:eastAsia="en-US"/>
    </w:rPr>
  </w:style>
  <w:style w:type="character" w:customStyle="1" w:styleId="MenuOption">
    <w:name w:val="Menu Option"/>
    <w:basedOn w:val="DefaultParagraphFont"/>
    <w:rsid w:val="00E70858"/>
    <w:rPr>
      <w:b/>
      <w:smallCaps/>
    </w:rPr>
  </w:style>
  <w:style w:type="paragraph" w:customStyle="1" w:styleId="TableListNumber">
    <w:name w:val="Table List Number"/>
    <w:basedOn w:val="ListNumber"/>
    <w:rsid w:val="00E70858"/>
    <w:pPr>
      <w:numPr>
        <w:numId w:val="0"/>
      </w:numPr>
    </w:pPr>
  </w:style>
  <w:style w:type="paragraph" w:styleId="TOC4">
    <w:name w:val="toc 4"/>
    <w:basedOn w:val="TOCBase"/>
    <w:next w:val="Normal"/>
    <w:semiHidden/>
    <w:rsid w:val="00E70858"/>
    <w:pPr>
      <w:tabs>
        <w:tab w:val="right" w:leader="dot" w:pos="9071"/>
      </w:tabs>
      <w:ind w:left="1701"/>
    </w:pPr>
  </w:style>
  <w:style w:type="paragraph" w:customStyle="1" w:styleId="ListAlpha">
    <w:name w:val="List Alpha"/>
    <w:basedOn w:val="List"/>
    <w:rsid w:val="00E70858"/>
    <w:pPr>
      <w:numPr>
        <w:numId w:val="8"/>
      </w:numPr>
    </w:pPr>
  </w:style>
  <w:style w:type="paragraph" w:customStyle="1" w:styleId="ListAlpha2">
    <w:name w:val="List Alpha 2"/>
    <w:basedOn w:val="List2"/>
    <w:rsid w:val="00E70858"/>
    <w:pPr>
      <w:numPr>
        <w:numId w:val="7"/>
      </w:numPr>
    </w:pPr>
  </w:style>
  <w:style w:type="paragraph" w:styleId="List2">
    <w:name w:val="List 2"/>
    <w:basedOn w:val="BodyText"/>
    <w:rsid w:val="00E70858"/>
    <w:pPr>
      <w:tabs>
        <w:tab w:val="left" w:pos="680"/>
      </w:tabs>
      <w:spacing w:before="60" w:after="60"/>
      <w:ind w:left="680" w:hanging="340"/>
    </w:pPr>
  </w:style>
  <w:style w:type="paragraph" w:styleId="List3">
    <w:name w:val="List 3"/>
    <w:basedOn w:val="BodyText"/>
    <w:rsid w:val="00E70858"/>
    <w:pPr>
      <w:tabs>
        <w:tab w:val="left" w:pos="1021"/>
      </w:tabs>
      <w:spacing w:before="60" w:after="60"/>
      <w:ind w:left="1020" w:hanging="340"/>
    </w:pPr>
  </w:style>
  <w:style w:type="paragraph" w:styleId="List4">
    <w:name w:val="List 4"/>
    <w:basedOn w:val="BodyText"/>
    <w:rsid w:val="00E70858"/>
    <w:pPr>
      <w:tabs>
        <w:tab w:val="left" w:pos="1361"/>
      </w:tabs>
      <w:spacing w:before="60" w:after="60"/>
      <w:ind w:left="1361" w:hanging="340"/>
    </w:pPr>
  </w:style>
  <w:style w:type="paragraph" w:styleId="List5">
    <w:name w:val="List 5"/>
    <w:basedOn w:val="BodyText"/>
    <w:rsid w:val="00E70858"/>
    <w:pPr>
      <w:tabs>
        <w:tab w:val="left" w:pos="1701"/>
      </w:tabs>
      <w:spacing w:before="60" w:after="60"/>
      <w:ind w:left="1701" w:hanging="340"/>
    </w:pPr>
  </w:style>
  <w:style w:type="paragraph" w:styleId="ListBullet3">
    <w:name w:val="List Bullet 3"/>
    <w:basedOn w:val="List3"/>
    <w:rsid w:val="00E70858"/>
    <w:pPr>
      <w:numPr>
        <w:numId w:val="13"/>
      </w:numPr>
      <w:tabs>
        <w:tab w:val="clear" w:pos="1021"/>
      </w:tabs>
      <w:ind w:left="1037" w:hanging="357"/>
    </w:pPr>
  </w:style>
  <w:style w:type="paragraph" w:styleId="ListBullet4">
    <w:name w:val="List Bullet 4"/>
    <w:basedOn w:val="List4"/>
    <w:rsid w:val="00E70858"/>
    <w:pPr>
      <w:numPr>
        <w:numId w:val="2"/>
      </w:numPr>
      <w:tabs>
        <w:tab w:val="clear" w:pos="1361"/>
      </w:tabs>
    </w:pPr>
  </w:style>
  <w:style w:type="paragraph" w:styleId="ListBullet5">
    <w:name w:val="List Bullet 5"/>
    <w:basedOn w:val="List5"/>
    <w:rsid w:val="00E70858"/>
    <w:pPr>
      <w:numPr>
        <w:numId w:val="3"/>
      </w:numPr>
    </w:pPr>
  </w:style>
  <w:style w:type="paragraph" w:styleId="ListContinue2">
    <w:name w:val="List Continue 2"/>
    <w:basedOn w:val="List2"/>
    <w:rsid w:val="00E70858"/>
    <w:pPr>
      <w:ind w:firstLine="0"/>
    </w:pPr>
  </w:style>
  <w:style w:type="paragraph" w:styleId="ListContinue3">
    <w:name w:val="List Continue 3"/>
    <w:basedOn w:val="List3"/>
    <w:rsid w:val="00E70858"/>
    <w:pPr>
      <w:ind w:left="1021" w:firstLine="0"/>
    </w:pPr>
  </w:style>
  <w:style w:type="paragraph" w:styleId="ListContinue4">
    <w:name w:val="List Continue 4"/>
    <w:basedOn w:val="List4"/>
    <w:rsid w:val="00E70858"/>
    <w:pPr>
      <w:ind w:firstLine="0"/>
    </w:pPr>
  </w:style>
  <w:style w:type="paragraph" w:styleId="ListContinue5">
    <w:name w:val="List Continue 5"/>
    <w:basedOn w:val="List5"/>
    <w:rsid w:val="00E70858"/>
    <w:pPr>
      <w:ind w:firstLine="0"/>
    </w:pPr>
  </w:style>
  <w:style w:type="paragraph" w:styleId="ListNumber3">
    <w:name w:val="List Number 3"/>
    <w:basedOn w:val="List3"/>
    <w:rsid w:val="00E70858"/>
    <w:pPr>
      <w:numPr>
        <w:numId w:val="4"/>
      </w:numPr>
    </w:pPr>
  </w:style>
  <w:style w:type="paragraph" w:styleId="ListNumber4">
    <w:name w:val="List Number 4"/>
    <w:basedOn w:val="List4"/>
    <w:rsid w:val="00E70858"/>
    <w:pPr>
      <w:numPr>
        <w:numId w:val="5"/>
      </w:numPr>
    </w:pPr>
  </w:style>
  <w:style w:type="paragraph" w:styleId="ListNumber5">
    <w:name w:val="List Number 5"/>
    <w:basedOn w:val="List5"/>
    <w:rsid w:val="00E70858"/>
    <w:pPr>
      <w:numPr>
        <w:numId w:val="6"/>
      </w:numPr>
    </w:pPr>
  </w:style>
  <w:style w:type="paragraph" w:styleId="BlockText">
    <w:name w:val="Block Text"/>
    <w:basedOn w:val="Normal"/>
    <w:rsid w:val="00E70858"/>
    <w:pPr>
      <w:spacing w:after="120"/>
      <w:ind w:left="1440" w:right="1440"/>
    </w:pPr>
  </w:style>
  <w:style w:type="character" w:customStyle="1" w:styleId="Subscript">
    <w:name w:val="Subscript"/>
    <w:basedOn w:val="DefaultParagraphFont"/>
    <w:rsid w:val="00E70858"/>
    <w:rPr>
      <w:sz w:val="16"/>
      <w:vertAlign w:val="subscript"/>
    </w:rPr>
  </w:style>
  <w:style w:type="character" w:customStyle="1" w:styleId="Superscript">
    <w:name w:val="Superscript"/>
    <w:basedOn w:val="DefaultParagraphFont"/>
    <w:rsid w:val="00E70858"/>
    <w:rPr>
      <w:sz w:val="16"/>
      <w:vertAlign w:val="superscript"/>
    </w:rPr>
  </w:style>
  <w:style w:type="character" w:customStyle="1" w:styleId="Symbols">
    <w:name w:val="Symbols"/>
    <w:basedOn w:val="DefaultParagraphFont"/>
    <w:rsid w:val="00E70858"/>
    <w:rPr>
      <w:rFonts w:ascii="Symbol" w:hAnsi="Symbol"/>
    </w:rPr>
  </w:style>
  <w:style w:type="character" w:customStyle="1" w:styleId="MenuOptions">
    <w:name w:val="Menu Options"/>
    <w:basedOn w:val="DefaultParagraphFont"/>
    <w:rsid w:val="00E70858"/>
    <w:rPr>
      <w:rFonts w:ascii="Arial Narrow" w:hAnsi="Arial Narrow"/>
      <w:smallCaps/>
    </w:rPr>
  </w:style>
  <w:style w:type="character" w:customStyle="1" w:styleId="Buttons">
    <w:name w:val="Buttons"/>
    <w:basedOn w:val="DefaultParagraphFont"/>
    <w:rsid w:val="00E70858"/>
    <w:rPr>
      <w:b/>
    </w:rPr>
  </w:style>
  <w:style w:type="character" w:customStyle="1" w:styleId="Underlined">
    <w:name w:val="Underlined"/>
    <w:basedOn w:val="DefaultParagraphFont"/>
    <w:rsid w:val="00E70858"/>
    <w:rPr>
      <w:u w:val="single"/>
    </w:rPr>
  </w:style>
  <w:style w:type="paragraph" w:customStyle="1" w:styleId="TableBodyTextRight">
    <w:name w:val="Table Body Text Right"/>
    <w:basedOn w:val="TableBodyText"/>
    <w:rsid w:val="00E70858"/>
    <w:pPr>
      <w:widowControl w:val="0"/>
      <w:autoSpaceDE w:val="0"/>
      <w:autoSpaceDN w:val="0"/>
      <w:adjustRightInd w:val="0"/>
      <w:jc w:val="right"/>
    </w:pPr>
    <w:rPr>
      <w:rFonts w:cs="Arial"/>
      <w:szCs w:val="18"/>
    </w:rPr>
  </w:style>
  <w:style w:type="paragraph" w:customStyle="1" w:styleId="CopyrightText">
    <w:name w:val="Copyright Text"/>
    <w:basedOn w:val="BodyText"/>
    <w:rsid w:val="00E70858"/>
    <w:rPr>
      <w:sz w:val="18"/>
    </w:rPr>
  </w:style>
  <w:style w:type="paragraph" w:customStyle="1" w:styleId="BodySmallRight">
    <w:name w:val="Body Small Right"/>
    <w:basedOn w:val="BodyTextRight"/>
    <w:rsid w:val="00E70858"/>
    <w:rPr>
      <w:sz w:val="18"/>
      <w:szCs w:val="18"/>
    </w:rPr>
  </w:style>
  <w:style w:type="paragraph" w:customStyle="1" w:styleId="MarginEdition">
    <w:name w:val="Margin Edition"/>
    <w:basedOn w:val="MarginNote"/>
    <w:rsid w:val="00E70858"/>
    <w:pPr>
      <w:spacing w:before="0" w:after="0"/>
    </w:pPr>
    <w:rPr>
      <w:rFonts w:ascii="Times New Roman" w:hAnsi="Times New Roman"/>
      <w:color w:val="999999"/>
    </w:rPr>
  </w:style>
  <w:style w:type="paragraph" w:customStyle="1" w:styleId="Spacer">
    <w:name w:val="Spacer"/>
    <w:basedOn w:val="Normal"/>
    <w:rsid w:val="00E70858"/>
    <w:rPr>
      <w:sz w:val="2"/>
      <w:szCs w:val="2"/>
    </w:rPr>
  </w:style>
  <w:style w:type="character" w:customStyle="1" w:styleId="Small">
    <w:name w:val="Small"/>
    <w:basedOn w:val="DefaultParagraphFont"/>
    <w:rsid w:val="00E70858"/>
    <w:rPr>
      <w:sz w:val="16"/>
    </w:rPr>
  </w:style>
  <w:style w:type="paragraph" w:customStyle="1" w:styleId="WideTable">
    <w:name w:val="Wide Table"/>
    <w:basedOn w:val="Normal"/>
    <w:rsid w:val="00E70858"/>
    <w:pPr>
      <w:ind w:left="-1418"/>
    </w:pPr>
    <w:rPr>
      <w:sz w:val="2"/>
      <w:szCs w:val="2"/>
    </w:rPr>
  </w:style>
  <w:style w:type="character" w:styleId="PageNumber">
    <w:name w:val="page number"/>
    <w:basedOn w:val="DefaultParagraphFont"/>
    <w:rsid w:val="00E70858"/>
  </w:style>
  <w:style w:type="paragraph" w:styleId="Quote">
    <w:name w:val="Quote"/>
    <w:basedOn w:val="Heading1"/>
    <w:link w:val="QuoteChar"/>
    <w:qFormat/>
    <w:rsid w:val="00E70858"/>
    <w:rPr>
      <w:b w:val="0"/>
      <w:sz w:val="72"/>
      <w:szCs w:val="72"/>
      <w:lang w:val="en-NZ"/>
    </w:rPr>
  </w:style>
  <w:style w:type="character" w:customStyle="1" w:styleId="QuoteChar">
    <w:name w:val="Quote Char"/>
    <w:basedOn w:val="DefaultParagraphFont"/>
    <w:link w:val="Quote"/>
    <w:rsid w:val="00E70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858"/>
    <w:pPr>
      <w:pageBreakBefore/>
    </w:pPr>
  </w:style>
  <w:style w:type="paragraph" w:customStyle="1" w:styleId="Border">
    <w:name w:val="Border"/>
    <w:basedOn w:val="Normal"/>
    <w:qFormat/>
    <w:rsid w:val="00E70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858"/>
    <w:rPr>
      <w:b/>
      <w:bCs/>
      <w:i/>
      <w:iCs/>
      <w:color w:val="auto"/>
    </w:rPr>
  </w:style>
  <w:style w:type="paragraph" w:styleId="IntenseQuote">
    <w:name w:val="Intense Quote"/>
    <w:basedOn w:val="Normal"/>
    <w:next w:val="Normal"/>
    <w:link w:val="IntenseQuoteChar"/>
    <w:uiPriority w:val="30"/>
    <w:qFormat/>
    <w:rsid w:val="00E70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858"/>
    <w:rPr>
      <w:smallCaps/>
      <w:color w:val="auto"/>
      <w:u w:val="single"/>
    </w:rPr>
  </w:style>
  <w:style w:type="character" w:styleId="IntenseReference">
    <w:name w:val="Intense Reference"/>
    <w:basedOn w:val="DefaultParagraphFont"/>
    <w:uiPriority w:val="32"/>
    <w:qFormat/>
    <w:rsid w:val="00E70858"/>
    <w:rPr>
      <w:b/>
      <w:bCs/>
      <w:smallCaps/>
      <w:color w:val="auto"/>
      <w:spacing w:val="5"/>
      <w:u w:val="single"/>
    </w:rPr>
  </w:style>
  <w:style w:type="paragraph" w:customStyle="1" w:styleId="2ColumnHeading">
    <w:name w:val="2Column Heading"/>
    <w:basedOn w:val="BodyText"/>
    <w:qFormat/>
    <w:rsid w:val="00E70858"/>
    <w:pPr>
      <w:spacing w:after="60"/>
      <w:ind w:left="-2268"/>
    </w:pPr>
    <w:rPr>
      <w:b/>
    </w:rPr>
  </w:style>
  <w:style w:type="paragraph" w:customStyle="1" w:styleId="Heading1TOC">
    <w:name w:val="Heading1 TOC"/>
    <w:basedOn w:val="Normal"/>
    <w:qFormat/>
    <w:rsid w:val="00E70858"/>
    <w:pPr>
      <w:spacing w:before="240" w:after="120"/>
    </w:pPr>
    <w:rPr>
      <w:rFonts w:ascii="Times New Roman" w:hAnsi="Times New Roman"/>
      <w:b/>
      <w:sz w:val="32"/>
    </w:rPr>
  </w:style>
  <w:style w:type="paragraph" w:customStyle="1" w:styleId="Heading2TOC">
    <w:name w:val="Heading2 TOC"/>
    <w:basedOn w:val="Normal"/>
    <w:qFormat/>
    <w:rsid w:val="00E70858"/>
    <w:pPr>
      <w:spacing w:before="240" w:after="60"/>
    </w:pPr>
    <w:rPr>
      <w:rFonts w:ascii="Times New Roman" w:hAnsi="Times New Roman"/>
      <w:b/>
      <w:sz w:val="28"/>
    </w:rPr>
  </w:style>
  <w:style w:type="character" w:customStyle="1" w:styleId="Underline">
    <w:name w:val="Underline"/>
    <w:basedOn w:val="DefaultParagraphFont"/>
    <w:qFormat/>
    <w:rsid w:val="00E70858"/>
    <w:rPr>
      <w:u w:val="single"/>
    </w:rPr>
  </w:style>
  <w:style w:type="character" w:customStyle="1" w:styleId="BoldandItalics">
    <w:name w:val="Bold and Italics"/>
    <w:qFormat/>
    <w:rsid w:val="00E70858"/>
    <w:rPr>
      <w:b/>
      <w:i/>
      <w:u w:val="none"/>
    </w:rPr>
  </w:style>
  <w:style w:type="paragraph" w:styleId="BalloonText">
    <w:name w:val="Balloon Text"/>
    <w:basedOn w:val="Normal"/>
    <w:link w:val="BalloonTextChar"/>
    <w:rsid w:val="00E70858"/>
    <w:rPr>
      <w:rFonts w:ascii="Tahoma" w:hAnsi="Tahoma" w:cs="Tahoma"/>
      <w:sz w:val="16"/>
      <w:szCs w:val="16"/>
    </w:rPr>
  </w:style>
  <w:style w:type="character" w:customStyle="1" w:styleId="BalloonTextChar">
    <w:name w:val="Balloon Text Char"/>
    <w:basedOn w:val="DefaultParagraphFont"/>
    <w:link w:val="BalloonText"/>
    <w:rsid w:val="00E70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858"/>
    <w:rPr>
      <w:b/>
      <w:color w:val="660033"/>
      <w:spacing w:val="0"/>
    </w:rPr>
  </w:style>
  <w:style w:type="paragraph" w:customStyle="1" w:styleId="Nameditemlist">
    <w:name w:val="Named item list"/>
    <w:basedOn w:val="BodyText"/>
    <w:qFormat/>
    <w:rsid w:val="00E70858"/>
    <w:pPr>
      <w:tabs>
        <w:tab w:val="left" w:pos="2835"/>
      </w:tabs>
      <w:ind w:left="2835" w:hanging="2835"/>
    </w:pPr>
  </w:style>
  <w:style w:type="paragraph" w:customStyle="1" w:styleId="BodyTextnopadding">
    <w:name w:val="Body Text no padding"/>
    <w:basedOn w:val="BodyText"/>
    <w:qFormat/>
    <w:rsid w:val="00E70858"/>
    <w:pPr>
      <w:spacing w:before="0" w:after="0"/>
    </w:pPr>
  </w:style>
  <w:style w:type="paragraph" w:customStyle="1" w:styleId="BodyTextBold">
    <w:name w:val="Body Text Bold"/>
    <w:basedOn w:val="BodyText"/>
    <w:qFormat/>
    <w:rsid w:val="00E70858"/>
    <w:rPr>
      <w:b/>
    </w:rPr>
  </w:style>
  <w:style w:type="character" w:styleId="Hyperlink">
    <w:name w:val="Hyperlink"/>
    <w:basedOn w:val="DefaultParagraphFont"/>
    <w:uiPriority w:val="99"/>
    <w:unhideWhenUsed/>
    <w:rsid w:val="008A3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3997</Characters>
  <Application>Microsoft Office Word</Application>
  <DocSecurity>0</DocSecurity>
  <Lines>222</Lines>
  <Paragraphs>122</Paragraphs>
  <ScaleCrop>false</ScaleCrop>
  <Company>Author-it Software Corporation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MARF055 Classify marina infrastructure, vessels and staffing structure</dc:title>
  <dc:subject>Approved</dc:subject>
  <dc:creator>Industry Skills Australia</dc:creator>
  <cp:keywords>Release: 1</cp:keywords>
  <dc:description>Review Date: 12 April 2008</dc:description>
  <cp:lastModifiedBy>HSD_TPCMSd.prod</cp:lastModifiedBy>
  <cp:revision>3</cp:revision>
  <dcterms:created xsi:type="dcterms:W3CDTF">2024-11-22T07:58:00Z</dcterms:created>
  <dcterms:modified xsi:type="dcterms:W3CDTF">2024-11-22T07:58:00Z</dcterms:modified>
</cp:coreProperties>
</file>