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48B9" w:rsidP="002448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MARF052 Apply nautical knowledge</w:t>
      </w:r>
      <w:r>
        <w:fldChar w:fldCharType="end"/>
      </w:r>
    </w:p>
    <w:p w:rsidR="002448B9" w:rsidP="002448B9">
      <w:pPr>
        <w:pStyle w:val="Version"/>
        <w:sectPr w:rsidSect="00F01A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1A1E" w:rsidP="00F01A1E">
      <w:pPr>
        <w:pStyle w:val="SuperHeading"/>
      </w:pPr>
      <w:r w:rsidRPr="00F01A1E">
        <w:t>Assessment Requirements for MARF052 Apply nautical knowledge</w:t>
      </w:r>
    </w:p>
    <w:p w:rsidR="00000000" w:rsidRPr="00F01A1E" w:rsidP="00F01A1E">
      <w:pPr>
        <w:pStyle w:val="Heading1"/>
      </w:pPr>
      <w:bookmarkStart w:id="1" w:name="O_1233779"/>
      <w:bookmarkEnd w:id="1"/>
      <w:r w:rsidRPr="00F01A1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1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A1E" w:rsidP="00F01A1E">
            <w:pPr>
              <w:pStyle w:val="BodyText"/>
            </w:pPr>
            <w:r w:rsidRPr="00F01A1E">
              <w:t>Release 1. This is the first release of this unit of competency in the MAR Maritime Training Package.</w:t>
            </w:r>
          </w:p>
        </w:tc>
      </w:tr>
    </w:tbl>
    <w:p w:rsidR="002448B9" w:rsidP="00F01A1E">
      <w:pPr>
        <w:pStyle w:val="NoPaddingFontSize1"/>
      </w:pPr>
    </w:p>
    <w:p w:rsidR="002448B9" w:rsidP="00F01A1E">
      <w:pPr>
        <w:pStyle w:val="NoPaddingFontSize1"/>
      </w:pPr>
    </w:p>
    <w:p w:rsidR="00000000" w:rsidRPr="00F01A1E" w:rsidP="00F01A1E">
      <w:pPr>
        <w:pStyle w:val="Heading1"/>
      </w:pPr>
      <w:bookmarkStart w:id="2" w:name="O_1233780"/>
      <w:bookmarkEnd w:id="2"/>
      <w:r w:rsidRPr="00F01A1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1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1E">
            <w:pPr>
              <w:pStyle w:val="BodyText"/>
              <w:rPr>
                <w:lang w:val="en-NZ"/>
              </w:rPr>
            </w:pPr>
            <w:r w:rsidRPr="00F01A1E">
              <w:t>Evidence required to demonstrate competence in this unit must be relevan</w:t>
            </w:r>
            <w:r w:rsidRPr="00F01A1E">
              <w:t xml:space="preserve">t to and satisfy all of the requirements of the elements and performance criteria on at least occasion and include: </w:t>
            </w:r>
          </w:p>
        </w:tc>
      </w:tr>
      <w:tr w:rsidTr="00F01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A1E" w:rsidP="00F01A1E">
            <w:pPr>
              <w:pStyle w:val="ListBullet"/>
            </w:pPr>
            <w:r w:rsidRPr="00F01A1E">
              <w:t>applying fundamental principles of International Regulations for Preventing Collisions at Sea (COLREGS) within a Vessel Traffic Service (</w:t>
            </w:r>
            <w:r w:rsidRPr="00F01A1E">
              <w:t>VTS) area (where applicable), including:</w:t>
            </w:r>
          </w:p>
          <w:p w:rsidR="00000000" w:rsidRPr="00F01A1E" w:rsidP="00F01A1E">
            <w:pPr>
              <w:pStyle w:val="ListBullet2"/>
            </w:pPr>
            <w:r w:rsidRPr="00F01A1E">
              <w:t>steering and sailing rules</w:t>
            </w:r>
          </w:p>
          <w:p w:rsidR="00000000" w:rsidRPr="00F01A1E" w:rsidP="00F01A1E">
            <w:pPr>
              <w:pStyle w:val="ListBullet2"/>
            </w:pPr>
            <w:r w:rsidRPr="00F01A1E">
              <w:t>conduct of vessel in specific conditions</w:t>
            </w:r>
          </w:p>
          <w:p w:rsidR="00000000" w:rsidRPr="00F01A1E" w:rsidP="00F01A1E">
            <w:pPr>
              <w:pStyle w:val="ListBullet"/>
            </w:pPr>
            <w:r w:rsidRPr="00F01A1E">
              <w:t xml:space="preserve">explaining the methodology used to find positions on the globe, chart projections and geodetic datums </w:t>
            </w:r>
          </w:p>
          <w:p w:rsidR="00000000" w:rsidRPr="00F01A1E" w:rsidP="00F01A1E">
            <w:pPr>
              <w:pStyle w:val="ListBullet"/>
            </w:pPr>
            <w:r w:rsidRPr="00F01A1E">
              <w:t>e</w:t>
            </w:r>
            <w:r w:rsidRPr="00F01A1E">
              <w:t>xplaining the use of course, including course made good, course to make good, track and heading</w:t>
            </w:r>
          </w:p>
          <w:p w:rsidR="00000000" w:rsidRPr="00F01A1E" w:rsidP="00F01A1E">
            <w:pPr>
              <w:pStyle w:val="ListBullet"/>
            </w:pPr>
            <w:r w:rsidRPr="00F01A1E">
              <w:t>explaining true and magnetic courses, including:</w:t>
            </w:r>
          </w:p>
          <w:p w:rsidR="00000000" w:rsidRPr="00F01A1E" w:rsidP="00F01A1E">
            <w:pPr>
              <w:pStyle w:val="ListBullet2"/>
            </w:pPr>
            <w:r w:rsidRPr="00F01A1E">
              <w:t>laying of a true course</w:t>
            </w:r>
          </w:p>
          <w:p w:rsidR="00000000" w:rsidRPr="00F01A1E" w:rsidP="00F01A1E">
            <w:pPr>
              <w:pStyle w:val="ListBullet2"/>
            </w:pPr>
            <w:r w:rsidRPr="00F01A1E">
              <w:t>Dead Reckoning (DR) positions</w:t>
            </w:r>
          </w:p>
          <w:p w:rsidR="00000000" w:rsidRPr="00F01A1E" w:rsidP="00F01A1E">
            <w:pPr>
              <w:pStyle w:val="ListBullet2"/>
            </w:pPr>
            <w:r w:rsidRPr="00F01A1E">
              <w:t>compass and magnetic courses</w:t>
            </w:r>
          </w:p>
          <w:p w:rsidR="00000000" w:rsidRPr="00F01A1E" w:rsidP="00F01A1E">
            <w:pPr>
              <w:pStyle w:val="ListBullet"/>
            </w:pPr>
            <w:r w:rsidRPr="00F01A1E">
              <w:t>explaining the effect of t</w:t>
            </w:r>
            <w:r w:rsidRPr="00F01A1E">
              <w:t>ides, tidal streams and currents on vessel movements in the VTS area, including:</w:t>
            </w:r>
          </w:p>
          <w:p w:rsidR="00000000" w:rsidRPr="00F01A1E" w:rsidP="00F01A1E">
            <w:pPr>
              <w:pStyle w:val="ListBullet2"/>
            </w:pPr>
            <w:r w:rsidRPr="00F01A1E">
              <w:t>using tide and current tide tables</w:t>
            </w:r>
          </w:p>
          <w:p w:rsidR="00000000" w:rsidRPr="00F01A1E" w:rsidP="00F01A1E">
            <w:pPr>
              <w:pStyle w:val="ListBullet2"/>
            </w:pPr>
            <w:r w:rsidRPr="00F01A1E">
              <w:t>using tidal streams to calculate Estimated Position (EP)</w:t>
            </w:r>
          </w:p>
          <w:p w:rsidR="00000000" w:rsidRPr="00F01A1E" w:rsidP="00F01A1E">
            <w:pPr>
              <w:pStyle w:val="ListBullet"/>
            </w:pPr>
            <w:r w:rsidRPr="00F01A1E">
              <w:t>explaining a port operating environment including allied services, other relevant</w:t>
            </w:r>
            <w:r w:rsidRPr="00F01A1E">
              <w:t xml:space="preserve"> organisations and stakeholders</w:t>
            </w:r>
          </w:p>
          <w:p w:rsidR="00000000" w:rsidRPr="00F01A1E" w:rsidP="00F01A1E">
            <w:pPr>
              <w:pStyle w:val="ListBullet"/>
            </w:pPr>
            <w:r w:rsidRPr="00F01A1E">
              <w:t xml:space="preserve">explaining the fundamental principles of relevant sections of the COLREGS </w:t>
            </w:r>
          </w:p>
          <w:p w:rsidR="00000000" w:rsidRPr="00F01A1E" w:rsidP="00F01A1E">
            <w:pPr>
              <w:pStyle w:val="ListBullet"/>
            </w:pPr>
            <w:r w:rsidRPr="00F01A1E">
              <w:t xml:space="preserve">performing speed, distance and time calculations </w:t>
            </w:r>
          </w:p>
          <w:p w:rsidR="00000000" w:rsidRPr="00F01A1E" w:rsidP="00F01A1E">
            <w:pPr>
              <w:pStyle w:val="ListBullet"/>
            </w:pPr>
            <w:r w:rsidRPr="00F01A1E">
              <w:t>plotting positions on charts, including using chart symbols, basic plotting instruments and using v</w:t>
            </w:r>
            <w:r w:rsidRPr="00F01A1E">
              <w:t xml:space="preserve">arious projections as appropriate. </w:t>
            </w:r>
          </w:p>
        </w:tc>
      </w:tr>
    </w:tbl>
    <w:p w:rsidR="002448B9" w:rsidP="00F01A1E">
      <w:pPr>
        <w:pStyle w:val="NoPaddingFontSize1"/>
      </w:pPr>
    </w:p>
    <w:p w:rsidR="002448B9" w:rsidP="00F01A1E">
      <w:pPr>
        <w:pStyle w:val="NoPaddingFontSize1"/>
      </w:pPr>
    </w:p>
    <w:p w:rsidR="00000000" w:rsidRPr="00F01A1E" w:rsidP="00F01A1E">
      <w:pPr>
        <w:pStyle w:val="Heading1"/>
      </w:pPr>
      <w:bookmarkStart w:id="3" w:name="O_1233781"/>
      <w:bookmarkEnd w:id="3"/>
      <w:r w:rsidRPr="00F01A1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1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A1E">
            <w:pPr>
              <w:pStyle w:val="BodyText"/>
              <w:rPr>
                <w:lang w:val="en-NZ"/>
              </w:rPr>
            </w:pPr>
            <w:r w:rsidRPr="00F01A1E">
              <w:t xml:space="preserve">Evidence required to demonstrate competence in this unit must be relevant to and satisfy all of the requirements of the elements and performance </w:t>
            </w:r>
            <w:r w:rsidRPr="00F01A1E">
              <w:t xml:space="preserve">criteria and include knowledge of: </w:t>
            </w:r>
          </w:p>
        </w:tc>
      </w:tr>
      <w:tr w:rsidTr="00F01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A1E" w:rsidP="00F01A1E">
            <w:pPr>
              <w:pStyle w:val="ListBullet"/>
            </w:pPr>
            <w:r w:rsidRPr="00F01A1E">
              <w:t>chartwork, including:</w:t>
            </w:r>
          </w:p>
          <w:p w:rsidR="00000000" w:rsidRPr="00F01A1E" w:rsidP="00F01A1E">
            <w:pPr>
              <w:pStyle w:val="ListBullet2"/>
            </w:pPr>
            <w:r w:rsidRPr="00F01A1E">
              <w:t xml:space="preserve">chart and publication correction </w:t>
            </w:r>
          </w:p>
          <w:p w:rsidR="00000000" w:rsidRPr="00F01A1E" w:rsidP="00F01A1E">
            <w:pPr>
              <w:pStyle w:val="ListBullet2"/>
            </w:pPr>
            <w:r w:rsidRPr="00F01A1E">
              <w:t xml:space="preserve">use of electronic and paper navigational charts </w:t>
            </w:r>
          </w:p>
          <w:p w:rsidR="00000000" w:rsidRPr="00F01A1E" w:rsidP="00F01A1E">
            <w:pPr>
              <w:pStyle w:val="ListBullet2"/>
            </w:pPr>
            <w:r w:rsidRPr="00F01A1E">
              <w:t xml:space="preserve">plotting positions of ships on charts </w:t>
            </w:r>
          </w:p>
          <w:p w:rsidR="00000000" w:rsidRPr="00F01A1E" w:rsidP="00F01A1E">
            <w:pPr>
              <w:pStyle w:val="ListBullet2"/>
            </w:pPr>
            <w:r w:rsidRPr="00F01A1E">
              <w:t>speed, distance and time calculations</w:t>
            </w:r>
          </w:p>
          <w:p w:rsidR="00000000" w:rsidRPr="00F01A1E" w:rsidP="00F01A1E">
            <w:pPr>
              <w:pStyle w:val="ListBullet2"/>
            </w:pPr>
            <w:r w:rsidRPr="00F01A1E">
              <w:t>theory and use of true and magnetic courses</w:t>
            </w:r>
          </w:p>
          <w:p w:rsidR="00000000" w:rsidRPr="00F01A1E" w:rsidP="00F01A1E">
            <w:pPr>
              <w:pStyle w:val="ListBullet2"/>
            </w:pPr>
            <w:r w:rsidRPr="00F01A1E">
              <w:t>importance of passage planning, including contingency planning</w:t>
            </w:r>
          </w:p>
          <w:p w:rsidR="00000000" w:rsidRPr="00F01A1E" w:rsidP="00F01A1E">
            <w:pPr>
              <w:pStyle w:val="ListBullet2"/>
            </w:pPr>
            <w:r w:rsidRPr="00F01A1E">
              <w:t xml:space="preserve">tides, tidal streams and currents on vessel movements </w:t>
            </w:r>
          </w:p>
          <w:p w:rsidR="00000000" w:rsidRPr="00F01A1E" w:rsidP="00F01A1E">
            <w:pPr>
              <w:pStyle w:val="ListBullet"/>
            </w:pPr>
            <w:r w:rsidRPr="00F01A1E">
              <w:t>collision regulations, including:</w:t>
            </w:r>
          </w:p>
          <w:p w:rsidR="00000000" w:rsidRPr="00F01A1E" w:rsidP="00F01A1E">
            <w:pPr>
              <w:pStyle w:val="ListBullet2"/>
            </w:pPr>
            <w:r w:rsidRPr="00F01A1E">
              <w:t>relevant sections of COLREGS and their application in a VT</w:t>
            </w:r>
            <w:r w:rsidRPr="00F01A1E">
              <w:t>S, area, including:</w:t>
            </w:r>
          </w:p>
          <w:p w:rsidR="00000000" w:rsidRPr="00F01A1E" w:rsidP="00F01A1E">
            <w:pPr>
              <w:pStyle w:val="ListBullet3"/>
            </w:pPr>
            <w:r w:rsidRPr="00F01A1E">
              <w:t>overview of COLREGS (Part A, B, C, D, E, F)</w:t>
            </w:r>
          </w:p>
          <w:p w:rsidR="00000000" w:rsidRPr="00F01A1E" w:rsidP="00F01A1E">
            <w:pPr>
              <w:pStyle w:val="ListBullet3"/>
            </w:pPr>
            <w:r w:rsidRPr="00F01A1E">
              <w:t>Part A – General</w:t>
            </w:r>
          </w:p>
          <w:p w:rsidR="00000000" w:rsidRPr="00F01A1E" w:rsidP="00F01A1E">
            <w:pPr>
              <w:pStyle w:val="ListBullet3"/>
            </w:pPr>
            <w:r w:rsidRPr="00F01A1E">
              <w:t>international distress signals (annex IV to the COLREGS)</w:t>
            </w:r>
          </w:p>
          <w:p w:rsidR="00000000" w:rsidRPr="00F01A1E" w:rsidP="00F01A1E">
            <w:pPr>
              <w:pStyle w:val="ListBullet3"/>
            </w:pPr>
            <w:r w:rsidRPr="00F01A1E">
              <w:t>enforcement of COLREGS</w:t>
            </w:r>
          </w:p>
          <w:p w:rsidR="00000000" w:rsidRPr="00F01A1E" w:rsidP="00F01A1E">
            <w:pPr>
              <w:pStyle w:val="ListBullet3"/>
            </w:pPr>
            <w:r w:rsidRPr="00F01A1E">
              <w:t>Part B – Steering and sailing rules</w:t>
            </w:r>
          </w:p>
          <w:p w:rsidR="00000000" w:rsidRPr="00F01A1E" w:rsidP="00F01A1E">
            <w:pPr>
              <w:pStyle w:val="ListBullet3"/>
            </w:pPr>
            <w:r w:rsidRPr="00F01A1E">
              <w:t>conduct of vessel in specific conditions, including reduced visibility, narrow channels and traffic separation schemes</w:t>
            </w:r>
          </w:p>
          <w:p w:rsidR="00000000" w:rsidRPr="00F01A1E" w:rsidP="00F01A1E">
            <w:pPr>
              <w:pStyle w:val="ListBullet"/>
            </w:pPr>
            <w:r w:rsidRPr="00F01A1E">
              <w:t>navigation and aids to navigation, including:</w:t>
            </w:r>
          </w:p>
          <w:p w:rsidR="00000000" w:rsidRPr="00F01A1E" w:rsidP="00F01A1E">
            <w:pPr>
              <w:pStyle w:val="ListBullet2"/>
            </w:pPr>
            <w:r w:rsidRPr="00F01A1E">
              <w:t>basics of the International Maritime Buoyage System, including:</w:t>
            </w:r>
          </w:p>
          <w:p w:rsidR="00000000" w:rsidRPr="00F01A1E" w:rsidP="00F01A1E">
            <w:pPr>
              <w:pStyle w:val="ListBullet2"/>
            </w:pPr>
            <w:r w:rsidRPr="00F01A1E">
              <w:t>global navigation satellite system (GNSS) and differential GNSS (DGNSS)</w:t>
            </w:r>
          </w:p>
          <w:p w:rsidR="00000000" w:rsidRPr="00F01A1E" w:rsidP="00F01A1E">
            <w:pPr>
              <w:pStyle w:val="ListBullet2"/>
            </w:pPr>
            <w:r w:rsidRPr="00F01A1E">
              <w:t xml:space="preserve">radar beacons (RACONS/remarks) </w:t>
            </w:r>
          </w:p>
          <w:p w:rsidR="00000000" w:rsidRPr="00F01A1E" w:rsidP="00F01A1E">
            <w:pPr>
              <w:pStyle w:val="ListBullet2"/>
            </w:pPr>
            <w:r w:rsidRPr="00F01A1E">
              <w:t>regulations relevant to buoyage systems</w:t>
            </w:r>
          </w:p>
          <w:p w:rsidR="00000000" w:rsidRPr="00F01A1E" w:rsidP="00F01A1E">
            <w:pPr>
              <w:pStyle w:val="ListBullet2"/>
            </w:pPr>
            <w:r w:rsidRPr="00F01A1E">
              <w:t xml:space="preserve">theory and use of virtual aids to navigation </w:t>
            </w:r>
          </w:p>
          <w:p w:rsidR="00000000" w:rsidRPr="00F01A1E" w:rsidP="00F01A1E">
            <w:pPr>
              <w:pStyle w:val="ListBullet"/>
            </w:pPr>
            <w:r w:rsidRPr="00F01A1E">
              <w:t>navigation and navigational aids (shipborne), including:</w:t>
            </w:r>
          </w:p>
          <w:p w:rsidR="00000000" w:rsidRPr="00F01A1E" w:rsidP="00F01A1E">
            <w:pPr>
              <w:pStyle w:val="ListBullet2"/>
            </w:pPr>
            <w:r w:rsidRPr="00F01A1E">
              <w:t xml:space="preserve">theory </w:t>
            </w:r>
            <w:r w:rsidRPr="00F01A1E">
              <w:t>of radar and use of radar on board ships</w:t>
            </w:r>
          </w:p>
          <w:p w:rsidR="00000000" w:rsidRPr="00F01A1E" w:rsidP="00F01A1E">
            <w:pPr>
              <w:pStyle w:val="ListBullet2"/>
            </w:pPr>
            <w:r w:rsidRPr="00F01A1E">
              <w:t>theory and use of gyro and magnetic compasses on board vessels</w:t>
            </w:r>
          </w:p>
          <w:p w:rsidR="00000000" w:rsidRPr="00F01A1E" w:rsidP="00F01A1E">
            <w:pPr>
              <w:pStyle w:val="ListBullet2"/>
            </w:pPr>
            <w:r w:rsidRPr="00F01A1E">
              <w:t xml:space="preserve">theory and use of other navigational aids </w:t>
            </w:r>
          </w:p>
          <w:p w:rsidR="00000000" w:rsidRPr="00F01A1E" w:rsidP="00F01A1E">
            <w:pPr>
              <w:pStyle w:val="ListBullet2"/>
            </w:pPr>
            <w:r w:rsidRPr="00F01A1E">
              <w:t>port operating environment, including allied services and other relevant organisations and stakeholders, incl</w:t>
            </w:r>
            <w:r w:rsidRPr="00F01A1E">
              <w:t>uding International Ship and Port Facility Security Code (ISPS) code in relation to ship and port security</w:t>
            </w:r>
          </w:p>
          <w:p w:rsidR="00000000" w:rsidRPr="00F01A1E" w:rsidP="00F01A1E">
            <w:pPr>
              <w:pStyle w:val="ListBullet"/>
            </w:pPr>
            <w:r w:rsidRPr="00F01A1E">
              <w:t>shipboard knowledge, including:</w:t>
            </w:r>
          </w:p>
          <w:p w:rsidR="00000000" w:rsidRPr="00F01A1E" w:rsidP="00F01A1E">
            <w:pPr>
              <w:pStyle w:val="ListBullet2"/>
            </w:pPr>
            <w:r w:rsidRPr="00F01A1E">
              <w:t xml:space="preserve">different types of vessels and cargo, including International Maritime Dangerous Goods (IMDG) Code </w:t>
            </w:r>
          </w:p>
          <w:p w:rsidR="00000000" w:rsidRPr="00F01A1E" w:rsidP="00F01A1E">
            <w:pPr>
              <w:pStyle w:val="ListBullet2"/>
            </w:pPr>
            <w:r w:rsidRPr="00F01A1E">
              <w:t>external forces</w:t>
            </w:r>
            <w:r w:rsidRPr="00F01A1E">
              <w:t xml:space="preserve"> on vessels</w:t>
            </w:r>
          </w:p>
          <w:p w:rsidR="00000000" w:rsidRPr="00F01A1E" w:rsidP="00F01A1E">
            <w:pPr>
              <w:pStyle w:val="ListBullet2"/>
            </w:pPr>
            <w:r w:rsidRPr="00F01A1E">
              <w:t>ship movement and ship stability, including list and ship stability</w:t>
            </w:r>
          </w:p>
          <w:p w:rsidR="00000000" w:rsidRPr="00F01A1E" w:rsidP="00F01A1E">
            <w:pPr>
              <w:pStyle w:val="ListBullet2"/>
            </w:pPr>
            <w:r w:rsidRPr="00F01A1E">
              <w:t>propulsion systems</w:t>
            </w:r>
          </w:p>
          <w:p w:rsidR="00000000" w:rsidRPr="00F01A1E" w:rsidP="00F01A1E">
            <w:pPr>
              <w:pStyle w:val="ListBullet2"/>
            </w:pPr>
            <w:r w:rsidRPr="00F01A1E">
              <w:t xml:space="preserve">ship handling </w:t>
            </w:r>
          </w:p>
          <w:p w:rsidR="00000000" w:rsidRPr="00F01A1E" w:rsidP="00F01A1E">
            <w:pPr>
              <w:pStyle w:val="ListBullet2"/>
            </w:pPr>
            <w:r w:rsidRPr="00F01A1E">
              <w:t>ship terminology (technical and nautical phrases)</w:t>
            </w:r>
          </w:p>
          <w:p w:rsidR="00000000" w:rsidRPr="00F01A1E" w:rsidP="00F01A1E">
            <w:pPr>
              <w:pStyle w:val="ListBullet2"/>
            </w:pPr>
            <w:r w:rsidRPr="00F01A1E">
              <w:t>theory and practice of ship handling</w:t>
            </w:r>
          </w:p>
          <w:p w:rsidR="00000000" w:rsidRPr="00F01A1E" w:rsidP="00F01A1E">
            <w:pPr>
              <w:pStyle w:val="ListBullet2"/>
            </w:pPr>
            <w:r w:rsidRPr="00F01A1E">
              <w:t>vessel bridge procedures.</w:t>
            </w:r>
          </w:p>
        </w:tc>
      </w:tr>
    </w:tbl>
    <w:p w:rsidR="002448B9" w:rsidP="00F01A1E">
      <w:pPr>
        <w:pStyle w:val="NoPaddingFontSize1"/>
      </w:pPr>
    </w:p>
    <w:p w:rsidR="002448B9" w:rsidP="00F01A1E">
      <w:pPr>
        <w:pStyle w:val="NoPaddingFontSize1"/>
      </w:pPr>
    </w:p>
    <w:p w:rsidR="00000000" w:rsidRPr="00F01A1E" w:rsidP="00F01A1E">
      <w:pPr>
        <w:pStyle w:val="Heading1"/>
      </w:pPr>
      <w:bookmarkStart w:id="4" w:name="O_1233782"/>
      <w:bookmarkEnd w:id="4"/>
      <w:r w:rsidRPr="00F01A1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1A1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A1E" w:rsidP="00F01A1E">
            <w:pPr>
              <w:pStyle w:val="BodyText"/>
            </w:pPr>
            <w:r w:rsidRPr="00F01A1E">
              <w:t xml:space="preserve">Assessors must hold credentials specified within the Standards for Registered Training Organisations current at the time of assessment. </w:t>
            </w:r>
          </w:p>
          <w:p w:rsidR="00000000" w:rsidRPr="00F01A1E" w:rsidP="00F01A1E">
            <w:pPr>
              <w:pStyle w:val="BodyText"/>
            </w:pPr>
            <w:r w:rsidRPr="00F01A1E">
              <w:t>Assessment must satisfy the Principles of Assessment and Rules of Evidence and all regulatory req</w:t>
            </w:r>
            <w:r w:rsidRPr="00F01A1E">
              <w:t>uirements included within the Standards for Registered Training Organisations current at the time of assessment.</w:t>
            </w:r>
          </w:p>
          <w:p w:rsidR="00000000" w:rsidRPr="00F01A1E" w:rsidP="00F01A1E">
            <w:pPr>
              <w:pStyle w:val="BodyText"/>
            </w:pPr>
            <w:r w:rsidRPr="00F01A1E">
              <w:t>Assessment processes and techniques must be appropriate to the language, literacy and numeracy requirements of the work being performed and the</w:t>
            </w:r>
            <w:r w:rsidRPr="00F01A1E">
              <w:t xml:space="preserve"> needs of the candidate.</w:t>
            </w:r>
          </w:p>
          <w:p w:rsidR="00000000" w:rsidRPr="00F01A1E" w:rsidP="00F01A1E">
            <w:pPr>
              <w:pStyle w:val="BodyText"/>
            </w:pPr>
            <w:r w:rsidRPr="00F01A1E">
              <w:t>Assessment must occur in workplace operational situations, where this is not appropriate, assessment must occur in simulated workplace operational situations that replicate workplace conditions.</w:t>
            </w:r>
          </w:p>
          <w:p w:rsidR="00000000" w:rsidRPr="00F01A1E" w:rsidP="00F01A1E">
            <w:pPr>
              <w:pStyle w:val="BodyText"/>
            </w:pPr>
            <w:r w:rsidRPr="00F01A1E">
              <w:t>Resources for assessment must includ</w:t>
            </w:r>
            <w:r w:rsidRPr="00F01A1E">
              <w:t>e access to:</w:t>
            </w:r>
          </w:p>
          <w:p w:rsidR="00000000" w:rsidRPr="00F01A1E" w:rsidP="00F01A1E">
            <w:pPr>
              <w:pStyle w:val="ListBullet"/>
            </w:pPr>
            <w:r w:rsidRPr="00F01A1E">
              <w:t>applicable documentation such as policies, workplace procedures, codes of practice, operation manuals, relevant sections of COLREGS, navigational charts (electronic and paper) and publications.</w:t>
            </w:r>
          </w:p>
        </w:tc>
      </w:tr>
    </w:tbl>
    <w:p w:rsidR="00000000" w:rsidRPr="00F01A1E" w:rsidP="00F01A1E">
      <w:pPr>
        <w:pStyle w:val="NoPaddingFontSize1"/>
      </w:pPr>
    </w:p>
    <w:p w:rsidR="00000000" w:rsidRPr="00F01A1E" w:rsidP="00F01A1E">
      <w:pPr>
        <w:pStyle w:val="AllowPageBreak"/>
      </w:pPr>
    </w:p>
    <w:p w:rsidR="00000000" w:rsidRPr="00F01A1E" w:rsidP="00F01A1E">
      <w:pPr>
        <w:pStyle w:val="Heading1"/>
      </w:pPr>
      <w:bookmarkStart w:id="5" w:name="O_1233785"/>
      <w:bookmarkEnd w:id="5"/>
      <w:r w:rsidRPr="00F01A1E">
        <w:t>Links</w:t>
      </w:r>
    </w:p>
    <w:p w:rsidR="00000000" w:rsidRPr="00F01A1E" w:rsidP="002448B9">
      <w:pPr>
        <w:pStyle w:val="BodyText"/>
      </w:pPr>
      <w:r w:rsidRPr="00F01A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4C4F62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01A1E" w:rsidP="00F01A1E"/>
    <w:sectPr w:rsidSect="00F01A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1E" w:rsidRPr="002448B9" w:rsidP="002448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8B9" w:rsidP="00F01A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48B9" w:rsidP="00F01A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448B9" w:rsidP="00F01A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8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1A1E" w:rsidRPr="002448B9" w:rsidP="002448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A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8B9" w:rsidRPr="002D2AF8" w:rsidP="00F01A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MARF052 Apply nautical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2448B9" w:rsidP="00F01A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50D5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92A3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FE3E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A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A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A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A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A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A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A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A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A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A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A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A1E"/>
  </w:style>
  <w:style w:type="character" w:customStyle="1" w:styleId="Heading1Char">
    <w:name w:val="Heading 1 Char"/>
    <w:basedOn w:val="DefaultParagraphFont"/>
    <w:link w:val="Heading1"/>
    <w:rsid w:val="00F01A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A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A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1A1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1A1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1A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1A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01A1E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01A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A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A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A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A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A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A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A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A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A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A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A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A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A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A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A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A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A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1A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1A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1A1E"/>
    <w:rPr>
      <w:b/>
      <w:spacing w:val="0"/>
    </w:rPr>
  </w:style>
  <w:style w:type="paragraph" w:customStyle="1" w:styleId="SuperTitle">
    <w:name w:val="SuperTitle"/>
    <w:basedOn w:val="Title"/>
    <w:rsid w:val="00F01A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A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A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1A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A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A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A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A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A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A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A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A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1A1E"/>
    <w:rPr>
      <w:i/>
    </w:rPr>
  </w:style>
  <w:style w:type="paragraph" w:styleId="Caption">
    <w:name w:val="caption"/>
    <w:basedOn w:val="BodyText"/>
    <w:next w:val="Normal"/>
    <w:qFormat/>
    <w:rsid w:val="00F01A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A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A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A1E"/>
  </w:style>
  <w:style w:type="paragraph" w:styleId="TableofFigures">
    <w:name w:val="table of figures"/>
    <w:basedOn w:val="Normal"/>
    <w:next w:val="Normal"/>
    <w:semiHidden/>
    <w:rsid w:val="00F01A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A1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01A1E"/>
    <w:rPr>
      <w:rFonts w:ascii="Wingdings" w:hAnsi="Wingdings"/>
    </w:rPr>
  </w:style>
  <w:style w:type="paragraph" w:customStyle="1" w:styleId="TableHeading">
    <w:name w:val="Table Heading"/>
    <w:basedOn w:val="HeadingBase"/>
    <w:rsid w:val="00F01A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A1E"/>
    <w:rPr>
      <w:color w:val="0033CC"/>
      <w:u w:val="none"/>
    </w:rPr>
  </w:style>
  <w:style w:type="paragraph" w:customStyle="1" w:styleId="BodyTextRight">
    <w:name w:val="Body Text Right"/>
    <w:basedOn w:val="BodyText"/>
    <w:rsid w:val="00F01A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A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A1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A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A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A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A1E"/>
    <w:rPr>
      <w:sz w:val="32"/>
    </w:rPr>
  </w:style>
  <w:style w:type="paragraph" w:customStyle="1" w:styleId="HeadingProcedure">
    <w:name w:val="Heading Procedure"/>
    <w:basedOn w:val="HeadingBase"/>
    <w:next w:val="Normal"/>
    <w:rsid w:val="00F01A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A1E"/>
    <w:pPr>
      <w:spacing w:before="60" w:after="60"/>
    </w:pPr>
  </w:style>
  <w:style w:type="paragraph" w:styleId="ListContinue">
    <w:name w:val="List Continue"/>
    <w:basedOn w:val="List"/>
    <w:rsid w:val="00F01A1E"/>
    <w:pPr>
      <w:ind w:firstLine="0"/>
    </w:pPr>
  </w:style>
  <w:style w:type="paragraph" w:customStyle="1" w:styleId="ListNote">
    <w:name w:val="List Note"/>
    <w:basedOn w:val="List"/>
    <w:rsid w:val="00F01A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A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A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A1E"/>
    <w:rPr>
      <w:rFonts w:ascii="Courier New" w:hAnsi="Courier New"/>
    </w:rPr>
  </w:style>
  <w:style w:type="paragraph" w:customStyle="1" w:styleId="NoteBullet">
    <w:name w:val="Note Bullet"/>
    <w:basedOn w:val="Note"/>
    <w:rsid w:val="00F01A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A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A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A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A1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01A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A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A1E"/>
    <w:rPr>
      <w:b/>
      <w:smallCaps/>
    </w:rPr>
  </w:style>
  <w:style w:type="paragraph" w:customStyle="1" w:styleId="TableListNumber">
    <w:name w:val="Table List Number"/>
    <w:basedOn w:val="ListNumber"/>
    <w:rsid w:val="00F01A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A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A1E"/>
    <w:pPr>
      <w:numPr>
        <w:numId w:val="10"/>
      </w:numPr>
    </w:pPr>
  </w:style>
  <w:style w:type="paragraph" w:customStyle="1" w:styleId="ListAlpha2">
    <w:name w:val="List Alpha 2"/>
    <w:basedOn w:val="List2"/>
    <w:rsid w:val="00F01A1E"/>
    <w:pPr>
      <w:numPr>
        <w:numId w:val="9"/>
      </w:numPr>
    </w:pPr>
  </w:style>
  <w:style w:type="paragraph" w:styleId="List2">
    <w:name w:val="List 2"/>
    <w:basedOn w:val="BodyText"/>
    <w:rsid w:val="00F01A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1A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A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A1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01A1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01A1E"/>
    <w:pPr>
      <w:numPr>
        <w:numId w:val="5"/>
      </w:numPr>
    </w:pPr>
  </w:style>
  <w:style w:type="paragraph" w:styleId="ListContinue2">
    <w:name w:val="List Continue 2"/>
    <w:basedOn w:val="List2"/>
    <w:rsid w:val="00F01A1E"/>
    <w:pPr>
      <w:ind w:firstLine="0"/>
    </w:pPr>
  </w:style>
  <w:style w:type="paragraph" w:styleId="ListContinue3">
    <w:name w:val="List Continue 3"/>
    <w:basedOn w:val="List3"/>
    <w:rsid w:val="00F01A1E"/>
    <w:pPr>
      <w:ind w:left="1021" w:firstLine="0"/>
    </w:pPr>
  </w:style>
  <w:style w:type="paragraph" w:styleId="ListContinue4">
    <w:name w:val="List Continue 4"/>
    <w:basedOn w:val="List4"/>
    <w:rsid w:val="00F01A1E"/>
    <w:pPr>
      <w:ind w:firstLine="0"/>
    </w:pPr>
  </w:style>
  <w:style w:type="paragraph" w:styleId="ListContinue5">
    <w:name w:val="List Continue 5"/>
    <w:basedOn w:val="List5"/>
    <w:rsid w:val="00F01A1E"/>
    <w:pPr>
      <w:ind w:firstLine="0"/>
    </w:pPr>
  </w:style>
  <w:style w:type="paragraph" w:styleId="ListNumber3">
    <w:name w:val="List Number 3"/>
    <w:basedOn w:val="List3"/>
    <w:rsid w:val="00F01A1E"/>
    <w:pPr>
      <w:numPr>
        <w:numId w:val="6"/>
      </w:numPr>
    </w:pPr>
  </w:style>
  <w:style w:type="paragraph" w:styleId="ListNumber4">
    <w:name w:val="List Number 4"/>
    <w:basedOn w:val="List4"/>
    <w:rsid w:val="00F01A1E"/>
    <w:pPr>
      <w:numPr>
        <w:numId w:val="7"/>
      </w:numPr>
    </w:pPr>
  </w:style>
  <w:style w:type="paragraph" w:styleId="ListNumber5">
    <w:name w:val="List Number 5"/>
    <w:basedOn w:val="List5"/>
    <w:rsid w:val="00F01A1E"/>
    <w:pPr>
      <w:numPr>
        <w:numId w:val="8"/>
      </w:numPr>
    </w:pPr>
  </w:style>
  <w:style w:type="paragraph" w:styleId="BlockText">
    <w:name w:val="Block Text"/>
    <w:basedOn w:val="Normal"/>
    <w:rsid w:val="00F01A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A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A1E"/>
    <w:rPr>
      <w:sz w:val="16"/>
      <w:vertAlign w:val="superscript"/>
    </w:rPr>
  </w:style>
  <w:style w:type="character" w:customStyle="1" w:styleId="Symbols">
    <w:name w:val="Symbols"/>
    <w:basedOn w:val="DefaultParagraphFont"/>
    <w:rsid w:val="00F01A1E"/>
    <w:rPr>
      <w:rFonts w:ascii="Symbol" w:hAnsi="Symbol"/>
    </w:rPr>
  </w:style>
  <w:style w:type="character" w:customStyle="1" w:styleId="MenuOptions">
    <w:name w:val="Menu Options"/>
    <w:basedOn w:val="DefaultParagraphFont"/>
    <w:rsid w:val="00F01A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A1E"/>
    <w:rPr>
      <w:b/>
    </w:rPr>
  </w:style>
  <w:style w:type="character" w:customStyle="1" w:styleId="Underlined">
    <w:name w:val="Underlined"/>
    <w:basedOn w:val="DefaultParagraphFont"/>
    <w:rsid w:val="00F01A1E"/>
    <w:rPr>
      <w:u w:val="single"/>
    </w:rPr>
  </w:style>
  <w:style w:type="paragraph" w:customStyle="1" w:styleId="TableBodyTextRight">
    <w:name w:val="Table Body Text Right"/>
    <w:basedOn w:val="TableBodyText"/>
    <w:rsid w:val="00F01A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A1E"/>
    <w:rPr>
      <w:sz w:val="18"/>
    </w:rPr>
  </w:style>
  <w:style w:type="paragraph" w:customStyle="1" w:styleId="BodySmallRight">
    <w:name w:val="Body Small Right"/>
    <w:basedOn w:val="BodyTextRight"/>
    <w:rsid w:val="00F01A1E"/>
    <w:rPr>
      <w:sz w:val="18"/>
      <w:szCs w:val="18"/>
    </w:rPr>
  </w:style>
  <w:style w:type="paragraph" w:customStyle="1" w:styleId="MarginEdition">
    <w:name w:val="Margin Edition"/>
    <w:basedOn w:val="MarginNote"/>
    <w:rsid w:val="00F01A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A1E"/>
    <w:rPr>
      <w:sz w:val="2"/>
      <w:szCs w:val="2"/>
    </w:rPr>
  </w:style>
  <w:style w:type="character" w:customStyle="1" w:styleId="Small">
    <w:name w:val="Small"/>
    <w:basedOn w:val="DefaultParagraphFont"/>
    <w:rsid w:val="00F01A1E"/>
    <w:rPr>
      <w:sz w:val="16"/>
    </w:rPr>
  </w:style>
  <w:style w:type="paragraph" w:customStyle="1" w:styleId="WideTable">
    <w:name w:val="Wide Table"/>
    <w:basedOn w:val="Normal"/>
    <w:rsid w:val="00F01A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A1E"/>
  </w:style>
  <w:style w:type="paragraph" w:styleId="Quote">
    <w:name w:val="Quote"/>
    <w:basedOn w:val="Heading1"/>
    <w:link w:val="QuoteChar"/>
    <w:qFormat/>
    <w:rsid w:val="00F01A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A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A1E"/>
    <w:pPr>
      <w:pageBreakBefore/>
    </w:pPr>
  </w:style>
  <w:style w:type="paragraph" w:customStyle="1" w:styleId="Border">
    <w:name w:val="Border"/>
    <w:basedOn w:val="Normal"/>
    <w:qFormat/>
    <w:rsid w:val="00F01A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A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A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A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A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A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A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A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A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A1E"/>
    <w:rPr>
      <w:u w:val="single"/>
    </w:rPr>
  </w:style>
  <w:style w:type="character" w:customStyle="1" w:styleId="BoldandItalics">
    <w:name w:val="Bold and Italics"/>
    <w:qFormat/>
    <w:rsid w:val="00F01A1E"/>
    <w:rPr>
      <w:b/>
      <w:i/>
      <w:u w:val="none"/>
    </w:rPr>
  </w:style>
  <w:style w:type="paragraph" w:styleId="BalloonText">
    <w:name w:val="Balloon Text"/>
    <w:basedOn w:val="Normal"/>
    <w:link w:val="BalloonTextChar"/>
    <w:rsid w:val="00F01A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A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A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A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A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A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1A1E"/>
    <w:pPr>
      <w:spacing w:before="0" w:after="0"/>
    </w:pPr>
  </w:style>
  <w:style w:type="paragraph" w:customStyle="1" w:styleId="BodyTextBold">
    <w:name w:val="Body Text Bold"/>
    <w:basedOn w:val="BodyText"/>
    <w:qFormat/>
    <w:rsid w:val="00F01A1E"/>
    <w:rPr>
      <w:b/>
    </w:rPr>
  </w:style>
  <w:style w:type="character" w:styleId="Hyperlink">
    <w:name w:val="Hyperlink"/>
    <w:basedOn w:val="DefaultParagraphFont"/>
    <w:uiPriority w:val="99"/>
    <w:unhideWhenUsed/>
    <w:rsid w:val="002448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4307</Characters>
  <Application>Microsoft Office Word</Application>
  <DocSecurity>0</DocSecurity>
  <Lines>107</Lines>
  <Paragraphs>83</Paragraphs>
  <ScaleCrop>false</ScaleCrop>
  <Company>Author-it Software Corporation Ltd.</Company>
  <LinksUpToDate>false</LinksUpToDate>
  <CharactersWithSpaces>4898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MARF052 Apply nautical knowledge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2022-12-20T01:22:00Z</dcterms:created>
  <dcterms:modified xsi:type="dcterms:W3CDTF">2022-12-20T01:22:00Z</dcterms:modified>
</cp:coreProperties>
</file>