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066" w:rsidP="00390066">
      <w:pPr>
        <w:pStyle w:val="Title"/>
      </w:pPr>
      <w:r>
        <w:fldChar w:fldCharType="begin"/>
      </w:r>
      <w:r>
        <w:instrText xml:space="preserve"> TITLE   \* MERGEFORMAT </w:instrText>
      </w:r>
      <w:r>
        <w:fldChar w:fldCharType="separate"/>
      </w:r>
      <w:r>
        <w:t>MARF047 Monitor compliance with legislative requirements</w:t>
      </w:r>
      <w:r>
        <w:fldChar w:fldCharType="end"/>
      </w:r>
    </w:p>
    <w:p w:rsidR="00390066" w:rsidP="00390066">
      <w:pPr>
        <w:pStyle w:val="Version"/>
        <w:sectPr w:rsidSect="00121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10FE" w:rsidP="001210FE">
      <w:pPr>
        <w:pStyle w:val="SuperHeading"/>
      </w:pPr>
      <w:r w:rsidRPr="001210FE">
        <w:t>MARF047 Monitor compliance with legislative requirements</w:t>
      </w:r>
    </w:p>
    <w:p w:rsidR="00000000" w:rsidRPr="001210FE" w:rsidP="001210FE">
      <w:pPr>
        <w:pStyle w:val="Heading1"/>
      </w:pPr>
      <w:bookmarkStart w:id="1" w:name="O_1285361"/>
      <w:bookmarkEnd w:id="1"/>
      <w:r w:rsidRPr="001210FE">
        <w:t>Modification History</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Release 2</w:t>
            </w:r>
            <w:r w:rsidRPr="001210FE">
              <w:t>. This is the second release of this unit of competency in the MAR Maritime Training Package.</w:t>
            </w:r>
          </w:p>
          <w:p w:rsidR="00000000" w:rsidP="001210FE">
            <w:pPr>
              <w:pStyle w:val="ListBullet"/>
              <w:rPr>
                <w:lang w:val="en-NZ"/>
              </w:rPr>
            </w:pPr>
            <w:r w:rsidRPr="001210FE">
              <w:t>Minor statement changes in unit Application.</w:t>
            </w:r>
          </w:p>
        </w:tc>
      </w:tr>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Release 1</w:t>
            </w:r>
            <w:r w:rsidRPr="001210FE">
              <w:t xml:space="preserve">. This is the first release of this unit of competency in </w:t>
            </w:r>
            <w:r w:rsidRPr="001210FE">
              <w:t>the MAR Maritime Training Package.</w:t>
            </w:r>
          </w:p>
        </w:tc>
      </w:tr>
    </w:tbl>
    <w:p w:rsidR="00000000" w:rsidRPr="001210FE" w:rsidP="001210FE">
      <w:pPr>
        <w:pStyle w:val="NoPaddingFontSize1"/>
      </w:pPr>
    </w:p>
    <w:p w:rsidR="00000000" w:rsidRPr="001210FE" w:rsidP="001210FE">
      <w:pPr>
        <w:pStyle w:val="AllowPageBreak"/>
      </w:pPr>
    </w:p>
    <w:p w:rsidR="00000000" w:rsidRPr="001210FE" w:rsidP="001210FE">
      <w:pPr>
        <w:pStyle w:val="Heading1"/>
      </w:pPr>
      <w:bookmarkStart w:id="2" w:name="O_1285360"/>
      <w:bookmarkEnd w:id="2"/>
      <w:r w:rsidRPr="001210FE">
        <w:t>Application</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This unit involves the skills and knowledge required to monitor and ensure compliance with legislative requirements and measures to ensure safety of life at sea, security and protection of</w:t>
            </w:r>
            <w:r w:rsidRPr="001210FE">
              <w:t xml:space="preserve"> marine environment.</w:t>
            </w:r>
          </w:p>
          <w:p w:rsidR="00000000" w:rsidRPr="001210FE" w:rsidP="001210FE">
            <w:pPr>
              <w:pStyle w:val="BodyText"/>
            </w:pPr>
            <w:r w:rsidRPr="001210FE">
              <w:t>This unit applies to people working in the maritime industry in the capacity of:</w:t>
            </w:r>
          </w:p>
          <w:p w:rsidR="00000000" w:rsidRPr="001210FE" w:rsidP="001210FE">
            <w:pPr>
              <w:pStyle w:val="ListBullet"/>
            </w:pPr>
            <w:r w:rsidRPr="001210FE">
              <w:t>Electro-Technical Officer (STCW Electro-Technical Officer Unlimited)</w:t>
            </w:r>
          </w:p>
          <w:p w:rsidR="00000000" w:rsidRPr="001210FE" w:rsidP="001210FE">
            <w:pPr>
              <w:pStyle w:val="ListBullet"/>
            </w:pPr>
            <w:r w:rsidRPr="001210FE">
              <w:t>Engineer Class 3 Near Coastal</w:t>
            </w:r>
          </w:p>
          <w:p w:rsidR="00000000" w:rsidRPr="001210FE" w:rsidP="001210FE">
            <w:pPr>
              <w:pStyle w:val="ListBullet"/>
            </w:pPr>
            <w:r w:rsidRPr="001210FE">
              <w:t>Engineer Watchkeeper (STCW Engineer Watchkeeper Unlimi</w:t>
            </w:r>
            <w:r w:rsidRPr="001210FE">
              <w:t>ted)</w:t>
            </w:r>
          </w:p>
          <w:p w:rsidR="00000000" w:rsidRPr="001210FE" w:rsidP="001210FE">
            <w:pPr>
              <w:pStyle w:val="ListBullet"/>
            </w:pPr>
            <w:r w:rsidRPr="001210FE">
              <w:t>Master of a commercial vessel up to 100 metres in length within the exclusive economic zone (EEZ)</w:t>
            </w:r>
          </w:p>
          <w:p w:rsidR="00000000" w:rsidRPr="001210FE" w:rsidP="001210FE">
            <w:pPr>
              <w:pStyle w:val="ListBullet"/>
            </w:pPr>
            <w:r w:rsidRPr="001210FE">
              <w:t>Master of a commercial vessel up to 500 gross tonnage (GT)</w:t>
            </w:r>
          </w:p>
          <w:p w:rsidR="00000000" w:rsidRPr="001210FE" w:rsidP="001210FE">
            <w:pPr>
              <w:pStyle w:val="ListBullet"/>
            </w:pPr>
            <w:r w:rsidRPr="001210FE">
              <w:t>Watchkeeper Deck.</w:t>
            </w:r>
          </w:p>
          <w:p w:rsidR="00000000" w:rsidRPr="001210FE" w:rsidP="001210FE">
            <w:pPr>
              <w:pStyle w:val="BodyText"/>
            </w:pPr>
            <w:r w:rsidRPr="001210FE">
              <w:rPr>
                <w:rStyle w:val="SpecialBold"/>
              </w:rPr>
              <w:t>Licensing/Regulatory Information</w:t>
            </w:r>
          </w:p>
          <w:p w:rsidR="00000000" w:rsidRPr="001210FE" w:rsidP="001210FE">
            <w:pPr>
              <w:pStyle w:val="BodyText"/>
            </w:pPr>
            <w:r w:rsidRPr="001210FE">
              <w:t xml:space="preserve">Legislative and regulatory requirements are applicable to this unit.  </w:t>
            </w:r>
          </w:p>
          <w:p w:rsidR="00000000" w:rsidRPr="001210FE" w:rsidP="001210FE">
            <w:pPr>
              <w:pStyle w:val="ListBullet"/>
            </w:pPr>
            <w:r w:rsidRPr="001210FE">
              <w:t>Regulatory requirements include STCW International Maritime Organization (IMO) model course competencies and areas of knowledge, understanding and proficiency, together with the estima</w:t>
            </w:r>
            <w:r w:rsidRPr="001210FE">
              <w:t>ted total hours required for lectures and practical exercises. Teaching staff should note that timings are suggestions only and should be adapted to suit individual groups of trainees depending on their experience, ability, equipment and staff available fo</w:t>
            </w:r>
            <w:r w:rsidRPr="001210FE">
              <w:t>r training.</w:t>
            </w:r>
          </w:p>
          <w:p w:rsidR="00000000" w:rsidRPr="001210FE" w:rsidP="001210FE">
            <w:pPr>
              <w:pStyle w:val="BodyText"/>
            </w:pPr>
            <w:r w:rsidRPr="001210FE">
              <w:rPr>
                <w:rStyle w:val="SpecialBold"/>
              </w:rPr>
              <w:t>Near Coastal Qualifications:</w:t>
            </w:r>
          </w:p>
          <w:p w:rsidR="00000000" w:rsidRPr="001210FE" w:rsidP="001210FE">
            <w:pPr>
              <w:pStyle w:val="ListBullet"/>
            </w:pPr>
            <w:r w:rsidRPr="001210FE">
              <w:t>This unit is one of the requirements to obtain Australian Maritime Safety Authority (AMSA) certification as an Engineer Class 3 Near Coastal or Master up to 100 metres Near Coastal as specified in Marine Order 505.</w:t>
            </w:r>
          </w:p>
          <w:p w:rsidR="00000000" w:rsidRPr="001210FE" w:rsidP="001210FE">
            <w:pPr>
              <w:pStyle w:val="BodyText"/>
            </w:pPr>
            <w:r w:rsidRPr="001210FE">
              <w:rPr>
                <w:rStyle w:val="SpecialBold"/>
              </w:rPr>
              <w:t>Blue Waters Qualifications:</w:t>
            </w:r>
          </w:p>
          <w:p w:rsidR="00000000" w:rsidRPr="001210FE" w:rsidP="001210FE">
            <w:pPr>
              <w:pStyle w:val="ListBullet"/>
            </w:pPr>
            <w:r w:rsidRPr="001210FE">
              <w:t>This unit is one of the requirements to obtain Australian Maritime Safety Authority (AMSA) certification as an Electro-Technical Officer (STCW Electro-Technical Officer Unlimited), Engineer Watchkeeper (STCW Engineer Watchkeep</w:t>
            </w:r>
            <w:r w:rsidRPr="001210FE">
              <w:t xml:space="preserve">er Unlimited), Master of a commercial vessel up to 500 gross tonnage (GT) or Watchkeeper Deck and to meet regulatory requirements this unit must be delivered consistent with Marine Orders and with the relevant </w:t>
            </w:r>
            <w:r w:rsidRPr="001210FE">
              <w:t>sections of the International Convention on St</w:t>
            </w:r>
            <w:r w:rsidRPr="001210FE">
              <w:t>andards of Training, Certification and Watchkeeping for Seafarers (STCW).</w:t>
            </w:r>
          </w:p>
          <w:p w:rsidR="00000000" w:rsidRPr="001210FE" w:rsidP="001210FE">
            <w:pPr>
              <w:pStyle w:val="BodyText"/>
            </w:pPr>
            <w:r w:rsidRPr="001210FE">
              <w:t>Training providers seeking to offer this unit of competency must gain AMSA approval before the unit is offered.</w:t>
            </w:r>
          </w:p>
          <w:p w:rsidR="00000000" w:rsidRPr="001210FE" w:rsidP="001210FE">
            <w:pPr>
              <w:pStyle w:val="BodyText"/>
            </w:pPr>
            <w:r w:rsidRPr="001210FE">
              <w:t>Seafarers seeking certification should check with AMSA.</w:t>
            </w:r>
          </w:p>
        </w:tc>
      </w:tr>
    </w:tbl>
    <w:p w:rsidR="00000000" w:rsidRPr="001210FE" w:rsidP="001210FE">
      <w:pPr>
        <w:pStyle w:val="NoPaddingFontSize1"/>
      </w:pPr>
    </w:p>
    <w:p w:rsidR="00000000" w:rsidRPr="001210FE" w:rsidP="001210FE">
      <w:pPr>
        <w:pStyle w:val="AllowPageBreak"/>
      </w:pPr>
    </w:p>
    <w:p w:rsidR="00000000" w:rsidRPr="001210FE" w:rsidP="001210FE">
      <w:pPr>
        <w:pStyle w:val="Heading1"/>
      </w:pPr>
      <w:bookmarkStart w:id="3" w:name="O_1285359"/>
      <w:bookmarkEnd w:id="3"/>
      <w:r w:rsidRPr="001210FE">
        <w:t>Pre-requisite Unit</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Not applicable.</w:t>
            </w:r>
          </w:p>
        </w:tc>
      </w:tr>
    </w:tbl>
    <w:p w:rsidR="00390066" w:rsidP="001210FE">
      <w:pPr>
        <w:pStyle w:val="NoPaddingFontSize1"/>
      </w:pPr>
    </w:p>
    <w:p w:rsidR="00390066" w:rsidP="001210FE">
      <w:pPr>
        <w:pStyle w:val="NoPaddingFontSize1"/>
      </w:pPr>
    </w:p>
    <w:p w:rsidR="00000000" w:rsidRPr="001210FE" w:rsidP="001210FE">
      <w:pPr>
        <w:pStyle w:val="Heading1"/>
      </w:pPr>
      <w:bookmarkStart w:id="4" w:name="O_1285358"/>
      <w:bookmarkEnd w:id="4"/>
      <w:r w:rsidRPr="001210FE">
        <w:t>Competency Field</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F – Operational Quality and Safety</w:t>
            </w:r>
          </w:p>
        </w:tc>
      </w:tr>
    </w:tbl>
    <w:p w:rsidR="00390066" w:rsidP="001210FE">
      <w:pPr>
        <w:pStyle w:val="NoPaddingFontSize1"/>
      </w:pPr>
    </w:p>
    <w:p w:rsidR="00390066" w:rsidP="001210FE">
      <w:pPr>
        <w:pStyle w:val="NoPaddingFontSize1"/>
      </w:pPr>
    </w:p>
    <w:p w:rsidR="00000000" w:rsidRPr="001210FE" w:rsidP="001210FE">
      <w:pPr>
        <w:pStyle w:val="Heading1"/>
      </w:pPr>
      <w:bookmarkStart w:id="5" w:name="O_1285357"/>
      <w:bookmarkEnd w:id="5"/>
      <w:r w:rsidRPr="001210FE">
        <w:t>Unit Sector</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Not applicable.</w:t>
            </w:r>
          </w:p>
        </w:tc>
      </w:tr>
    </w:tbl>
    <w:p w:rsidR="00390066" w:rsidP="001210FE">
      <w:pPr>
        <w:pStyle w:val="NoPaddingFontSize1"/>
      </w:pPr>
    </w:p>
    <w:p w:rsidR="00390066" w:rsidP="001210FE">
      <w:pPr>
        <w:pStyle w:val="NoPaddingFontSize1"/>
      </w:pPr>
    </w:p>
    <w:p w:rsidR="00000000" w:rsidRPr="001210FE" w:rsidP="001210FE">
      <w:pPr>
        <w:pStyle w:val="Heading1"/>
      </w:pPr>
      <w:bookmarkStart w:id="6" w:name="O_1285356"/>
      <w:bookmarkEnd w:id="6"/>
      <w:r w:rsidRPr="001210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210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PERFORMANCE CRITERIA</w:t>
            </w:r>
          </w:p>
        </w:tc>
      </w:tr>
      <w:tr w:rsidTr="001210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Performance criteria describe the performance needed to demonstrate achievement of the element.</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Confirm legislative</w:t>
            </w:r>
            <w:r w:rsidRPr="001210FE">
              <w:t xml:space="preserve"> </w:t>
            </w:r>
            <w:r w:rsidRPr="001210FE">
              <w:rPr>
                <w:rStyle w:val="SpecialBold"/>
              </w:rPr>
              <w:t>management responsibilities</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Legislative and regulatory requirements and approvals that a</w:t>
            </w:r>
            <w:r w:rsidRPr="001210FE">
              <w:t>pply to the ship are interpreted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Own scope of authority/responsibility for achieving specific compliance outcomes for the ship and the roles of other key personnel are clarified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Resources available to implement management policies and procedures for the ship are identified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Develop a positive compliance reputation</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Stakeholders, their relationship to the ship and perceived attitudes about the ship are identified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Appropriate strategies are used to foster the trust and confidence of stakeholders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Requests for information are responded to in the appropriate format and a timely manner</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Operations and maintenance are monitored to comply with legislative requirements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Requirements for renewal and extension of certifications are identified to ensure continued validity of survey items and equipment</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Difficult situations are ident</w:t>
            </w:r>
            <w:r w:rsidRPr="001210FE">
              <w:t>ified and solutions negotiated using a collaborative approach</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Regular feedback is obtained and used to enhance positive relations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Provide management information and training</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Organisational management plans and recent incident reports are used to identify training needs of crew members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Information and training are developed and provided to ensure crew members are aware of their legislative obligations and responsibilitie</w:t>
            </w:r>
            <w:r w:rsidRPr="001210FE">
              <w:t>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Crew member compliance obligations and responsibilities for work areas and activities is confirmed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Effectiveness of the information and training is monitored and additional information/training provided, as required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Assess compliance imp</w:t>
            </w:r>
            <w:r w:rsidRPr="001210FE">
              <w:rPr>
                <w:rStyle w:val="SpecialBold"/>
              </w:rPr>
              <w:t>acts and risks</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Activities are reviewed to identify implications for compliance management</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Potential non-compliance is identified and promptly reported in accordance with organisational procedures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Potential risks and incidents that may cause harm to persons or the ship are identified, assessed and control measures implemented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Inspections and in situ measurements are conducted to quantify risks and impacts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Assessment of risks and impact</w:t>
            </w:r>
            <w:r w:rsidRPr="001210FE">
              <w:t>s are reported in accordance with organisational procedures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Ensure monitoring and management plans are implemented</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Compliance monitoring instruments are checked to ensure they are fully functioning</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Specified compliance monitoring and inspections are conducted to check performance against ship operational management requirements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 xml:space="preserve">Additional monitoring/inspections are conducted after atypical events or requests from authorities to assess whether </w:t>
            </w:r>
            <w:r w:rsidRPr="001210FE">
              <w:t>organisational management plan is operating</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Results for monitoring/inspections are analysed to identify significant trends, non-conformance and/or incidents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Respond to non-conformance and incidents</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Unusual situations, unexpected risks/hazards</w:t>
            </w:r>
            <w:r w:rsidRPr="001210FE">
              <w:t xml:space="preserve"> and potential/actual compliance incidents are recognised</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Organisational procedures for responding to non-compliance and incidents are implemented to ensure prompt control and remediation</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Causes of non-compliance and incidents are investigated in accordance with organisational procedures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Findings are analysed to identify opportunities to improve work practices, compliance controls, crew training and/or management procedures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Co</w:t>
            </w:r>
            <w:r w:rsidRPr="001210FE">
              <w:t>rrective/preventative actions are implemented to prevent recurrence of non-compliance and incidents, and to reduce risks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Reports are completed in accordance with organisational procedures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rPr>
                <w:rStyle w:val="SpecialBold"/>
              </w:rPr>
              <w:t>Maintain compliance records</w:t>
            </w: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Required records are prepared and maintained in accordance with regulatory and organisational requirements</w:t>
            </w:r>
          </w:p>
        </w:tc>
      </w:tr>
      <w:tr w:rsidTr="00121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Regular reports about operational performance are provided</w:t>
            </w:r>
          </w:p>
        </w:tc>
      </w:tr>
      <w:tr w:rsidTr="001210FE">
        <w:tblPrEx>
          <w:tblW w:w="9497" w:type="dxa"/>
          <w:tblLayout w:type="fixed"/>
          <w:tblCellMar>
            <w:left w:w="62" w:type="dxa"/>
            <w:right w:w="62" w:type="dxa"/>
          </w:tblCellMar>
          <w:tblLook w:val="0000"/>
        </w:tblPrEx>
        <w:trPr>
          <w:trHeight w:val="62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Opportunities and recommendations for improvements are reported</w:t>
            </w:r>
          </w:p>
        </w:tc>
      </w:tr>
      <w:tr w:rsidTr="001210FE">
        <w:tblPrEx>
          <w:tblW w:w="9497" w:type="dxa"/>
          <w:tblLayout w:type="fixed"/>
          <w:tblCellMar>
            <w:left w:w="62" w:type="dxa"/>
            <w:right w:w="62" w:type="dxa"/>
          </w:tblCellMar>
          <w:tblLook w:val="0000"/>
        </w:tblPrEx>
        <w:trPr>
          <w:trHeight w:val="62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t>Advice is sought when challenges are beyond own scope of technical competence or when input from specialist may be required</w:t>
            </w:r>
          </w:p>
        </w:tc>
      </w:tr>
      <w:tr w:rsidTr="001210FE">
        <w:tblPrEx>
          <w:tblW w:w="9497" w:type="dxa"/>
          <w:tblLayout w:type="fixed"/>
          <w:tblCellMar>
            <w:left w:w="62" w:type="dxa"/>
            <w:right w:w="62" w:type="dxa"/>
          </w:tblCellMar>
          <w:tblLook w:val="0000"/>
        </w:tblPrEx>
        <w:trPr>
          <w:trHeight w:val="62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10FE">
            <w:pPr>
              <w:pStyle w:val="BodyText"/>
              <w:rPr>
                <w:lang w:val="en-NZ"/>
              </w:rPr>
            </w:pPr>
            <w:r w:rsidRPr="001210FE">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 xml:space="preserve">Records are stored to enable easy access and review by authorised personnel in accordance with regulatory and organisational </w:t>
            </w:r>
            <w:r w:rsidRPr="001210FE">
              <w:t>requirements</w:t>
            </w:r>
          </w:p>
        </w:tc>
      </w:tr>
    </w:tbl>
    <w:p w:rsidR="00390066" w:rsidP="001210FE">
      <w:pPr>
        <w:pStyle w:val="NoPaddingFontSize1"/>
      </w:pPr>
    </w:p>
    <w:p w:rsidR="00390066" w:rsidP="001210FE">
      <w:pPr>
        <w:pStyle w:val="NoPaddingFontSize1"/>
      </w:pPr>
    </w:p>
    <w:p w:rsidR="00000000" w:rsidRPr="001210FE" w:rsidP="001210FE">
      <w:pPr>
        <w:pStyle w:val="Heading1"/>
      </w:pPr>
      <w:bookmarkStart w:id="7" w:name="O_1285355"/>
      <w:bookmarkEnd w:id="7"/>
      <w:r w:rsidRPr="001210FE">
        <w:t>Foundation Skills</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Foundation skills essential to performance are explicit in the performance criteria of this unit of competency.</w:t>
            </w:r>
          </w:p>
        </w:tc>
      </w:tr>
    </w:tbl>
    <w:p w:rsidR="00390066" w:rsidP="001210FE">
      <w:pPr>
        <w:pStyle w:val="NoPaddingFontSize1"/>
      </w:pPr>
    </w:p>
    <w:p w:rsidR="00390066" w:rsidP="001210FE">
      <w:pPr>
        <w:pStyle w:val="NoPaddingFontSize1"/>
      </w:pPr>
    </w:p>
    <w:p w:rsidR="00000000" w:rsidRPr="001210FE" w:rsidP="001210FE">
      <w:pPr>
        <w:pStyle w:val="Heading1"/>
      </w:pPr>
      <w:bookmarkStart w:id="8" w:name="O_1285354"/>
      <w:bookmarkEnd w:id="8"/>
      <w:r w:rsidRPr="001210FE">
        <w:t>Range of Conditions</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Range is restricted to essential operating conditions and any other variables essential to the work environment.</w:t>
            </w:r>
          </w:p>
        </w:tc>
      </w:tr>
    </w:tbl>
    <w:p w:rsidR="00390066" w:rsidP="001210FE">
      <w:pPr>
        <w:pStyle w:val="NoPaddingFontSize1"/>
      </w:pPr>
    </w:p>
    <w:p w:rsidR="00390066" w:rsidP="001210FE">
      <w:pPr>
        <w:pStyle w:val="NoPaddingFontSize1"/>
      </w:pPr>
    </w:p>
    <w:p w:rsidR="00000000" w:rsidRPr="001210FE" w:rsidP="001210FE">
      <w:pPr>
        <w:pStyle w:val="Heading1"/>
      </w:pPr>
      <w:bookmarkStart w:id="9" w:name="O_1285353"/>
      <w:bookmarkEnd w:id="9"/>
      <w:r w:rsidRPr="001210FE">
        <w:t>Unit Mapping Information</w:t>
      </w:r>
    </w:p>
    <w:tbl>
      <w:tblPr>
        <w:tblW w:w="9497" w:type="dxa"/>
        <w:tblLayout w:type="fixed"/>
        <w:tblCellMar>
          <w:left w:w="62" w:type="dxa"/>
          <w:right w:w="62" w:type="dxa"/>
        </w:tblCellMar>
        <w:tblLook w:val="0000"/>
      </w:tblPr>
      <w:tblGrid>
        <w:gridCol w:w="9497"/>
      </w:tblGrid>
      <w:tr w:rsidTr="00121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0FE" w:rsidP="001210FE">
            <w:pPr>
              <w:pStyle w:val="BodyText"/>
            </w:pPr>
            <w:r w:rsidRPr="001210FE">
              <w:t>This is a new unit.  No equivalent unit.</w:t>
            </w:r>
          </w:p>
        </w:tc>
      </w:tr>
    </w:tbl>
    <w:p w:rsidR="00390066" w:rsidP="001210FE">
      <w:pPr>
        <w:pStyle w:val="NoPaddingFontSize1"/>
      </w:pPr>
    </w:p>
    <w:p w:rsidR="00390066" w:rsidP="001210FE">
      <w:pPr>
        <w:pStyle w:val="NoPaddingFontSize1"/>
      </w:pPr>
    </w:p>
    <w:p w:rsidR="00000000" w:rsidRPr="001210FE" w:rsidP="001210FE">
      <w:pPr>
        <w:pStyle w:val="Heading1"/>
      </w:pPr>
      <w:bookmarkStart w:id="10" w:name="O_1285362"/>
      <w:bookmarkEnd w:id="10"/>
      <w:r w:rsidRPr="001210FE">
        <w:t>Links</w:t>
      </w:r>
    </w:p>
    <w:p w:rsidR="00000000" w:rsidRPr="001210FE" w:rsidP="00390066">
      <w:pPr>
        <w:pStyle w:val="BodyText"/>
      </w:pPr>
      <w:r w:rsidRPr="001210FE">
        <w:t>Companion Volume Implementa</w:t>
      </w:r>
      <w:r w:rsidRPr="001210FE">
        <w:t xml:space="preserve">tion Guides are found in VETNet - </w:t>
      </w:r>
      <w:r>
        <w:fldChar w:fldCharType="begin"/>
      </w:r>
      <w:r>
        <w:instrText xml:space="preserve"> HYPERLINK "https://vetnet.gov.au/Pages/TrainingDocs.aspx?q=772efb7b-4cce-47fe-9bbd-ee3b1d1eb4c2" </w:instrText>
      </w:r>
      <w:r>
        <w:fldChar w:fldCharType="separate"/>
      </w:r>
      <w:r w:rsidRPr="00193207">
        <w:rPr>
          <w:rStyle w:val="Hyperlink"/>
        </w:rPr>
        <w:t>https://vetnet.gov.au/Pages/TrainingDocs.aspx?q=772efb7b-4cce-47fe-9bbd-ee3b1d1eb4c2</w:t>
      </w:r>
      <w:r>
        <w:fldChar w:fldCharType="end"/>
      </w:r>
    </w:p>
    <w:p w:rsidR="00000000" w:rsidRPr="001210FE" w:rsidP="001210FE"/>
    <w:sectPr w:rsidSect="001210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FE" w:rsidRPr="00390066" w:rsidP="00390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rsidP="00121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066" w:rsidP="001210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90066" w:rsidP="00121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0FE" w:rsidRPr="00390066" w:rsidP="00390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6" w:rsidRPr="002D2AF8" w:rsidP="001210FE">
    <w:pPr>
      <w:pStyle w:val="Header"/>
      <w:framePr w:wrap="around"/>
    </w:pPr>
    <w:r>
      <w:fldChar w:fldCharType="begin"/>
    </w:r>
    <w:r>
      <w:instrText xml:space="preserve"> TITLE   \* MERGEFORMAT </w:instrText>
    </w:r>
    <w:r>
      <w:fldChar w:fldCharType="separate"/>
    </w:r>
    <w:r>
      <w:t>MARF047 Monitor compliance with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390066" w:rsidP="00121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23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04D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0FE"/>
    <w:pPr>
      <w:spacing w:before="360" w:after="60"/>
      <w:outlineLvl w:val="0"/>
    </w:pPr>
    <w:rPr>
      <w:sz w:val="32"/>
    </w:rPr>
  </w:style>
  <w:style w:type="paragraph" w:styleId="Heading2">
    <w:name w:val="heading 2"/>
    <w:basedOn w:val="HeadingBase"/>
    <w:next w:val="BodyText"/>
    <w:link w:val="Heading2Char"/>
    <w:qFormat/>
    <w:rsid w:val="001210FE"/>
    <w:pPr>
      <w:keepLines/>
      <w:spacing w:before="240" w:after="120"/>
      <w:outlineLvl w:val="1"/>
    </w:pPr>
    <w:rPr>
      <w:sz w:val="28"/>
      <w:szCs w:val="40"/>
    </w:rPr>
  </w:style>
  <w:style w:type="paragraph" w:styleId="Heading3">
    <w:name w:val="heading 3"/>
    <w:basedOn w:val="HeadingBase"/>
    <w:next w:val="BodyText"/>
    <w:link w:val="Heading3Char"/>
    <w:qFormat/>
    <w:rsid w:val="001210FE"/>
    <w:pPr>
      <w:spacing w:before="180" w:after="120"/>
      <w:outlineLvl w:val="2"/>
    </w:pPr>
    <w:rPr>
      <w:spacing w:val="-10"/>
      <w:kern w:val="32"/>
    </w:rPr>
  </w:style>
  <w:style w:type="paragraph" w:styleId="Heading4">
    <w:name w:val="heading 4"/>
    <w:basedOn w:val="HeadingBase"/>
    <w:next w:val="BodyText"/>
    <w:link w:val="Heading4Char"/>
    <w:qFormat/>
    <w:rsid w:val="001210FE"/>
    <w:pPr>
      <w:spacing w:before="160" w:after="120"/>
      <w:outlineLvl w:val="3"/>
    </w:pPr>
    <w:rPr>
      <w:sz w:val="22"/>
    </w:rPr>
  </w:style>
  <w:style w:type="paragraph" w:styleId="Heading5">
    <w:name w:val="heading 5"/>
    <w:basedOn w:val="HeadingBase"/>
    <w:next w:val="Normal"/>
    <w:link w:val="Heading5Char"/>
    <w:qFormat/>
    <w:rsid w:val="001210FE"/>
    <w:pPr>
      <w:spacing w:before="80"/>
      <w:outlineLvl w:val="4"/>
    </w:pPr>
    <w:rPr>
      <w:color w:val="918585"/>
      <w:sz w:val="20"/>
    </w:rPr>
  </w:style>
  <w:style w:type="paragraph" w:styleId="Heading6">
    <w:name w:val="heading 6"/>
    <w:basedOn w:val="HeadingBase"/>
    <w:next w:val="Normal"/>
    <w:link w:val="Heading6Char"/>
    <w:qFormat/>
    <w:rsid w:val="001210FE"/>
    <w:pPr>
      <w:spacing w:before="60"/>
      <w:outlineLvl w:val="5"/>
    </w:pPr>
    <w:rPr>
      <w:color w:val="918585"/>
      <w:sz w:val="20"/>
    </w:rPr>
  </w:style>
  <w:style w:type="paragraph" w:styleId="Heading7">
    <w:name w:val="heading 7"/>
    <w:basedOn w:val="Normal"/>
    <w:next w:val="Normal"/>
    <w:link w:val="Heading7Char"/>
    <w:qFormat/>
    <w:rsid w:val="001210FE"/>
    <w:pPr>
      <w:ind w:left="720"/>
      <w:outlineLvl w:val="6"/>
    </w:pPr>
    <w:rPr>
      <w:i/>
    </w:rPr>
  </w:style>
  <w:style w:type="paragraph" w:styleId="Heading8">
    <w:name w:val="heading 8"/>
    <w:basedOn w:val="Normal"/>
    <w:next w:val="Normal"/>
    <w:link w:val="Heading8Char"/>
    <w:qFormat/>
    <w:rsid w:val="001210FE"/>
    <w:pPr>
      <w:ind w:left="720"/>
      <w:outlineLvl w:val="7"/>
    </w:pPr>
    <w:rPr>
      <w:i/>
    </w:rPr>
  </w:style>
  <w:style w:type="paragraph" w:styleId="Heading9">
    <w:name w:val="heading 9"/>
    <w:basedOn w:val="Normal"/>
    <w:next w:val="Normal"/>
    <w:link w:val="Heading9Char"/>
    <w:qFormat/>
    <w:rsid w:val="001210FE"/>
    <w:pPr>
      <w:ind w:left="720"/>
      <w:outlineLvl w:val="8"/>
    </w:pPr>
    <w:rPr>
      <w:i/>
    </w:rPr>
  </w:style>
  <w:style w:type="character" w:default="1" w:styleId="DefaultParagraphFont">
    <w:name w:val="Default Paragraph Font"/>
    <w:uiPriority w:val="1"/>
    <w:unhideWhenUsed/>
    <w:rsid w:val="00121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0FE"/>
  </w:style>
  <w:style w:type="character" w:customStyle="1" w:styleId="Heading1Char">
    <w:name w:val="Heading 1 Char"/>
    <w:basedOn w:val="DefaultParagraphFont"/>
    <w:link w:val="Heading1"/>
    <w:rsid w:val="001210FE"/>
    <w:rPr>
      <w:rFonts w:ascii="Times New Roman" w:eastAsia="Times New Roman" w:hAnsi="Times New Roman" w:cs="Times New Roman"/>
      <w:b/>
      <w:sz w:val="32"/>
      <w:szCs w:val="20"/>
      <w:lang w:eastAsia="en-US"/>
    </w:rPr>
  </w:style>
  <w:style w:type="paragraph" w:styleId="BodyText">
    <w:name w:val="Body Text"/>
    <w:basedOn w:val="Normal"/>
    <w:link w:val="BodyTextChar"/>
    <w:rsid w:val="00121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0FE"/>
    <w:rPr>
      <w:rFonts w:ascii="Times New Roman" w:eastAsia="Times New Roman" w:hAnsi="Times New Roman" w:cs="Times New Roman"/>
      <w:sz w:val="24"/>
      <w:lang w:eastAsia="en-US"/>
    </w:rPr>
  </w:style>
  <w:style w:type="paragraph" w:styleId="ListBullet">
    <w:name w:val="List Bullet"/>
    <w:basedOn w:val="List"/>
    <w:rsid w:val="001210FE"/>
    <w:pPr>
      <w:numPr>
        <w:numId w:val="11"/>
      </w:numPr>
      <w:tabs>
        <w:tab w:val="clear" w:pos="340"/>
      </w:tabs>
      <w:spacing w:before="40" w:after="40"/>
    </w:pPr>
  </w:style>
  <w:style w:type="character" w:customStyle="1" w:styleId="SpecialBold">
    <w:name w:val="Special Bold"/>
    <w:basedOn w:val="DefaultParagraphFont"/>
    <w:rsid w:val="001210FE"/>
    <w:rPr>
      <w:b/>
      <w:spacing w:val="0"/>
    </w:rPr>
  </w:style>
  <w:style w:type="paragraph" w:customStyle="1" w:styleId="SuperHeading">
    <w:name w:val="SuperHeading"/>
    <w:basedOn w:val="Normal"/>
    <w:rsid w:val="001210FE"/>
    <w:pPr>
      <w:spacing w:before="240" w:after="120"/>
      <w:outlineLvl w:val="0"/>
    </w:pPr>
    <w:rPr>
      <w:rFonts w:ascii="Times New Roman" w:hAnsi="Times New Roman"/>
      <w:b/>
      <w:sz w:val="32"/>
    </w:rPr>
  </w:style>
  <w:style w:type="paragraph" w:customStyle="1" w:styleId="AllowPageBreak">
    <w:name w:val="AllowPageBreak"/>
    <w:rsid w:val="001210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1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0FE"/>
    <w:rPr>
      <w:rFonts w:ascii="Courier New" w:eastAsia="Times New Roman" w:hAnsi="Courier New" w:cs="Times New Roman"/>
      <w:i/>
      <w:szCs w:val="20"/>
      <w:lang w:eastAsia="en-US"/>
    </w:rPr>
  </w:style>
  <w:style w:type="paragraph" w:customStyle="1" w:styleId="HeadingBase">
    <w:name w:val="Heading Base"/>
    <w:rsid w:val="00121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0FE"/>
    <w:pPr>
      <w:tabs>
        <w:tab w:val="right" w:leader="dot" w:pos="9072"/>
      </w:tabs>
      <w:ind w:left="567"/>
    </w:pPr>
    <w:rPr>
      <w:szCs w:val="22"/>
    </w:rPr>
  </w:style>
  <w:style w:type="paragraph" w:customStyle="1" w:styleId="TOCBase">
    <w:name w:val="TOC Base"/>
    <w:rsid w:val="00121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0FE"/>
    <w:pPr>
      <w:tabs>
        <w:tab w:val="right" w:leader="dot" w:pos="9072"/>
      </w:tabs>
      <w:spacing w:before="40" w:after="40"/>
      <w:ind w:left="284"/>
    </w:pPr>
    <w:rPr>
      <w:rFonts w:ascii="Times New Roman" w:hAnsi="Times New Roman"/>
    </w:rPr>
  </w:style>
  <w:style w:type="paragraph" w:styleId="TOC1">
    <w:name w:val="toc 1"/>
    <w:basedOn w:val="TOCBase"/>
    <w:next w:val="Normal"/>
    <w:rsid w:val="00121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0FE"/>
    <w:rPr>
      <w:rFonts w:ascii="Times New Roman" w:eastAsia="Times New Roman" w:hAnsi="Times New Roman" w:cs="Times New Roman"/>
      <w:sz w:val="16"/>
      <w:lang w:eastAsia="en-US"/>
    </w:rPr>
  </w:style>
  <w:style w:type="paragraph" w:styleId="Title">
    <w:name w:val="Title"/>
    <w:basedOn w:val="HeadingBase"/>
    <w:link w:val="TitleChar"/>
    <w:qFormat/>
    <w:rsid w:val="001210FE"/>
    <w:pPr>
      <w:spacing w:before="5040"/>
      <w:jc w:val="center"/>
    </w:pPr>
    <w:rPr>
      <w:sz w:val="48"/>
      <w:szCs w:val="72"/>
      <w:lang w:val="en-US"/>
    </w:rPr>
  </w:style>
  <w:style w:type="character" w:customStyle="1" w:styleId="TitleChar">
    <w:name w:val="Title Char"/>
    <w:basedOn w:val="DefaultParagraphFont"/>
    <w:link w:val="Title"/>
    <w:rsid w:val="00121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0FE"/>
    <w:pPr>
      <w:tabs>
        <w:tab w:val="left" w:pos="3600"/>
        <w:tab w:val="left" w:pos="3958"/>
      </w:tabs>
    </w:pPr>
  </w:style>
  <w:style w:type="paragraph" w:styleId="List">
    <w:name w:val="List"/>
    <w:basedOn w:val="BodyText"/>
    <w:next w:val="BodyText"/>
    <w:rsid w:val="001210FE"/>
    <w:pPr>
      <w:tabs>
        <w:tab w:val="left" w:pos="340"/>
      </w:tabs>
      <w:spacing w:before="60" w:after="60"/>
      <w:ind w:left="340" w:hanging="340"/>
    </w:pPr>
  </w:style>
  <w:style w:type="paragraph" w:customStyle="1" w:styleId="Note">
    <w:name w:val="Note"/>
    <w:basedOn w:val="BodyText"/>
    <w:rsid w:val="00121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0FE"/>
    <w:pPr>
      <w:framePr w:wrap="auto" w:hAnchor="text" w:y="6049"/>
    </w:pPr>
    <w:rPr>
      <w:color w:val="000000"/>
      <w:sz w:val="40"/>
    </w:rPr>
  </w:style>
  <w:style w:type="paragraph" w:customStyle="1" w:styleId="TOCTitle">
    <w:name w:val="TOCTitle"/>
    <w:basedOn w:val="Heading1"/>
    <w:rsid w:val="001210FE"/>
    <w:pPr>
      <w:spacing w:after="240"/>
      <w:jc w:val="center"/>
      <w:outlineLvl w:val="9"/>
    </w:pPr>
    <w:rPr>
      <w:caps/>
    </w:rPr>
  </w:style>
  <w:style w:type="paragraph" w:customStyle="1" w:styleId="Version">
    <w:name w:val="Version"/>
    <w:rsid w:val="001210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0FE"/>
    <w:pPr>
      <w:numPr>
        <w:numId w:val="12"/>
      </w:numPr>
      <w:tabs>
        <w:tab w:val="clear" w:pos="680"/>
      </w:tabs>
    </w:pPr>
  </w:style>
  <w:style w:type="paragraph" w:styleId="Index1">
    <w:name w:val="index 1"/>
    <w:basedOn w:val="Normal"/>
    <w:next w:val="Normal"/>
    <w:semiHidden/>
    <w:rsid w:val="001210FE"/>
    <w:pPr>
      <w:keepNext w:val="0"/>
      <w:tabs>
        <w:tab w:val="right" w:pos="4176"/>
      </w:tabs>
      <w:ind w:left="198" w:hanging="198"/>
    </w:pPr>
    <w:rPr>
      <w:rFonts w:ascii="Garamond" w:hAnsi="Garamond"/>
    </w:rPr>
  </w:style>
  <w:style w:type="paragraph" w:styleId="IndexHeading">
    <w:name w:val="index heading"/>
    <w:basedOn w:val="Normal"/>
    <w:next w:val="Index1"/>
    <w:semiHidden/>
    <w:rsid w:val="001210FE"/>
    <w:pPr>
      <w:spacing w:before="120" w:after="120"/>
    </w:pPr>
    <w:rPr>
      <w:rFonts w:ascii="Arial" w:hAnsi="Arial"/>
      <w:b/>
      <w:color w:val="918585"/>
      <w:sz w:val="24"/>
    </w:rPr>
  </w:style>
  <w:style w:type="paragraph" w:styleId="Header">
    <w:name w:val="header"/>
    <w:basedOn w:val="Normal"/>
    <w:link w:val="HeaderChar"/>
    <w:rsid w:val="00121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0FE"/>
    <w:rPr>
      <w:rFonts w:ascii="Times New Roman" w:eastAsia="Times New Roman" w:hAnsi="Times New Roman" w:cs="Times New Roman"/>
      <w:sz w:val="16"/>
      <w:szCs w:val="20"/>
      <w:lang w:val="en-GB" w:eastAsia="en-US"/>
    </w:rPr>
  </w:style>
  <w:style w:type="paragraph" w:customStyle="1" w:styleId="Chapter">
    <w:name w:val="Chapter"/>
    <w:basedOn w:val="Normal"/>
    <w:rsid w:val="001210FE"/>
    <w:pPr>
      <w:spacing w:before="240"/>
    </w:pPr>
    <w:rPr>
      <w:rFonts w:ascii="Times New Roman" w:hAnsi="Times New Roman"/>
      <w:smallCaps/>
      <w:spacing w:val="80"/>
      <w:sz w:val="28"/>
    </w:rPr>
  </w:style>
  <w:style w:type="paragraph" w:customStyle="1" w:styleId="InChapter">
    <w:name w:val="InChapter"/>
    <w:basedOn w:val="Heading3"/>
    <w:rsid w:val="001210FE"/>
    <w:pPr>
      <w:spacing w:after="240"/>
      <w:outlineLvl w:val="9"/>
    </w:pPr>
    <w:rPr>
      <w:noProof/>
    </w:rPr>
  </w:style>
  <w:style w:type="paragraph" w:styleId="Index2">
    <w:name w:val="index 2"/>
    <w:basedOn w:val="Normal"/>
    <w:next w:val="Normal"/>
    <w:semiHidden/>
    <w:rsid w:val="001210FE"/>
    <w:pPr>
      <w:tabs>
        <w:tab w:val="right" w:pos="4176"/>
      </w:tabs>
      <w:ind w:left="568" w:hanging="284"/>
    </w:pPr>
    <w:rPr>
      <w:rFonts w:ascii="Garamond" w:hAnsi="Garamond"/>
    </w:rPr>
  </w:style>
  <w:style w:type="paragraph" w:customStyle="1" w:styleId="Byline">
    <w:name w:val="Byline"/>
    <w:rsid w:val="00121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0FE"/>
    <w:pPr>
      <w:tabs>
        <w:tab w:val="clear" w:pos="3600"/>
        <w:tab w:val="clear" w:pos="3958"/>
      </w:tabs>
      <w:jc w:val="right"/>
    </w:pPr>
  </w:style>
  <w:style w:type="character" w:styleId="Emphasis">
    <w:name w:val="Emphasis"/>
    <w:basedOn w:val="DefaultParagraphFont"/>
    <w:qFormat/>
    <w:rsid w:val="001210FE"/>
    <w:rPr>
      <w:i/>
    </w:rPr>
  </w:style>
  <w:style w:type="paragraph" w:styleId="Caption">
    <w:name w:val="caption"/>
    <w:basedOn w:val="BodyText"/>
    <w:next w:val="Normal"/>
    <w:qFormat/>
    <w:rsid w:val="001210FE"/>
    <w:pPr>
      <w:framePr w:w="2268" w:hSpace="181" w:vSpace="181" w:wrap="around" w:vAnchor="text" w:hAnchor="page" w:x="1135" w:y="285" w:anchorLock="1"/>
    </w:pPr>
    <w:rPr>
      <w:i/>
    </w:rPr>
  </w:style>
  <w:style w:type="paragraph" w:customStyle="1" w:styleId="MiniTOCTitle">
    <w:name w:val="MiniTOCTitle"/>
    <w:basedOn w:val="Heading4"/>
    <w:rsid w:val="001210FE"/>
    <w:pPr>
      <w:spacing w:before="240"/>
      <w:outlineLvl w:val="9"/>
    </w:pPr>
    <w:rPr>
      <w:noProof/>
      <w:sz w:val="24"/>
    </w:rPr>
  </w:style>
  <w:style w:type="paragraph" w:customStyle="1" w:styleId="MiniTOCItem">
    <w:name w:val="MiniTOCItem"/>
    <w:basedOn w:val="ListBullet"/>
    <w:rsid w:val="001210FE"/>
    <w:pPr>
      <w:numPr>
        <w:numId w:val="0"/>
      </w:numPr>
      <w:tabs>
        <w:tab w:val="right" w:leader="dot" w:pos="6521"/>
      </w:tabs>
      <w:spacing w:before="0" w:after="0"/>
    </w:pPr>
  </w:style>
  <w:style w:type="paragraph" w:customStyle="1" w:styleId="TOFTitle">
    <w:name w:val="TOFTitle"/>
    <w:basedOn w:val="TOCTitle"/>
    <w:rsid w:val="001210FE"/>
  </w:style>
  <w:style w:type="paragraph" w:styleId="TableofFigures">
    <w:name w:val="table of figures"/>
    <w:basedOn w:val="Normal"/>
    <w:next w:val="Normal"/>
    <w:semiHidden/>
    <w:rsid w:val="001210FE"/>
    <w:pPr>
      <w:tabs>
        <w:tab w:val="right" w:leader="dot" w:pos="9072"/>
      </w:tabs>
      <w:ind w:left="970" w:hanging="403"/>
    </w:pPr>
    <w:rPr>
      <w:rFonts w:ascii="Times New Roman" w:hAnsi="Times New Roman"/>
      <w:b/>
    </w:rPr>
  </w:style>
  <w:style w:type="paragraph" w:styleId="ListNumber">
    <w:name w:val="List Number"/>
    <w:basedOn w:val="List"/>
    <w:rsid w:val="001210FE"/>
    <w:pPr>
      <w:numPr>
        <w:numId w:val="14"/>
      </w:numPr>
      <w:tabs>
        <w:tab w:val="clear" w:pos="340"/>
      </w:tabs>
    </w:pPr>
  </w:style>
  <w:style w:type="character" w:customStyle="1" w:styleId="WingdingSymbols">
    <w:name w:val="Wingding Symbols"/>
    <w:rsid w:val="001210FE"/>
    <w:rPr>
      <w:rFonts w:ascii="Wingdings" w:hAnsi="Wingdings"/>
    </w:rPr>
  </w:style>
  <w:style w:type="paragraph" w:customStyle="1" w:styleId="TableHeading">
    <w:name w:val="Table Heading"/>
    <w:basedOn w:val="HeadingBase"/>
    <w:rsid w:val="001210FE"/>
    <w:pPr>
      <w:keepLines/>
      <w:pBdr>
        <w:bottom w:val="single" w:sz="6" w:space="1" w:color="918585"/>
      </w:pBdr>
      <w:spacing w:before="240"/>
    </w:pPr>
  </w:style>
  <w:style w:type="character" w:customStyle="1" w:styleId="HotSpot">
    <w:name w:val="HotSpot"/>
    <w:rsid w:val="001210FE"/>
    <w:rPr>
      <w:color w:val="0033CC"/>
      <w:u w:val="none"/>
    </w:rPr>
  </w:style>
  <w:style w:type="paragraph" w:customStyle="1" w:styleId="BodyTextRight">
    <w:name w:val="Body Text Right"/>
    <w:basedOn w:val="BodyText"/>
    <w:rsid w:val="001210FE"/>
    <w:pPr>
      <w:spacing w:before="0" w:after="0"/>
      <w:jc w:val="right"/>
    </w:pPr>
  </w:style>
  <w:style w:type="paragraph" w:styleId="Index3">
    <w:name w:val="index 3"/>
    <w:basedOn w:val="ListNumber2"/>
    <w:next w:val="Normal"/>
    <w:semiHidden/>
    <w:rsid w:val="001210FE"/>
    <w:pPr>
      <w:numPr>
        <w:numId w:val="0"/>
      </w:numPr>
      <w:tabs>
        <w:tab w:val="right" w:leader="dot" w:pos="4176"/>
      </w:tabs>
    </w:pPr>
  </w:style>
  <w:style w:type="paragraph" w:styleId="ListNumber2">
    <w:name w:val="List Number 2"/>
    <w:basedOn w:val="List2"/>
    <w:rsid w:val="001210FE"/>
    <w:pPr>
      <w:numPr>
        <w:numId w:val="9"/>
      </w:numPr>
      <w:tabs>
        <w:tab w:val="clear" w:pos="1060"/>
      </w:tabs>
    </w:pPr>
  </w:style>
  <w:style w:type="paragraph" w:customStyle="1" w:styleId="MarginNote">
    <w:name w:val="Margin Note"/>
    <w:basedOn w:val="BodyText"/>
    <w:rsid w:val="00121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0FE"/>
    <w:rPr>
      <w:sz w:val="32"/>
    </w:rPr>
  </w:style>
  <w:style w:type="paragraph" w:customStyle="1" w:styleId="HeadingProcedure">
    <w:name w:val="Heading Procedure"/>
    <w:basedOn w:val="HeadingBase"/>
    <w:next w:val="Normal"/>
    <w:rsid w:val="001210FE"/>
    <w:pPr>
      <w:tabs>
        <w:tab w:val="left" w:pos="0"/>
      </w:tabs>
      <w:spacing w:before="120" w:after="60"/>
    </w:pPr>
    <w:rPr>
      <w:i/>
      <w:color w:val="918585"/>
      <w:sz w:val="22"/>
    </w:rPr>
  </w:style>
  <w:style w:type="paragraph" w:customStyle="1" w:styleId="TableBodyText">
    <w:name w:val="Table Body Text"/>
    <w:basedOn w:val="BodyText"/>
    <w:rsid w:val="001210FE"/>
    <w:pPr>
      <w:spacing w:before="60" w:after="60"/>
    </w:pPr>
  </w:style>
  <w:style w:type="paragraph" w:styleId="ListContinue">
    <w:name w:val="List Continue"/>
    <w:basedOn w:val="List"/>
    <w:rsid w:val="001210FE"/>
    <w:pPr>
      <w:ind w:firstLine="0"/>
    </w:pPr>
  </w:style>
  <w:style w:type="paragraph" w:customStyle="1" w:styleId="ListNote">
    <w:name w:val="List Note"/>
    <w:basedOn w:val="List"/>
    <w:rsid w:val="001210FE"/>
    <w:pPr>
      <w:pBdr>
        <w:top w:val="single" w:sz="6" w:space="2" w:color="918585"/>
        <w:bottom w:val="single" w:sz="6" w:space="2" w:color="918585"/>
      </w:pBdr>
      <w:tabs>
        <w:tab w:val="left" w:pos="1021"/>
      </w:tabs>
      <w:ind w:firstLine="0"/>
    </w:pPr>
  </w:style>
  <w:style w:type="paragraph" w:customStyle="1" w:styleId="Warning">
    <w:name w:val="Warning"/>
    <w:basedOn w:val="BodyText"/>
    <w:rsid w:val="001210FE"/>
    <w:pPr>
      <w:shd w:val="clear" w:color="auto" w:fill="D9D9D9"/>
      <w:tabs>
        <w:tab w:val="left" w:pos="992"/>
      </w:tabs>
      <w:ind w:left="119" w:right="119"/>
    </w:pPr>
    <w:rPr>
      <w:sz w:val="20"/>
    </w:rPr>
  </w:style>
  <w:style w:type="paragraph" w:customStyle="1" w:styleId="MarginIcons">
    <w:name w:val="Margin Icons"/>
    <w:basedOn w:val="BodyText"/>
    <w:rsid w:val="00121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0FE"/>
    <w:rPr>
      <w:rFonts w:ascii="Courier New" w:hAnsi="Courier New"/>
    </w:rPr>
  </w:style>
  <w:style w:type="paragraph" w:customStyle="1" w:styleId="NoteBullet">
    <w:name w:val="Note Bullet"/>
    <w:basedOn w:val="Note"/>
    <w:rsid w:val="001210FE"/>
    <w:pPr>
      <w:tabs>
        <w:tab w:val="clear" w:pos="680"/>
      </w:tabs>
      <w:spacing w:before="60" w:after="60"/>
    </w:pPr>
  </w:style>
  <w:style w:type="paragraph" w:customStyle="1" w:styleId="SubHeading2">
    <w:name w:val="SubHeading2"/>
    <w:basedOn w:val="HeadingBase"/>
    <w:rsid w:val="001210FE"/>
    <w:pPr>
      <w:spacing w:before="240" w:after="60"/>
    </w:pPr>
    <w:rPr>
      <w:sz w:val="20"/>
    </w:rPr>
  </w:style>
  <w:style w:type="paragraph" w:customStyle="1" w:styleId="SubHeading1">
    <w:name w:val="SubHeading1"/>
    <w:basedOn w:val="HeadingBase"/>
    <w:rsid w:val="001210FE"/>
    <w:pPr>
      <w:spacing w:before="240" w:after="60"/>
    </w:pPr>
    <w:rPr>
      <w:color w:val="918585"/>
      <w:sz w:val="22"/>
    </w:rPr>
  </w:style>
  <w:style w:type="paragraph" w:customStyle="1" w:styleId="SideHeading">
    <w:name w:val="Side Heading"/>
    <w:basedOn w:val="HeadingBase"/>
    <w:rsid w:val="00121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0FE"/>
    <w:pPr>
      <w:numPr>
        <w:numId w:val="10"/>
      </w:numPr>
    </w:pPr>
  </w:style>
  <w:style w:type="paragraph" w:styleId="PlainText">
    <w:name w:val="Plain Text"/>
    <w:basedOn w:val="Normal"/>
    <w:link w:val="PlainTextChar"/>
    <w:rsid w:val="001210FE"/>
    <w:rPr>
      <w:sz w:val="20"/>
    </w:rPr>
  </w:style>
  <w:style w:type="character" w:customStyle="1" w:styleId="PlainTextChar">
    <w:name w:val="Plain Text Char"/>
    <w:basedOn w:val="DefaultParagraphFont"/>
    <w:link w:val="PlainText"/>
    <w:rsid w:val="001210FE"/>
    <w:rPr>
      <w:rFonts w:ascii="Courier New" w:eastAsia="Times New Roman" w:hAnsi="Courier New" w:cs="Times New Roman"/>
      <w:sz w:val="20"/>
      <w:szCs w:val="20"/>
      <w:lang w:eastAsia="en-US"/>
    </w:rPr>
  </w:style>
  <w:style w:type="character" w:customStyle="1" w:styleId="MenuOption">
    <w:name w:val="Menu Option"/>
    <w:basedOn w:val="DefaultParagraphFont"/>
    <w:rsid w:val="001210FE"/>
    <w:rPr>
      <w:b/>
      <w:smallCaps/>
    </w:rPr>
  </w:style>
  <w:style w:type="paragraph" w:customStyle="1" w:styleId="TableListNumber">
    <w:name w:val="Table List Number"/>
    <w:basedOn w:val="ListNumber"/>
    <w:rsid w:val="001210FE"/>
    <w:pPr>
      <w:numPr>
        <w:numId w:val="0"/>
      </w:numPr>
    </w:pPr>
  </w:style>
  <w:style w:type="paragraph" w:styleId="TOC4">
    <w:name w:val="toc 4"/>
    <w:basedOn w:val="TOCBase"/>
    <w:next w:val="Normal"/>
    <w:semiHidden/>
    <w:rsid w:val="001210FE"/>
    <w:pPr>
      <w:tabs>
        <w:tab w:val="right" w:leader="dot" w:pos="9071"/>
      </w:tabs>
      <w:ind w:left="1701"/>
    </w:pPr>
  </w:style>
  <w:style w:type="paragraph" w:customStyle="1" w:styleId="ListAlpha">
    <w:name w:val="List Alpha"/>
    <w:basedOn w:val="List"/>
    <w:rsid w:val="001210FE"/>
    <w:pPr>
      <w:numPr>
        <w:numId w:val="8"/>
      </w:numPr>
    </w:pPr>
  </w:style>
  <w:style w:type="paragraph" w:customStyle="1" w:styleId="ListAlpha2">
    <w:name w:val="List Alpha 2"/>
    <w:basedOn w:val="List2"/>
    <w:rsid w:val="001210FE"/>
    <w:pPr>
      <w:numPr>
        <w:numId w:val="7"/>
      </w:numPr>
    </w:pPr>
  </w:style>
  <w:style w:type="paragraph" w:styleId="List2">
    <w:name w:val="List 2"/>
    <w:basedOn w:val="BodyText"/>
    <w:rsid w:val="001210FE"/>
    <w:pPr>
      <w:tabs>
        <w:tab w:val="left" w:pos="680"/>
      </w:tabs>
      <w:spacing w:before="60" w:after="60"/>
      <w:ind w:left="680" w:hanging="340"/>
    </w:pPr>
  </w:style>
  <w:style w:type="paragraph" w:styleId="List3">
    <w:name w:val="List 3"/>
    <w:basedOn w:val="BodyText"/>
    <w:rsid w:val="001210FE"/>
    <w:pPr>
      <w:tabs>
        <w:tab w:val="left" w:pos="1021"/>
      </w:tabs>
      <w:spacing w:before="60" w:after="60"/>
      <w:ind w:left="1020" w:hanging="340"/>
    </w:pPr>
  </w:style>
  <w:style w:type="paragraph" w:styleId="List4">
    <w:name w:val="List 4"/>
    <w:basedOn w:val="BodyText"/>
    <w:rsid w:val="001210FE"/>
    <w:pPr>
      <w:tabs>
        <w:tab w:val="left" w:pos="1361"/>
      </w:tabs>
      <w:spacing w:before="60" w:after="60"/>
      <w:ind w:left="1361" w:hanging="340"/>
    </w:pPr>
  </w:style>
  <w:style w:type="paragraph" w:styleId="List5">
    <w:name w:val="List 5"/>
    <w:basedOn w:val="BodyText"/>
    <w:rsid w:val="001210FE"/>
    <w:pPr>
      <w:tabs>
        <w:tab w:val="left" w:pos="1701"/>
      </w:tabs>
      <w:spacing w:before="60" w:after="60"/>
      <w:ind w:left="1701" w:hanging="340"/>
    </w:pPr>
  </w:style>
  <w:style w:type="paragraph" w:styleId="ListBullet3">
    <w:name w:val="List Bullet 3"/>
    <w:basedOn w:val="List3"/>
    <w:rsid w:val="001210FE"/>
    <w:pPr>
      <w:numPr>
        <w:numId w:val="13"/>
      </w:numPr>
      <w:tabs>
        <w:tab w:val="clear" w:pos="1021"/>
      </w:tabs>
      <w:ind w:left="1037" w:hanging="357"/>
    </w:pPr>
  </w:style>
  <w:style w:type="paragraph" w:styleId="ListBullet4">
    <w:name w:val="List Bullet 4"/>
    <w:basedOn w:val="List4"/>
    <w:rsid w:val="001210FE"/>
    <w:pPr>
      <w:numPr>
        <w:numId w:val="2"/>
      </w:numPr>
      <w:tabs>
        <w:tab w:val="clear" w:pos="1361"/>
      </w:tabs>
    </w:pPr>
  </w:style>
  <w:style w:type="paragraph" w:styleId="ListBullet5">
    <w:name w:val="List Bullet 5"/>
    <w:basedOn w:val="List5"/>
    <w:rsid w:val="001210FE"/>
    <w:pPr>
      <w:numPr>
        <w:numId w:val="3"/>
      </w:numPr>
    </w:pPr>
  </w:style>
  <w:style w:type="paragraph" w:styleId="ListContinue2">
    <w:name w:val="List Continue 2"/>
    <w:basedOn w:val="List2"/>
    <w:rsid w:val="001210FE"/>
    <w:pPr>
      <w:ind w:firstLine="0"/>
    </w:pPr>
  </w:style>
  <w:style w:type="paragraph" w:styleId="ListContinue3">
    <w:name w:val="List Continue 3"/>
    <w:basedOn w:val="List3"/>
    <w:rsid w:val="001210FE"/>
    <w:pPr>
      <w:ind w:left="1021" w:firstLine="0"/>
    </w:pPr>
  </w:style>
  <w:style w:type="paragraph" w:styleId="ListContinue4">
    <w:name w:val="List Continue 4"/>
    <w:basedOn w:val="List4"/>
    <w:rsid w:val="001210FE"/>
    <w:pPr>
      <w:ind w:firstLine="0"/>
    </w:pPr>
  </w:style>
  <w:style w:type="paragraph" w:styleId="ListContinue5">
    <w:name w:val="List Continue 5"/>
    <w:basedOn w:val="List5"/>
    <w:rsid w:val="001210FE"/>
    <w:pPr>
      <w:ind w:firstLine="0"/>
    </w:pPr>
  </w:style>
  <w:style w:type="paragraph" w:styleId="ListNumber3">
    <w:name w:val="List Number 3"/>
    <w:basedOn w:val="List3"/>
    <w:rsid w:val="001210FE"/>
    <w:pPr>
      <w:numPr>
        <w:numId w:val="4"/>
      </w:numPr>
    </w:pPr>
  </w:style>
  <w:style w:type="paragraph" w:styleId="ListNumber4">
    <w:name w:val="List Number 4"/>
    <w:basedOn w:val="List4"/>
    <w:rsid w:val="001210FE"/>
    <w:pPr>
      <w:numPr>
        <w:numId w:val="5"/>
      </w:numPr>
    </w:pPr>
  </w:style>
  <w:style w:type="paragraph" w:styleId="ListNumber5">
    <w:name w:val="List Number 5"/>
    <w:basedOn w:val="List5"/>
    <w:rsid w:val="001210FE"/>
    <w:pPr>
      <w:numPr>
        <w:numId w:val="6"/>
      </w:numPr>
    </w:pPr>
  </w:style>
  <w:style w:type="paragraph" w:styleId="BlockText">
    <w:name w:val="Block Text"/>
    <w:basedOn w:val="Normal"/>
    <w:rsid w:val="001210FE"/>
    <w:pPr>
      <w:spacing w:after="120"/>
      <w:ind w:left="1440" w:right="1440"/>
    </w:pPr>
  </w:style>
  <w:style w:type="character" w:customStyle="1" w:styleId="Subscript">
    <w:name w:val="Subscript"/>
    <w:basedOn w:val="DefaultParagraphFont"/>
    <w:rsid w:val="001210FE"/>
    <w:rPr>
      <w:sz w:val="16"/>
      <w:vertAlign w:val="subscript"/>
    </w:rPr>
  </w:style>
  <w:style w:type="character" w:customStyle="1" w:styleId="Superscript">
    <w:name w:val="Superscript"/>
    <w:basedOn w:val="DefaultParagraphFont"/>
    <w:rsid w:val="001210FE"/>
    <w:rPr>
      <w:sz w:val="16"/>
      <w:vertAlign w:val="superscript"/>
    </w:rPr>
  </w:style>
  <w:style w:type="character" w:customStyle="1" w:styleId="Symbols">
    <w:name w:val="Symbols"/>
    <w:basedOn w:val="DefaultParagraphFont"/>
    <w:rsid w:val="001210FE"/>
    <w:rPr>
      <w:rFonts w:ascii="Symbol" w:hAnsi="Symbol"/>
    </w:rPr>
  </w:style>
  <w:style w:type="character" w:customStyle="1" w:styleId="MenuOptions">
    <w:name w:val="Menu Options"/>
    <w:basedOn w:val="DefaultParagraphFont"/>
    <w:rsid w:val="001210FE"/>
    <w:rPr>
      <w:rFonts w:ascii="Arial Narrow" w:hAnsi="Arial Narrow"/>
      <w:smallCaps/>
    </w:rPr>
  </w:style>
  <w:style w:type="character" w:customStyle="1" w:styleId="Buttons">
    <w:name w:val="Buttons"/>
    <w:basedOn w:val="DefaultParagraphFont"/>
    <w:rsid w:val="001210FE"/>
    <w:rPr>
      <w:b/>
    </w:rPr>
  </w:style>
  <w:style w:type="character" w:customStyle="1" w:styleId="Underlined">
    <w:name w:val="Underlined"/>
    <w:basedOn w:val="DefaultParagraphFont"/>
    <w:rsid w:val="001210FE"/>
    <w:rPr>
      <w:u w:val="single"/>
    </w:rPr>
  </w:style>
  <w:style w:type="paragraph" w:customStyle="1" w:styleId="TableBodyTextRight">
    <w:name w:val="Table Body Text Right"/>
    <w:basedOn w:val="TableBodyText"/>
    <w:rsid w:val="001210FE"/>
    <w:pPr>
      <w:widowControl w:val="0"/>
      <w:autoSpaceDE w:val="0"/>
      <w:autoSpaceDN w:val="0"/>
      <w:adjustRightInd w:val="0"/>
      <w:jc w:val="right"/>
    </w:pPr>
    <w:rPr>
      <w:rFonts w:cs="Arial"/>
      <w:szCs w:val="18"/>
    </w:rPr>
  </w:style>
  <w:style w:type="paragraph" w:customStyle="1" w:styleId="CopyrightText">
    <w:name w:val="Copyright Text"/>
    <w:basedOn w:val="BodyText"/>
    <w:rsid w:val="001210FE"/>
    <w:rPr>
      <w:sz w:val="18"/>
    </w:rPr>
  </w:style>
  <w:style w:type="paragraph" w:customStyle="1" w:styleId="BodySmallRight">
    <w:name w:val="Body Small Right"/>
    <w:basedOn w:val="BodyTextRight"/>
    <w:rsid w:val="001210FE"/>
    <w:rPr>
      <w:sz w:val="18"/>
      <w:szCs w:val="18"/>
    </w:rPr>
  </w:style>
  <w:style w:type="paragraph" w:customStyle="1" w:styleId="MarginEdition">
    <w:name w:val="Margin Edition"/>
    <w:basedOn w:val="MarginNote"/>
    <w:rsid w:val="001210FE"/>
    <w:pPr>
      <w:spacing w:before="0" w:after="0"/>
    </w:pPr>
    <w:rPr>
      <w:rFonts w:ascii="Times New Roman" w:hAnsi="Times New Roman"/>
      <w:color w:val="999999"/>
    </w:rPr>
  </w:style>
  <w:style w:type="paragraph" w:customStyle="1" w:styleId="Spacer">
    <w:name w:val="Spacer"/>
    <w:basedOn w:val="Normal"/>
    <w:rsid w:val="001210FE"/>
    <w:rPr>
      <w:sz w:val="2"/>
      <w:szCs w:val="2"/>
    </w:rPr>
  </w:style>
  <w:style w:type="character" w:customStyle="1" w:styleId="Small">
    <w:name w:val="Small"/>
    <w:basedOn w:val="DefaultParagraphFont"/>
    <w:rsid w:val="001210FE"/>
    <w:rPr>
      <w:sz w:val="16"/>
    </w:rPr>
  </w:style>
  <w:style w:type="paragraph" w:customStyle="1" w:styleId="WideTable">
    <w:name w:val="Wide Table"/>
    <w:basedOn w:val="Normal"/>
    <w:rsid w:val="001210FE"/>
    <w:pPr>
      <w:ind w:left="-1418"/>
    </w:pPr>
    <w:rPr>
      <w:sz w:val="2"/>
      <w:szCs w:val="2"/>
    </w:rPr>
  </w:style>
  <w:style w:type="character" w:styleId="PageNumber">
    <w:name w:val="page number"/>
    <w:basedOn w:val="DefaultParagraphFont"/>
    <w:rsid w:val="001210FE"/>
  </w:style>
  <w:style w:type="paragraph" w:styleId="Quote">
    <w:name w:val="Quote"/>
    <w:basedOn w:val="Heading1"/>
    <w:link w:val="QuoteChar"/>
    <w:qFormat/>
    <w:rsid w:val="001210FE"/>
    <w:rPr>
      <w:b w:val="0"/>
      <w:sz w:val="72"/>
      <w:szCs w:val="72"/>
      <w:lang w:val="en-NZ"/>
    </w:rPr>
  </w:style>
  <w:style w:type="character" w:customStyle="1" w:styleId="QuoteChar">
    <w:name w:val="Quote Char"/>
    <w:basedOn w:val="DefaultParagraphFont"/>
    <w:link w:val="Quote"/>
    <w:rsid w:val="00121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0FE"/>
    <w:pPr>
      <w:pageBreakBefore/>
    </w:pPr>
  </w:style>
  <w:style w:type="paragraph" w:customStyle="1" w:styleId="Border">
    <w:name w:val="Border"/>
    <w:basedOn w:val="Normal"/>
    <w:qFormat/>
    <w:rsid w:val="00121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0FE"/>
    <w:rPr>
      <w:b/>
      <w:bCs/>
      <w:i/>
      <w:iCs/>
      <w:color w:val="auto"/>
    </w:rPr>
  </w:style>
  <w:style w:type="paragraph" w:styleId="IntenseQuote">
    <w:name w:val="Intense Quote"/>
    <w:basedOn w:val="Normal"/>
    <w:next w:val="Normal"/>
    <w:link w:val="IntenseQuoteChar"/>
    <w:uiPriority w:val="30"/>
    <w:qFormat/>
    <w:rsid w:val="00121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0FE"/>
    <w:rPr>
      <w:smallCaps/>
      <w:color w:val="auto"/>
      <w:u w:val="single"/>
    </w:rPr>
  </w:style>
  <w:style w:type="character" w:styleId="IntenseReference">
    <w:name w:val="Intense Reference"/>
    <w:basedOn w:val="DefaultParagraphFont"/>
    <w:uiPriority w:val="32"/>
    <w:qFormat/>
    <w:rsid w:val="001210FE"/>
    <w:rPr>
      <w:b/>
      <w:bCs/>
      <w:smallCaps/>
      <w:color w:val="auto"/>
      <w:spacing w:val="5"/>
      <w:u w:val="single"/>
    </w:rPr>
  </w:style>
  <w:style w:type="paragraph" w:customStyle="1" w:styleId="2ColumnHeading">
    <w:name w:val="2Column Heading"/>
    <w:basedOn w:val="BodyText"/>
    <w:qFormat/>
    <w:rsid w:val="001210FE"/>
    <w:pPr>
      <w:spacing w:after="60"/>
      <w:ind w:left="-2268"/>
    </w:pPr>
    <w:rPr>
      <w:b/>
    </w:rPr>
  </w:style>
  <w:style w:type="paragraph" w:customStyle="1" w:styleId="Heading1TOC">
    <w:name w:val="Heading1 TOC"/>
    <w:basedOn w:val="Normal"/>
    <w:qFormat/>
    <w:rsid w:val="001210FE"/>
    <w:pPr>
      <w:spacing w:before="240" w:after="120"/>
    </w:pPr>
    <w:rPr>
      <w:rFonts w:ascii="Times New Roman" w:hAnsi="Times New Roman"/>
      <w:b/>
      <w:sz w:val="32"/>
    </w:rPr>
  </w:style>
  <w:style w:type="paragraph" w:customStyle="1" w:styleId="Heading2TOC">
    <w:name w:val="Heading2 TOC"/>
    <w:basedOn w:val="Normal"/>
    <w:qFormat/>
    <w:rsid w:val="001210FE"/>
    <w:pPr>
      <w:spacing w:before="240" w:after="60"/>
    </w:pPr>
    <w:rPr>
      <w:rFonts w:ascii="Times New Roman" w:hAnsi="Times New Roman"/>
      <w:b/>
      <w:sz w:val="28"/>
    </w:rPr>
  </w:style>
  <w:style w:type="character" w:customStyle="1" w:styleId="Underline">
    <w:name w:val="Underline"/>
    <w:basedOn w:val="DefaultParagraphFont"/>
    <w:qFormat/>
    <w:rsid w:val="001210FE"/>
    <w:rPr>
      <w:u w:val="single"/>
    </w:rPr>
  </w:style>
  <w:style w:type="character" w:customStyle="1" w:styleId="BoldandItalics">
    <w:name w:val="Bold and Italics"/>
    <w:qFormat/>
    <w:rsid w:val="001210FE"/>
    <w:rPr>
      <w:b/>
      <w:i/>
      <w:u w:val="none"/>
    </w:rPr>
  </w:style>
  <w:style w:type="paragraph" w:styleId="BalloonText">
    <w:name w:val="Balloon Text"/>
    <w:basedOn w:val="Normal"/>
    <w:link w:val="BalloonTextChar"/>
    <w:rsid w:val="001210FE"/>
    <w:rPr>
      <w:rFonts w:ascii="Tahoma" w:hAnsi="Tahoma" w:cs="Tahoma"/>
      <w:sz w:val="16"/>
      <w:szCs w:val="16"/>
    </w:rPr>
  </w:style>
  <w:style w:type="character" w:customStyle="1" w:styleId="BalloonTextChar">
    <w:name w:val="Balloon Text Char"/>
    <w:basedOn w:val="DefaultParagraphFont"/>
    <w:link w:val="BalloonText"/>
    <w:rsid w:val="00121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0FE"/>
    <w:rPr>
      <w:b/>
      <w:color w:val="660033"/>
      <w:spacing w:val="0"/>
    </w:rPr>
  </w:style>
  <w:style w:type="paragraph" w:customStyle="1" w:styleId="Nameditemlist">
    <w:name w:val="Named item list"/>
    <w:basedOn w:val="BodyText"/>
    <w:qFormat/>
    <w:rsid w:val="001210FE"/>
    <w:pPr>
      <w:tabs>
        <w:tab w:val="left" w:pos="2835"/>
      </w:tabs>
      <w:ind w:left="2835" w:hanging="2835"/>
    </w:pPr>
  </w:style>
  <w:style w:type="paragraph" w:customStyle="1" w:styleId="BodyTextnopadding">
    <w:name w:val="Body Text no padding"/>
    <w:basedOn w:val="BodyText"/>
    <w:qFormat/>
    <w:rsid w:val="001210FE"/>
    <w:pPr>
      <w:spacing w:before="0" w:after="0"/>
    </w:pPr>
  </w:style>
  <w:style w:type="paragraph" w:customStyle="1" w:styleId="BodyTextBold">
    <w:name w:val="Body Text Bold"/>
    <w:basedOn w:val="BodyText"/>
    <w:qFormat/>
    <w:rsid w:val="001210FE"/>
    <w:rPr>
      <w:b/>
    </w:rPr>
  </w:style>
  <w:style w:type="character" w:styleId="Hyperlink">
    <w:name w:val="Hyperlink"/>
    <w:basedOn w:val="DefaultParagraphFont"/>
    <w:uiPriority w:val="99"/>
    <w:unhideWhenUsed/>
    <w:rsid w:val="00390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6642</Characters>
  <Application>Microsoft Office Word</Application>
  <DocSecurity>0</DocSecurity>
  <Lines>301</Lines>
  <Paragraphs>150</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MARF047 Monitor compliance with legislative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2024-11-25T11:22:00Z</dcterms:created>
  <dcterms:modified xsi:type="dcterms:W3CDTF">2024-11-25T11:22:00Z</dcterms:modified>
</cp:coreProperties>
</file>