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496" w:rsidP="00E61496">
      <w:pPr>
        <w:pStyle w:val="Title"/>
      </w:pPr>
      <w:r>
        <w:fldChar w:fldCharType="begin"/>
      </w:r>
      <w:r>
        <w:instrText xml:space="preserve"> TITLE   \* MERGEFORMAT </w:instrText>
      </w:r>
      <w:r>
        <w:fldChar w:fldCharType="separate"/>
      </w:r>
      <w:r>
        <w:t>MARF037 Follow vessel security procedures (security awareness training)</w:t>
      </w:r>
      <w:r>
        <w:fldChar w:fldCharType="end"/>
      </w:r>
    </w:p>
    <w:p w:rsidR="00E61496" w:rsidP="00E61496">
      <w:pPr>
        <w:pStyle w:val="Version"/>
        <w:sectPr w:rsidSect="00B618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1828" w:rsidP="00B61828">
      <w:pPr>
        <w:pStyle w:val="SuperHeading"/>
      </w:pPr>
      <w:r w:rsidRPr="00B61828">
        <w:t>MARF037 Follow vessel security procedures (security awareness training)</w:t>
      </w:r>
    </w:p>
    <w:p w:rsidR="00000000" w:rsidRPr="00B61828" w:rsidP="00B61828">
      <w:pPr>
        <w:pStyle w:val="Heading1"/>
      </w:pPr>
      <w:bookmarkStart w:id="1" w:name="O_1285289"/>
      <w:bookmarkEnd w:id="1"/>
      <w:r w:rsidRPr="00B61828">
        <w:t>Modification History</w:t>
      </w:r>
    </w:p>
    <w:tbl>
      <w:tblPr>
        <w:tblW w:w="9497" w:type="dxa"/>
        <w:tblLayout w:type="fixed"/>
        <w:tblCellMar>
          <w:left w:w="62" w:type="dxa"/>
          <w:right w:w="62" w:type="dxa"/>
        </w:tblCellMar>
        <w:tblLook w:val="0000"/>
      </w:tblPr>
      <w:tblGrid>
        <w:gridCol w:w="9497"/>
      </w:tblGrid>
      <w:tr w:rsidTr="00B61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828" w:rsidP="00B61828">
            <w:pPr>
              <w:pStyle w:val="BodyText"/>
            </w:pPr>
            <w:r w:rsidRPr="00B61828">
              <w:rPr>
                <w:rStyle w:val="SpecialBold"/>
              </w:rPr>
              <w:t>Release 2</w:t>
            </w:r>
            <w:r w:rsidRPr="00B61828">
              <w:t>. This is the second release of this unit of competency in the MAR Maritime Training Package.</w:t>
            </w:r>
          </w:p>
          <w:p w:rsidR="00000000" w:rsidP="00B61828">
            <w:pPr>
              <w:pStyle w:val="ListBullet"/>
              <w:rPr>
                <w:lang w:val="en-NZ"/>
              </w:rPr>
            </w:pPr>
            <w:r w:rsidRPr="00B61828">
              <w:t>Minor stat</w:t>
            </w:r>
            <w:r w:rsidRPr="00B61828">
              <w:t>ement changes in unit Application.</w:t>
            </w:r>
          </w:p>
        </w:tc>
      </w:tr>
      <w:tr w:rsidTr="00B61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828" w:rsidP="00B61828">
            <w:pPr>
              <w:pStyle w:val="BodyText"/>
            </w:pPr>
            <w:r w:rsidRPr="00B61828">
              <w:rPr>
                <w:rStyle w:val="SpecialBold"/>
              </w:rPr>
              <w:t>Release 1</w:t>
            </w:r>
            <w:r w:rsidRPr="00B61828">
              <w:t>. This is the first release of this unit of competency in the MAR Maritime Training Package.</w:t>
            </w:r>
          </w:p>
        </w:tc>
      </w:tr>
    </w:tbl>
    <w:p w:rsidR="00000000" w:rsidRPr="00B61828" w:rsidP="00B61828">
      <w:pPr>
        <w:pStyle w:val="NoPaddingFontSize1"/>
      </w:pPr>
    </w:p>
    <w:p w:rsidR="00000000" w:rsidRPr="00B61828" w:rsidP="00B61828">
      <w:pPr>
        <w:pStyle w:val="AllowPageBreak"/>
      </w:pPr>
    </w:p>
    <w:p w:rsidR="00000000" w:rsidRPr="00B61828" w:rsidP="00B61828">
      <w:pPr>
        <w:pStyle w:val="Heading1"/>
      </w:pPr>
      <w:bookmarkStart w:id="2" w:name="O_1285288"/>
      <w:bookmarkEnd w:id="2"/>
      <w:r w:rsidRPr="00B61828">
        <w:t>Application</w:t>
      </w:r>
    </w:p>
    <w:tbl>
      <w:tblPr>
        <w:tblW w:w="9497" w:type="dxa"/>
        <w:tblLayout w:type="fixed"/>
        <w:tblCellMar>
          <w:left w:w="62" w:type="dxa"/>
          <w:right w:w="62" w:type="dxa"/>
        </w:tblCellMar>
        <w:tblLook w:val="0000"/>
      </w:tblPr>
      <w:tblGrid>
        <w:gridCol w:w="9497"/>
      </w:tblGrid>
      <w:tr w:rsidTr="00B61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828" w:rsidP="00B61828">
            <w:pPr>
              <w:pStyle w:val="BodyText"/>
            </w:pPr>
            <w:r w:rsidRPr="00B61828">
              <w:t>This unit involves the skills and knowledge required to recognise and report security</w:t>
            </w:r>
            <w:r w:rsidRPr="00B61828">
              <w:t xml:space="preserve"> threats.</w:t>
            </w:r>
          </w:p>
          <w:p w:rsidR="00000000" w:rsidRPr="00B61828" w:rsidP="00B61828">
            <w:pPr>
              <w:pStyle w:val="BodyText"/>
            </w:pPr>
            <w:r w:rsidRPr="00B61828">
              <w:t xml:space="preserve">It applies to deck and engine workers working in the maritime industry requiring a Certificate of Safety Training. </w:t>
            </w:r>
          </w:p>
          <w:p w:rsidR="00000000" w:rsidRPr="00B61828" w:rsidP="00B61828">
            <w:pPr>
              <w:pStyle w:val="BodyText"/>
            </w:pPr>
            <w:r w:rsidRPr="00B61828">
              <w:t>This unit applies to people working in the maritime industry in the capacity of:</w:t>
            </w:r>
          </w:p>
          <w:p w:rsidR="00000000" w:rsidRPr="00B61828" w:rsidP="00B61828">
            <w:pPr>
              <w:pStyle w:val="ListBullet"/>
            </w:pPr>
            <w:r w:rsidRPr="00B61828">
              <w:t>Chief Integrated Rating</w:t>
            </w:r>
          </w:p>
          <w:p w:rsidR="00000000" w:rsidRPr="00B61828" w:rsidP="00B61828">
            <w:pPr>
              <w:pStyle w:val="ListBullet"/>
            </w:pPr>
            <w:r w:rsidRPr="00B61828">
              <w:t>Electro-Technical Office</w:t>
            </w:r>
            <w:r w:rsidRPr="00B61828">
              <w:t>r (STCW Electro-Technical Officer Unlimited)</w:t>
            </w:r>
          </w:p>
          <w:p w:rsidR="00000000" w:rsidRPr="00B61828" w:rsidP="00B61828">
            <w:pPr>
              <w:pStyle w:val="ListBullet"/>
            </w:pPr>
            <w:r w:rsidRPr="00B61828">
              <w:t>Engineer Class 3 Near Coastal</w:t>
            </w:r>
          </w:p>
          <w:p w:rsidR="00000000" w:rsidRPr="00B61828" w:rsidP="00B61828">
            <w:pPr>
              <w:pStyle w:val="ListBullet"/>
            </w:pPr>
            <w:r w:rsidRPr="00B61828">
              <w:t>Engineer Watchkeeper (STCW Engineer Watchkeeper Unlimited)</w:t>
            </w:r>
          </w:p>
          <w:p w:rsidR="00000000" w:rsidRPr="00B61828" w:rsidP="00B61828">
            <w:pPr>
              <w:pStyle w:val="ListBullet"/>
            </w:pPr>
            <w:r w:rsidRPr="00B61828">
              <w:t>Integrated Rating</w:t>
            </w:r>
          </w:p>
          <w:p w:rsidR="00000000" w:rsidRPr="00B61828" w:rsidP="00B61828">
            <w:pPr>
              <w:pStyle w:val="ListBullet"/>
            </w:pPr>
            <w:r w:rsidRPr="00B61828">
              <w:t>Master of a commercial vessel up to 100 metres in length within the exclusive economic zone (EEZ)</w:t>
            </w:r>
          </w:p>
          <w:p w:rsidR="00000000" w:rsidRPr="00B61828" w:rsidP="00B61828">
            <w:pPr>
              <w:pStyle w:val="ListBullet"/>
            </w:pPr>
            <w:r w:rsidRPr="00B61828">
              <w:t>Master of a commercial vessel up to 500 gross tonnages (GT)</w:t>
            </w:r>
          </w:p>
          <w:p w:rsidR="00000000" w:rsidRPr="00B61828" w:rsidP="00B61828">
            <w:pPr>
              <w:pStyle w:val="ListBullet"/>
            </w:pPr>
            <w:r w:rsidRPr="00B61828">
              <w:t>Master of a commercial vessel unlimited</w:t>
            </w:r>
          </w:p>
          <w:p w:rsidR="00000000" w:rsidRPr="00B61828" w:rsidP="00B61828">
            <w:pPr>
              <w:pStyle w:val="ListBullet"/>
            </w:pPr>
            <w:r w:rsidRPr="00B61828">
              <w:t>Watchkeeper Deck.</w:t>
            </w:r>
          </w:p>
          <w:p w:rsidR="00000000" w:rsidRPr="00B61828" w:rsidP="00B61828">
            <w:pPr>
              <w:pStyle w:val="BodyText"/>
            </w:pPr>
            <w:r w:rsidRPr="00B61828">
              <w:rPr>
                <w:rStyle w:val="SpecialBold"/>
              </w:rPr>
              <w:t>Licensing/Regulatory Information</w:t>
            </w:r>
          </w:p>
          <w:p w:rsidR="00000000" w:rsidRPr="00B61828" w:rsidP="00B61828">
            <w:pPr>
              <w:pStyle w:val="BodyText"/>
            </w:pPr>
            <w:r w:rsidRPr="00B61828">
              <w:t xml:space="preserve">This unit is equivalent to and delivers the objectives of the following STCW provisions </w:t>
            </w:r>
          </w:p>
          <w:p w:rsidR="00000000" w:rsidRPr="00B61828" w:rsidP="00B61828">
            <w:pPr>
              <w:pStyle w:val="ListBullet"/>
            </w:pPr>
            <w:r w:rsidRPr="00B61828">
              <w:t>STCW Reg VI/6 (</w:t>
            </w:r>
            <w:r w:rsidRPr="00B61828">
              <w:t>1) and Code Section A-VI/6 (4), Table A-VI/6-1.</w:t>
            </w:r>
          </w:p>
          <w:p w:rsidR="00000000" w:rsidRPr="00B61828" w:rsidP="00B61828">
            <w:pPr>
              <w:pStyle w:val="BodyText"/>
            </w:pPr>
            <w:r w:rsidRPr="00B61828">
              <w:t>Legislative and regulatory requirements are applicable to this unit.</w:t>
            </w:r>
          </w:p>
          <w:p w:rsidR="00000000" w:rsidRPr="00B61828" w:rsidP="00B61828">
            <w:pPr>
              <w:pStyle w:val="ListBullet"/>
            </w:pPr>
            <w:r w:rsidRPr="00B61828">
              <w:t>Regulatory requirements include STCW International Maritime Organization (IMO) model course competencies and areas of knowledge, understan</w:t>
            </w:r>
            <w:r w:rsidRPr="00B61828">
              <w:t>ding and proficiency, together with the estimated total hours required for lectures and practical exercises. Teaching staff should note that timings are suggestions only and should be adapted to suit individual groups of trainees depending on their experie</w:t>
            </w:r>
            <w:r w:rsidRPr="00B61828">
              <w:t>nce, ability, equipment and staff available for training</w:t>
            </w:r>
          </w:p>
          <w:p w:rsidR="00000000" w:rsidRPr="00B61828" w:rsidP="00B61828">
            <w:pPr>
              <w:pStyle w:val="BodyText"/>
            </w:pPr>
            <w:r w:rsidRPr="00B61828">
              <w:rPr>
                <w:rStyle w:val="SpecialBold"/>
              </w:rPr>
              <w:t>Near Coastal Qualifications:</w:t>
            </w:r>
          </w:p>
          <w:p w:rsidR="00000000" w:rsidRPr="00B61828" w:rsidP="00B61828">
            <w:pPr>
              <w:pStyle w:val="ListBullet"/>
            </w:pPr>
            <w:r w:rsidRPr="00B61828">
              <w:t>This unit is one of the requirements to obtain Australian Maritime Safety Authority (AMSA) certification as an Engineer Near Coastal or Master up to 100 metres Near Coas</w:t>
            </w:r>
            <w:r w:rsidRPr="00B61828">
              <w:t xml:space="preserve">tal as </w:t>
            </w:r>
            <w:r w:rsidRPr="00B61828">
              <w:t>specified in Marine Order 505.</w:t>
            </w:r>
          </w:p>
          <w:p w:rsidR="00000000" w:rsidRPr="00B61828" w:rsidP="00B61828">
            <w:pPr>
              <w:pStyle w:val="BodyText"/>
            </w:pPr>
            <w:r w:rsidRPr="00B61828">
              <w:rPr>
                <w:rStyle w:val="SpecialBold"/>
              </w:rPr>
              <w:t>Blue Waters Qualifications:</w:t>
            </w:r>
          </w:p>
          <w:p w:rsidR="00000000" w:rsidRPr="00B61828" w:rsidP="00B61828">
            <w:pPr>
              <w:pStyle w:val="ListBullet"/>
            </w:pPr>
            <w:r w:rsidRPr="00B61828">
              <w:t>This unit is one of the requirements to obtain AMSA certification as a Chief Integrated Rating, Electro-Technical Officer (STCW Electro-Technical Officer Unlimited), Engineer Watchkeeper (S</w:t>
            </w:r>
            <w:r w:rsidRPr="00B61828">
              <w:t xml:space="preserve">TCW Engineer Watchkeeper Unlimited), Integrated Rating, Master of a commercial vessel up to 500 gross tonnage (GT), Master Unlimited or Watchkeeper Deck and to meet regulatory requirements this unit must be delivered consistent with Marine Orders and with </w:t>
            </w:r>
            <w:r w:rsidRPr="00B61828">
              <w:t>the relevant sections of the International Convention on Standards of Training, Certification and Watchkeeping for Seafarers (STCW).</w:t>
            </w:r>
          </w:p>
          <w:p w:rsidR="00000000" w:rsidRPr="00B61828" w:rsidP="00B61828">
            <w:pPr>
              <w:pStyle w:val="BodyText"/>
            </w:pPr>
            <w:r w:rsidRPr="00B61828">
              <w:t>Training providers seeking to offer this unit of competency must gain AMSA approval before the unit is offered.</w:t>
            </w:r>
          </w:p>
          <w:p w:rsidR="00000000" w:rsidRPr="00B61828" w:rsidP="00B61828">
            <w:pPr>
              <w:pStyle w:val="BodyText"/>
            </w:pPr>
            <w:r w:rsidRPr="00B61828">
              <w:t>Seafarers s</w:t>
            </w:r>
            <w:r w:rsidRPr="00B61828">
              <w:t>eeking certification should check with AMSA.</w:t>
            </w:r>
          </w:p>
        </w:tc>
      </w:tr>
    </w:tbl>
    <w:p w:rsidR="00000000" w:rsidRPr="00B61828" w:rsidP="00B61828">
      <w:pPr>
        <w:pStyle w:val="NoPaddingFontSize1"/>
      </w:pPr>
    </w:p>
    <w:p w:rsidR="00000000" w:rsidRPr="00B61828" w:rsidP="00B61828">
      <w:pPr>
        <w:pStyle w:val="AllowPageBreak"/>
      </w:pPr>
    </w:p>
    <w:p w:rsidR="00000000" w:rsidRPr="00B61828" w:rsidP="00B61828">
      <w:pPr>
        <w:pStyle w:val="Heading1"/>
      </w:pPr>
      <w:bookmarkStart w:id="3" w:name="O_1285287"/>
      <w:bookmarkEnd w:id="3"/>
      <w:r w:rsidRPr="00B61828">
        <w:t>Pre-requisite Unit</w:t>
      </w:r>
    </w:p>
    <w:tbl>
      <w:tblPr>
        <w:tblW w:w="9497" w:type="dxa"/>
        <w:tblLayout w:type="fixed"/>
        <w:tblCellMar>
          <w:left w:w="62" w:type="dxa"/>
          <w:right w:w="62" w:type="dxa"/>
        </w:tblCellMar>
        <w:tblLook w:val="0000"/>
      </w:tblPr>
      <w:tblGrid>
        <w:gridCol w:w="9497"/>
      </w:tblGrid>
      <w:tr w:rsidTr="00B61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828" w:rsidP="00B61828">
            <w:pPr>
              <w:pStyle w:val="BodyText"/>
            </w:pPr>
            <w:r w:rsidRPr="00B61828">
              <w:t>Not applicable.</w:t>
            </w:r>
          </w:p>
        </w:tc>
      </w:tr>
    </w:tbl>
    <w:p w:rsidR="00E61496" w:rsidP="00B61828">
      <w:pPr>
        <w:pStyle w:val="NoPaddingFontSize1"/>
      </w:pPr>
    </w:p>
    <w:p w:rsidR="00E61496" w:rsidP="00B61828">
      <w:pPr>
        <w:pStyle w:val="NoPaddingFontSize1"/>
      </w:pPr>
    </w:p>
    <w:p w:rsidR="00000000" w:rsidRPr="00B61828" w:rsidP="00B61828">
      <w:pPr>
        <w:pStyle w:val="Heading1"/>
      </w:pPr>
      <w:bookmarkStart w:id="4" w:name="O_1285286"/>
      <w:bookmarkEnd w:id="4"/>
      <w:r w:rsidRPr="00B61828">
        <w:t>Competency Field</w:t>
      </w:r>
    </w:p>
    <w:tbl>
      <w:tblPr>
        <w:tblW w:w="9497" w:type="dxa"/>
        <w:tblLayout w:type="fixed"/>
        <w:tblCellMar>
          <w:left w:w="62" w:type="dxa"/>
          <w:right w:w="62" w:type="dxa"/>
        </w:tblCellMar>
        <w:tblLook w:val="0000"/>
      </w:tblPr>
      <w:tblGrid>
        <w:gridCol w:w="9497"/>
      </w:tblGrid>
      <w:tr w:rsidTr="00B61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828" w:rsidP="00B61828">
            <w:pPr>
              <w:pStyle w:val="BodyText"/>
            </w:pPr>
            <w:r w:rsidRPr="00B61828">
              <w:t>F - Operational Quality and Safety</w:t>
            </w:r>
          </w:p>
        </w:tc>
      </w:tr>
    </w:tbl>
    <w:p w:rsidR="00E61496" w:rsidP="00B61828">
      <w:pPr>
        <w:pStyle w:val="NoPaddingFontSize1"/>
      </w:pPr>
    </w:p>
    <w:p w:rsidR="00E61496" w:rsidP="00B61828">
      <w:pPr>
        <w:pStyle w:val="NoPaddingFontSize1"/>
      </w:pPr>
    </w:p>
    <w:p w:rsidR="00000000" w:rsidRPr="00B61828" w:rsidP="00B61828">
      <w:pPr>
        <w:pStyle w:val="Heading1"/>
      </w:pPr>
      <w:bookmarkStart w:id="5" w:name="O_1285285"/>
      <w:bookmarkEnd w:id="5"/>
      <w:r w:rsidRPr="00B61828">
        <w:t>Unit Sector</w:t>
      </w:r>
    </w:p>
    <w:tbl>
      <w:tblPr>
        <w:tblW w:w="9497" w:type="dxa"/>
        <w:tblLayout w:type="fixed"/>
        <w:tblCellMar>
          <w:left w:w="62" w:type="dxa"/>
          <w:right w:w="62" w:type="dxa"/>
        </w:tblCellMar>
        <w:tblLook w:val="0000"/>
      </w:tblPr>
      <w:tblGrid>
        <w:gridCol w:w="9497"/>
      </w:tblGrid>
      <w:tr w:rsidTr="00B61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828" w:rsidP="00B61828">
            <w:pPr>
              <w:pStyle w:val="BodyText"/>
            </w:pPr>
            <w:r w:rsidRPr="00B61828">
              <w:t>Not applicable.</w:t>
            </w:r>
          </w:p>
        </w:tc>
      </w:tr>
    </w:tbl>
    <w:p w:rsidR="00E61496" w:rsidP="00B61828">
      <w:pPr>
        <w:pStyle w:val="NoPaddingFontSize1"/>
      </w:pPr>
    </w:p>
    <w:p w:rsidR="00E61496" w:rsidP="00B61828">
      <w:pPr>
        <w:pStyle w:val="NoPaddingFontSize1"/>
      </w:pPr>
    </w:p>
    <w:p w:rsidR="00000000" w:rsidRPr="00B61828" w:rsidP="00B61828">
      <w:pPr>
        <w:pStyle w:val="Heading1"/>
      </w:pPr>
      <w:bookmarkStart w:id="6" w:name="O_1285284"/>
      <w:bookmarkEnd w:id="6"/>
      <w:r w:rsidRPr="00B61828">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B6182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61828" w:rsidP="00B61828">
            <w:pPr>
              <w:pStyle w:val="BodyText"/>
            </w:pPr>
            <w:r w:rsidRPr="00B61828">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rPr>
                <w:rStyle w:val="SpecialBold"/>
              </w:rPr>
              <w:t>PERFORMANCE CRITERIA</w:t>
            </w:r>
          </w:p>
        </w:tc>
      </w:tr>
      <w:tr w:rsidTr="00B6182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t>Performance criteria describe the performance needed to demonstrate achievement of the element.</w:t>
            </w:r>
          </w:p>
        </w:tc>
      </w:tr>
      <w:tr w:rsidTr="00B618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B61828" w:rsidP="00B61828">
            <w:pPr>
              <w:pStyle w:val="BodyText"/>
            </w:pPr>
            <w:r w:rsidRPr="00B61828">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B61828" w:rsidP="00B61828">
            <w:pPr>
              <w:pStyle w:val="BodyText"/>
            </w:pPr>
            <w:r w:rsidRPr="00B61828">
              <w:rPr>
                <w:rStyle w:val="SpecialBold"/>
              </w:rPr>
              <w:t>Contribute to enhancing security through heightened awareness</w:t>
            </w:r>
          </w:p>
        </w:tc>
        <w:tc>
          <w:tcPr>
            <w:tcW w:w="702"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t>Legislative and organisational requirements related to maintaining security of a vessel are identified and followed</w:t>
            </w:r>
          </w:p>
        </w:tc>
      </w:tr>
      <w:tr w:rsidTr="00B618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618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t>Organisational security procedures are identified and followed</w:t>
            </w:r>
          </w:p>
        </w:tc>
      </w:tr>
      <w:tr w:rsidTr="00B618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618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t>Duty of care requirements are ascertained and complied with</w:t>
            </w:r>
          </w:p>
        </w:tc>
      </w:tr>
      <w:tr w:rsidTr="00B618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618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t xml:space="preserve">Need for, and methods of, maintaining security </w:t>
            </w:r>
            <w:r w:rsidRPr="00B61828">
              <w:t xml:space="preserve">awareness and vigilance are identified </w:t>
            </w:r>
          </w:p>
        </w:tc>
      </w:tr>
      <w:tr w:rsidTr="00B618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618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t>Own role and responsibilities are recognised</w:t>
            </w:r>
          </w:p>
        </w:tc>
      </w:tr>
      <w:tr w:rsidTr="00B618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618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t>Role of designated personnel for security response is ascertained</w:t>
            </w:r>
          </w:p>
        </w:tc>
      </w:tr>
      <w:tr w:rsidTr="00B618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618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t>Work health and safety (WHS)/occupational health and safety (OHS) requirements are recognised and complied with</w:t>
            </w:r>
          </w:p>
        </w:tc>
      </w:tr>
      <w:tr w:rsidTr="00B618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B61828" w:rsidP="00B61828">
            <w:pPr>
              <w:pStyle w:val="BodyText"/>
            </w:pPr>
            <w:r w:rsidRPr="00B61828">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B61828" w:rsidP="00B61828">
            <w:pPr>
              <w:pStyle w:val="BodyText"/>
            </w:pPr>
            <w:r w:rsidRPr="00B61828">
              <w:rPr>
                <w:rStyle w:val="SpecialBold"/>
              </w:rPr>
              <w:t>Recognise potential security threats</w:t>
            </w:r>
          </w:p>
        </w:tc>
        <w:tc>
          <w:tcPr>
            <w:tcW w:w="702"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t>Potential security threats relating to a vessel are identified in accordance with ships security plan</w:t>
            </w:r>
          </w:p>
        </w:tc>
      </w:tr>
      <w:tr w:rsidTr="00B618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618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t>Procedures for monitoring security of a vessel are recognised</w:t>
            </w:r>
          </w:p>
        </w:tc>
      </w:tr>
      <w:tr w:rsidTr="00B618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618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t>Factors with increased security risk are identified</w:t>
            </w:r>
          </w:p>
        </w:tc>
      </w:tr>
      <w:tr w:rsidTr="00B618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618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t>Types and purpose of security equipment are explained</w:t>
            </w:r>
          </w:p>
        </w:tc>
      </w:tr>
      <w:tr w:rsidTr="00B618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618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t>Emergency and evacuation procedures are identified and implemented</w:t>
            </w:r>
          </w:p>
        </w:tc>
      </w:tr>
      <w:tr w:rsidTr="00B618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618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t>Appropriate actions for maintaining security and safety of self, others and the vessel are identified and followed</w:t>
            </w:r>
          </w:p>
        </w:tc>
      </w:tr>
      <w:tr w:rsidTr="00B618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B61828" w:rsidP="00B61828">
            <w:pPr>
              <w:pStyle w:val="BodyText"/>
            </w:pPr>
            <w:r w:rsidRPr="00B61828">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B61828" w:rsidP="00B61828">
            <w:pPr>
              <w:pStyle w:val="BodyText"/>
            </w:pPr>
            <w:r w:rsidRPr="00B61828">
              <w:rPr>
                <w:rStyle w:val="SpecialBold"/>
              </w:rPr>
              <w:t>Com</w:t>
            </w:r>
            <w:r w:rsidRPr="00B61828">
              <w:rPr>
                <w:rStyle w:val="SpecialBold"/>
              </w:rPr>
              <w:t>ply with reporting processes</w:t>
            </w:r>
          </w:p>
        </w:tc>
        <w:tc>
          <w:tcPr>
            <w:tcW w:w="702"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t>Organisational procedures for reporting security risks and incidents are accessed and followed</w:t>
            </w:r>
          </w:p>
        </w:tc>
      </w:tr>
      <w:tr w:rsidTr="00B6182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618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61828">
            <w:pPr>
              <w:pStyle w:val="BodyText"/>
              <w:rPr>
                <w:lang w:val="en-NZ"/>
              </w:rPr>
            </w:pPr>
            <w:r w:rsidRPr="00B61828">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B61828" w:rsidP="00B61828">
            <w:pPr>
              <w:pStyle w:val="BodyText"/>
            </w:pPr>
            <w:r w:rsidRPr="00B61828">
              <w:t>Chain of command of designated personnel is confirmed</w:t>
            </w:r>
          </w:p>
        </w:tc>
      </w:tr>
    </w:tbl>
    <w:p w:rsidR="00000000" w:rsidRPr="00B61828" w:rsidP="00B61828">
      <w:pPr>
        <w:pStyle w:val="NoPaddingFontSize1"/>
      </w:pPr>
    </w:p>
    <w:p w:rsidR="00000000" w:rsidRPr="00B61828" w:rsidP="00B61828">
      <w:pPr>
        <w:pStyle w:val="AllowPageBreak"/>
      </w:pPr>
    </w:p>
    <w:p w:rsidR="00000000" w:rsidRPr="00B61828" w:rsidP="00B61828">
      <w:pPr>
        <w:pStyle w:val="Heading1"/>
      </w:pPr>
      <w:bookmarkStart w:id="7" w:name="O_1285283"/>
      <w:bookmarkEnd w:id="7"/>
      <w:r w:rsidRPr="00B61828">
        <w:t>Foundation Skills</w:t>
      </w:r>
    </w:p>
    <w:tbl>
      <w:tblPr>
        <w:tblW w:w="9497" w:type="dxa"/>
        <w:tblLayout w:type="fixed"/>
        <w:tblCellMar>
          <w:left w:w="62" w:type="dxa"/>
          <w:right w:w="62" w:type="dxa"/>
        </w:tblCellMar>
        <w:tblLook w:val="0000"/>
      </w:tblPr>
      <w:tblGrid>
        <w:gridCol w:w="9497"/>
      </w:tblGrid>
      <w:tr w:rsidTr="00B61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828" w:rsidP="00B61828">
            <w:pPr>
              <w:pStyle w:val="BodyText"/>
            </w:pPr>
            <w:r w:rsidRPr="00B61828">
              <w:t>Foundation skills essential to performance are explicit in the performance criteria of this unit of competency.</w:t>
            </w:r>
          </w:p>
        </w:tc>
      </w:tr>
    </w:tbl>
    <w:p w:rsidR="00E61496" w:rsidP="00B61828">
      <w:pPr>
        <w:pStyle w:val="NoPaddingFontSize1"/>
      </w:pPr>
    </w:p>
    <w:p w:rsidR="00E61496" w:rsidP="00B61828">
      <w:pPr>
        <w:pStyle w:val="NoPaddingFontSize1"/>
      </w:pPr>
    </w:p>
    <w:p w:rsidR="00000000" w:rsidRPr="00B61828" w:rsidP="00B61828">
      <w:pPr>
        <w:pStyle w:val="Heading1"/>
      </w:pPr>
      <w:bookmarkStart w:id="8" w:name="O_1285282"/>
      <w:bookmarkEnd w:id="8"/>
      <w:r w:rsidRPr="00B61828">
        <w:t>Range of Conditions</w:t>
      </w:r>
    </w:p>
    <w:tbl>
      <w:tblPr>
        <w:tblW w:w="9497" w:type="dxa"/>
        <w:tblLayout w:type="fixed"/>
        <w:tblCellMar>
          <w:left w:w="62" w:type="dxa"/>
          <w:right w:w="62" w:type="dxa"/>
        </w:tblCellMar>
        <w:tblLook w:val="0000"/>
      </w:tblPr>
      <w:tblGrid>
        <w:gridCol w:w="9497"/>
      </w:tblGrid>
      <w:tr w:rsidTr="00B61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828" w:rsidP="00B61828">
            <w:pPr>
              <w:pStyle w:val="BodyText"/>
            </w:pPr>
            <w:r w:rsidRPr="00B61828">
              <w:t>Range is restricted to essential operating conditions and any other variables essential to the work en</w:t>
            </w:r>
            <w:r w:rsidRPr="00B61828">
              <w:t>vironment.</w:t>
            </w:r>
          </w:p>
        </w:tc>
      </w:tr>
    </w:tbl>
    <w:p w:rsidR="00E61496" w:rsidP="00B61828">
      <w:pPr>
        <w:pStyle w:val="NoPaddingFontSize1"/>
      </w:pPr>
    </w:p>
    <w:p w:rsidR="00E61496" w:rsidP="00B61828">
      <w:pPr>
        <w:pStyle w:val="NoPaddingFontSize1"/>
      </w:pPr>
    </w:p>
    <w:p w:rsidR="00000000" w:rsidRPr="00B61828" w:rsidP="00B61828">
      <w:pPr>
        <w:pStyle w:val="Heading1"/>
      </w:pPr>
      <w:bookmarkStart w:id="9" w:name="O_1285281"/>
      <w:bookmarkEnd w:id="9"/>
      <w:r w:rsidRPr="00B61828">
        <w:t>Unit Mapping Information</w:t>
      </w:r>
    </w:p>
    <w:tbl>
      <w:tblPr>
        <w:tblW w:w="9497" w:type="dxa"/>
        <w:tblLayout w:type="fixed"/>
        <w:tblCellMar>
          <w:left w:w="62" w:type="dxa"/>
          <w:right w:w="62" w:type="dxa"/>
        </w:tblCellMar>
        <w:tblLook w:val="0000"/>
      </w:tblPr>
      <w:tblGrid>
        <w:gridCol w:w="9497"/>
      </w:tblGrid>
      <w:tr w:rsidTr="00B61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828" w:rsidP="00B61828">
            <w:pPr>
              <w:pStyle w:val="BodyText"/>
            </w:pPr>
            <w:r w:rsidRPr="00B61828">
              <w:t>This unit replaces and is equivalent to MARF003 Follow vessel security procedures.</w:t>
            </w:r>
          </w:p>
        </w:tc>
      </w:tr>
    </w:tbl>
    <w:p w:rsidR="00E61496" w:rsidP="00B61828">
      <w:pPr>
        <w:pStyle w:val="NoPaddingFontSize1"/>
      </w:pPr>
    </w:p>
    <w:p w:rsidR="00E61496" w:rsidP="00B61828">
      <w:pPr>
        <w:pStyle w:val="NoPaddingFontSize1"/>
      </w:pPr>
    </w:p>
    <w:p w:rsidR="00000000" w:rsidRPr="00B61828" w:rsidP="00B61828">
      <w:pPr>
        <w:pStyle w:val="Heading1"/>
      </w:pPr>
      <w:bookmarkStart w:id="10" w:name="O_1285290"/>
      <w:bookmarkEnd w:id="10"/>
      <w:r w:rsidRPr="00B61828">
        <w:t>Links</w:t>
      </w:r>
    </w:p>
    <w:p w:rsidR="00000000" w:rsidRPr="00B61828" w:rsidP="00E61496">
      <w:pPr>
        <w:pStyle w:val="BodyText"/>
      </w:pPr>
      <w:r w:rsidRPr="00B6182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05A60">
        <w:rPr>
          <w:rStyle w:val="Hyperlink"/>
        </w:rPr>
        <w:t>https://vetnet.gov.au/Pages/TrainingDocs.aspx?q=772efb7b-4cce-47fe-9bbd-ee3b1d1eb4c2</w:t>
      </w:r>
      <w:r>
        <w:fldChar w:fldCharType="end"/>
      </w:r>
    </w:p>
    <w:p w:rsidR="00000000" w:rsidRPr="00B61828" w:rsidP="00B61828"/>
    <w:sectPr w:rsidSect="00B618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8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828" w:rsidRPr="00E61496" w:rsidP="00E614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8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496" w:rsidP="00B618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1496" w:rsidP="00B6182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61496" w:rsidP="00B618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8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4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1828" w:rsidRPr="00E61496" w:rsidP="00E614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8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496" w:rsidRPr="002D2AF8" w:rsidP="00B61828">
    <w:pPr>
      <w:pStyle w:val="Header"/>
      <w:framePr w:wrap="around"/>
    </w:pPr>
    <w:r>
      <w:fldChar w:fldCharType="begin"/>
    </w:r>
    <w:r>
      <w:instrText xml:space="preserve"> TITLE   \* MERGEFORMAT </w:instrText>
    </w:r>
    <w:r>
      <w:fldChar w:fldCharType="separate"/>
    </w:r>
    <w:r>
      <w:t>MARF037 Follow vessel security procedures (security awareness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E61496" w:rsidP="00B618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8C28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6C20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8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828"/>
    <w:pPr>
      <w:spacing w:before="360" w:after="60"/>
      <w:outlineLvl w:val="0"/>
    </w:pPr>
    <w:rPr>
      <w:sz w:val="32"/>
    </w:rPr>
  </w:style>
  <w:style w:type="paragraph" w:styleId="Heading2">
    <w:name w:val="heading 2"/>
    <w:basedOn w:val="HeadingBase"/>
    <w:next w:val="BodyText"/>
    <w:link w:val="Heading2Char"/>
    <w:qFormat/>
    <w:rsid w:val="00B61828"/>
    <w:pPr>
      <w:keepLines/>
      <w:spacing w:before="240" w:after="120"/>
      <w:outlineLvl w:val="1"/>
    </w:pPr>
    <w:rPr>
      <w:sz w:val="28"/>
      <w:szCs w:val="40"/>
    </w:rPr>
  </w:style>
  <w:style w:type="paragraph" w:styleId="Heading3">
    <w:name w:val="heading 3"/>
    <w:basedOn w:val="HeadingBase"/>
    <w:next w:val="BodyText"/>
    <w:link w:val="Heading3Char"/>
    <w:qFormat/>
    <w:rsid w:val="00B61828"/>
    <w:pPr>
      <w:spacing w:before="180" w:after="120"/>
      <w:outlineLvl w:val="2"/>
    </w:pPr>
    <w:rPr>
      <w:spacing w:val="-10"/>
      <w:kern w:val="32"/>
    </w:rPr>
  </w:style>
  <w:style w:type="paragraph" w:styleId="Heading4">
    <w:name w:val="heading 4"/>
    <w:basedOn w:val="HeadingBase"/>
    <w:next w:val="BodyText"/>
    <w:link w:val="Heading4Char"/>
    <w:qFormat/>
    <w:rsid w:val="00B61828"/>
    <w:pPr>
      <w:spacing w:before="160" w:after="120"/>
      <w:outlineLvl w:val="3"/>
    </w:pPr>
    <w:rPr>
      <w:sz w:val="22"/>
    </w:rPr>
  </w:style>
  <w:style w:type="paragraph" w:styleId="Heading5">
    <w:name w:val="heading 5"/>
    <w:basedOn w:val="HeadingBase"/>
    <w:next w:val="Normal"/>
    <w:link w:val="Heading5Char"/>
    <w:qFormat/>
    <w:rsid w:val="00B61828"/>
    <w:pPr>
      <w:spacing w:before="80"/>
      <w:outlineLvl w:val="4"/>
    </w:pPr>
    <w:rPr>
      <w:color w:val="918585"/>
      <w:sz w:val="20"/>
    </w:rPr>
  </w:style>
  <w:style w:type="paragraph" w:styleId="Heading6">
    <w:name w:val="heading 6"/>
    <w:basedOn w:val="HeadingBase"/>
    <w:next w:val="Normal"/>
    <w:link w:val="Heading6Char"/>
    <w:qFormat/>
    <w:rsid w:val="00B61828"/>
    <w:pPr>
      <w:spacing w:before="60"/>
      <w:outlineLvl w:val="5"/>
    </w:pPr>
    <w:rPr>
      <w:color w:val="918585"/>
      <w:sz w:val="20"/>
    </w:rPr>
  </w:style>
  <w:style w:type="paragraph" w:styleId="Heading7">
    <w:name w:val="heading 7"/>
    <w:basedOn w:val="Normal"/>
    <w:next w:val="Normal"/>
    <w:link w:val="Heading7Char"/>
    <w:qFormat/>
    <w:rsid w:val="00B61828"/>
    <w:pPr>
      <w:ind w:left="720"/>
      <w:outlineLvl w:val="6"/>
    </w:pPr>
    <w:rPr>
      <w:i/>
    </w:rPr>
  </w:style>
  <w:style w:type="paragraph" w:styleId="Heading8">
    <w:name w:val="heading 8"/>
    <w:basedOn w:val="Normal"/>
    <w:next w:val="Normal"/>
    <w:link w:val="Heading8Char"/>
    <w:qFormat/>
    <w:rsid w:val="00B61828"/>
    <w:pPr>
      <w:ind w:left="720"/>
      <w:outlineLvl w:val="7"/>
    </w:pPr>
    <w:rPr>
      <w:i/>
    </w:rPr>
  </w:style>
  <w:style w:type="paragraph" w:styleId="Heading9">
    <w:name w:val="heading 9"/>
    <w:basedOn w:val="Normal"/>
    <w:next w:val="Normal"/>
    <w:link w:val="Heading9Char"/>
    <w:qFormat/>
    <w:rsid w:val="00B61828"/>
    <w:pPr>
      <w:ind w:left="720"/>
      <w:outlineLvl w:val="8"/>
    </w:pPr>
    <w:rPr>
      <w:i/>
    </w:rPr>
  </w:style>
  <w:style w:type="character" w:default="1" w:styleId="DefaultParagraphFont">
    <w:name w:val="Default Paragraph Font"/>
    <w:uiPriority w:val="1"/>
    <w:unhideWhenUsed/>
    <w:rsid w:val="00B618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828"/>
  </w:style>
  <w:style w:type="character" w:customStyle="1" w:styleId="Heading1Char">
    <w:name w:val="Heading 1 Char"/>
    <w:basedOn w:val="DefaultParagraphFont"/>
    <w:link w:val="Heading1"/>
    <w:rsid w:val="00B61828"/>
    <w:rPr>
      <w:rFonts w:ascii="Times New Roman" w:eastAsia="Times New Roman" w:hAnsi="Times New Roman" w:cs="Times New Roman"/>
      <w:b/>
      <w:sz w:val="32"/>
      <w:szCs w:val="20"/>
      <w:lang w:eastAsia="en-US"/>
    </w:rPr>
  </w:style>
  <w:style w:type="paragraph" w:styleId="BodyText">
    <w:name w:val="Body Text"/>
    <w:basedOn w:val="Normal"/>
    <w:link w:val="BodyTextChar"/>
    <w:rsid w:val="00B618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1828"/>
    <w:rPr>
      <w:rFonts w:ascii="Times New Roman" w:eastAsia="Times New Roman" w:hAnsi="Times New Roman" w:cs="Times New Roman"/>
      <w:sz w:val="24"/>
      <w:lang w:eastAsia="en-US"/>
    </w:rPr>
  </w:style>
  <w:style w:type="paragraph" w:styleId="ListBullet">
    <w:name w:val="List Bullet"/>
    <w:basedOn w:val="List"/>
    <w:rsid w:val="00B61828"/>
    <w:pPr>
      <w:numPr>
        <w:numId w:val="11"/>
      </w:numPr>
      <w:tabs>
        <w:tab w:val="clear" w:pos="340"/>
      </w:tabs>
      <w:spacing w:before="40" w:after="40"/>
    </w:pPr>
  </w:style>
  <w:style w:type="character" w:customStyle="1" w:styleId="SpecialBold">
    <w:name w:val="Special Bold"/>
    <w:basedOn w:val="DefaultParagraphFont"/>
    <w:rsid w:val="00B61828"/>
    <w:rPr>
      <w:b/>
      <w:spacing w:val="0"/>
    </w:rPr>
  </w:style>
  <w:style w:type="paragraph" w:customStyle="1" w:styleId="SuperHeading">
    <w:name w:val="SuperHeading"/>
    <w:basedOn w:val="Normal"/>
    <w:rsid w:val="00B61828"/>
    <w:pPr>
      <w:spacing w:before="240" w:after="120"/>
      <w:outlineLvl w:val="0"/>
    </w:pPr>
    <w:rPr>
      <w:rFonts w:ascii="Times New Roman" w:hAnsi="Times New Roman"/>
      <w:b/>
      <w:sz w:val="32"/>
    </w:rPr>
  </w:style>
  <w:style w:type="paragraph" w:customStyle="1" w:styleId="AllowPageBreak">
    <w:name w:val="AllowPageBreak"/>
    <w:rsid w:val="00B618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18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8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8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8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8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8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8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828"/>
    <w:rPr>
      <w:rFonts w:ascii="Courier New" w:eastAsia="Times New Roman" w:hAnsi="Courier New" w:cs="Times New Roman"/>
      <w:i/>
      <w:szCs w:val="20"/>
      <w:lang w:eastAsia="en-US"/>
    </w:rPr>
  </w:style>
  <w:style w:type="paragraph" w:customStyle="1" w:styleId="HeadingBase">
    <w:name w:val="Heading Base"/>
    <w:rsid w:val="00B618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828"/>
    <w:pPr>
      <w:tabs>
        <w:tab w:val="right" w:leader="dot" w:pos="9072"/>
      </w:tabs>
      <w:ind w:left="567"/>
    </w:pPr>
    <w:rPr>
      <w:szCs w:val="22"/>
    </w:rPr>
  </w:style>
  <w:style w:type="paragraph" w:customStyle="1" w:styleId="TOCBase">
    <w:name w:val="TOC Base"/>
    <w:rsid w:val="00B618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828"/>
    <w:pPr>
      <w:tabs>
        <w:tab w:val="right" w:leader="dot" w:pos="9072"/>
      </w:tabs>
      <w:spacing w:before="40" w:after="40"/>
      <w:ind w:left="284"/>
    </w:pPr>
    <w:rPr>
      <w:rFonts w:ascii="Times New Roman" w:hAnsi="Times New Roman"/>
    </w:rPr>
  </w:style>
  <w:style w:type="paragraph" w:styleId="TOC1">
    <w:name w:val="toc 1"/>
    <w:basedOn w:val="TOCBase"/>
    <w:next w:val="Normal"/>
    <w:rsid w:val="00B618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18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828"/>
    <w:rPr>
      <w:rFonts w:ascii="Times New Roman" w:eastAsia="Times New Roman" w:hAnsi="Times New Roman" w:cs="Times New Roman"/>
      <w:sz w:val="16"/>
      <w:lang w:eastAsia="en-US"/>
    </w:rPr>
  </w:style>
  <w:style w:type="paragraph" w:styleId="Title">
    <w:name w:val="Title"/>
    <w:basedOn w:val="HeadingBase"/>
    <w:link w:val="TitleChar"/>
    <w:qFormat/>
    <w:rsid w:val="00B61828"/>
    <w:pPr>
      <w:spacing w:before="5040"/>
      <w:jc w:val="center"/>
    </w:pPr>
    <w:rPr>
      <w:sz w:val="48"/>
      <w:szCs w:val="72"/>
      <w:lang w:val="en-US"/>
    </w:rPr>
  </w:style>
  <w:style w:type="character" w:customStyle="1" w:styleId="TitleChar">
    <w:name w:val="Title Char"/>
    <w:basedOn w:val="DefaultParagraphFont"/>
    <w:link w:val="Title"/>
    <w:rsid w:val="00B618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828"/>
    <w:pPr>
      <w:tabs>
        <w:tab w:val="left" w:pos="3600"/>
        <w:tab w:val="left" w:pos="3958"/>
      </w:tabs>
    </w:pPr>
  </w:style>
  <w:style w:type="paragraph" w:styleId="List">
    <w:name w:val="List"/>
    <w:basedOn w:val="BodyText"/>
    <w:next w:val="BodyText"/>
    <w:rsid w:val="00B61828"/>
    <w:pPr>
      <w:tabs>
        <w:tab w:val="left" w:pos="340"/>
      </w:tabs>
      <w:spacing w:before="60" w:after="60"/>
      <w:ind w:left="340" w:hanging="340"/>
    </w:pPr>
  </w:style>
  <w:style w:type="paragraph" w:customStyle="1" w:styleId="Note">
    <w:name w:val="Note"/>
    <w:basedOn w:val="BodyText"/>
    <w:rsid w:val="00B618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828"/>
    <w:pPr>
      <w:framePr w:wrap="auto" w:hAnchor="text" w:y="6049"/>
    </w:pPr>
    <w:rPr>
      <w:color w:val="000000"/>
      <w:sz w:val="40"/>
    </w:rPr>
  </w:style>
  <w:style w:type="paragraph" w:customStyle="1" w:styleId="TOCTitle">
    <w:name w:val="TOCTitle"/>
    <w:basedOn w:val="Heading1"/>
    <w:rsid w:val="00B61828"/>
    <w:pPr>
      <w:spacing w:after="240"/>
      <w:jc w:val="center"/>
      <w:outlineLvl w:val="9"/>
    </w:pPr>
    <w:rPr>
      <w:caps/>
    </w:rPr>
  </w:style>
  <w:style w:type="paragraph" w:customStyle="1" w:styleId="Version">
    <w:name w:val="Version"/>
    <w:rsid w:val="00B618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1828"/>
    <w:pPr>
      <w:numPr>
        <w:numId w:val="12"/>
      </w:numPr>
      <w:tabs>
        <w:tab w:val="clear" w:pos="680"/>
      </w:tabs>
    </w:pPr>
  </w:style>
  <w:style w:type="paragraph" w:styleId="Index1">
    <w:name w:val="index 1"/>
    <w:basedOn w:val="Normal"/>
    <w:next w:val="Normal"/>
    <w:semiHidden/>
    <w:rsid w:val="00B61828"/>
    <w:pPr>
      <w:keepNext w:val="0"/>
      <w:tabs>
        <w:tab w:val="right" w:pos="4176"/>
      </w:tabs>
      <w:ind w:left="198" w:hanging="198"/>
    </w:pPr>
    <w:rPr>
      <w:rFonts w:ascii="Garamond" w:hAnsi="Garamond"/>
    </w:rPr>
  </w:style>
  <w:style w:type="paragraph" w:styleId="IndexHeading">
    <w:name w:val="index heading"/>
    <w:basedOn w:val="Normal"/>
    <w:next w:val="Index1"/>
    <w:semiHidden/>
    <w:rsid w:val="00B61828"/>
    <w:pPr>
      <w:spacing w:before="120" w:after="120"/>
    </w:pPr>
    <w:rPr>
      <w:rFonts w:ascii="Arial" w:hAnsi="Arial"/>
      <w:b/>
      <w:color w:val="918585"/>
      <w:sz w:val="24"/>
    </w:rPr>
  </w:style>
  <w:style w:type="paragraph" w:styleId="Header">
    <w:name w:val="header"/>
    <w:basedOn w:val="Normal"/>
    <w:link w:val="HeaderChar"/>
    <w:rsid w:val="00B618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828"/>
    <w:rPr>
      <w:rFonts w:ascii="Times New Roman" w:eastAsia="Times New Roman" w:hAnsi="Times New Roman" w:cs="Times New Roman"/>
      <w:sz w:val="16"/>
      <w:szCs w:val="20"/>
      <w:lang w:val="en-GB" w:eastAsia="en-US"/>
    </w:rPr>
  </w:style>
  <w:style w:type="paragraph" w:customStyle="1" w:styleId="Chapter">
    <w:name w:val="Chapter"/>
    <w:basedOn w:val="Normal"/>
    <w:rsid w:val="00B61828"/>
    <w:pPr>
      <w:spacing w:before="240"/>
    </w:pPr>
    <w:rPr>
      <w:rFonts w:ascii="Times New Roman" w:hAnsi="Times New Roman"/>
      <w:smallCaps/>
      <w:spacing w:val="80"/>
      <w:sz w:val="28"/>
    </w:rPr>
  </w:style>
  <w:style w:type="paragraph" w:customStyle="1" w:styleId="InChapter">
    <w:name w:val="InChapter"/>
    <w:basedOn w:val="Heading3"/>
    <w:rsid w:val="00B61828"/>
    <w:pPr>
      <w:spacing w:after="240"/>
      <w:outlineLvl w:val="9"/>
    </w:pPr>
    <w:rPr>
      <w:noProof/>
    </w:rPr>
  </w:style>
  <w:style w:type="paragraph" w:styleId="Index2">
    <w:name w:val="index 2"/>
    <w:basedOn w:val="Normal"/>
    <w:next w:val="Normal"/>
    <w:semiHidden/>
    <w:rsid w:val="00B61828"/>
    <w:pPr>
      <w:tabs>
        <w:tab w:val="right" w:pos="4176"/>
      </w:tabs>
      <w:ind w:left="568" w:hanging="284"/>
    </w:pPr>
    <w:rPr>
      <w:rFonts w:ascii="Garamond" w:hAnsi="Garamond"/>
    </w:rPr>
  </w:style>
  <w:style w:type="paragraph" w:customStyle="1" w:styleId="Byline">
    <w:name w:val="Byline"/>
    <w:rsid w:val="00B618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828"/>
    <w:pPr>
      <w:tabs>
        <w:tab w:val="clear" w:pos="3600"/>
        <w:tab w:val="clear" w:pos="3958"/>
      </w:tabs>
      <w:jc w:val="right"/>
    </w:pPr>
  </w:style>
  <w:style w:type="character" w:styleId="Emphasis">
    <w:name w:val="Emphasis"/>
    <w:basedOn w:val="DefaultParagraphFont"/>
    <w:qFormat/>
    <w:rsid w:val="00B61828"/>
    <w:rPr>
      <w:i/>
    </w:rPr>
  </w:style>
  <w:style w:type="paragraph" w:styleId="Caption">
    <w:name w:val="caption"/>
    <w:basedOn w:val="BodyText"/>
    <w:next w:val="Normal"/>
    <w:qFormat/>
    <w:rsid w:val="00B61828"/>
    <w:pPr>
      <w:framePr w:w="2268" w:hSpace="181" w:vSpace="181" w:wrap="around" w:vAnchor="text" w:hAnchor="page" w:x="1135" w:y="285" w:anchorLock="1"/>
    </w:pPr>
    <w:rPr>
      <w:i/>
    </w:rPr>
  </w:style>
  <w:style w:type="paragraph" w:customStyle="1" w:styleId="MiniTOCTitle">
    <w:name w:val="MiniTOCTitle"/>
    <w:basedOn w:val="Heading4"/>
    <w:rsid w:val="00B61828"/>
    <w:pPr>
      <w:spacing w:before="240"/>
      <w:outlineLvl w:val="9"/>
    </w:pPr>
    <w:rPr>
      <w:noProof/>
      <w:sz w:val="24"/>
    </w:rPr>
  </w:style>
  <w:style w:type="paragraph" w:customStyle="1" w:styleId="MiniTOCItem">
    <w:name w:val="MiniTOCItem"/>
    <w:basedOn w:val="ListBullet"/>
    <w:rsid w:val="00B61828"/>
    <w:pPr>
      <w:numPr>
        <w:numId w:val="0"/>
      </w:numPr>
      <w:tabs>
        <w:tab w:val="right" w:leader="dot" w:pos="6521"/>
      </w:tabs>
      <w:spacing w:before="0" w:after="0"/>
    </w:pPr>
  </w:style>
  <w:style w:type="paragraph" w:customStyle="1" w:styleId="TOFTitle">
    <w:name w:val="TOFTitle"/>
    <w:basedOn w:val="TOCTitle"/>
    <w:rsid w:val="00B61828"/>
  </w:style>
  <w:style w:type="paragraph" w:styleId="TableofFigures">
    <w:name w:val="table of figures"/>
    <w:basedOn w:val="Normal"/>
    <w:next w:val="Normal"/>
    <w:semiHidden/>
    <w:rsid w:val="00B61828"/>
    <w:pPr>
      <w:tabs>
        <w:tab w:val="right" w:leader="dot" w:pos="9072"/>
      </w:tabs>
      <w:ind w:left="970" w:hanging="403"/>
    </w:pPr>
    <w:rPr>
      <w:rFonts w:ascii="Times New Roman" w:hAnsi="Times New Roman"/>
      <w:b/>
    </w:rPr>
  </w:style>
  <w:style w:type="paragraph" w:styleId="ListNumber">
    <w:name w:val="List Number"/>
    <w:basedOn w:val="List"/>
    <w:rsid w:val="00B61828"/>
    <w:pPr>
      <w:numPr>
        <w:numId w:val="14"/>
      </w:numPr>
      <w:tabs>
        <w:tab w:val="clear" w:pos="340"/>
      </w:tabs>
    </w:pPr>
  </w:style>
  <w:style w:type="character" w:customStyle="1" w:styleId="WingdingSymbols">
    <w:name w:val="Wingding Symbols"/>
    <w:rsid w:val="00B61828"/>
    <w:rPr>
      <w:rFonts w:ascii="Wingdings" w:hAnsi="Wingdings"/>
    </w:rPr>
  </w:style>
  <w:style w:type="paragraph" w:customStyle="1" w:styleId="TableHeading">
    <w:name w:val="Table Heading"/>
    <w:basedOn w:val="HeadingBase"/>
    <w:rsid w:val="00B61828"/>
    <w:pPr>
      <w:keepLines/>
      <w:pBdr>
        <w:bottom w:val="single" w:sz="6" w:space="1" w:color="918585"/>
      </w:pBdr>
      <w:spacing w:before="240"/>
    </w:pPr>
  </w:style>
  <w:style w:type="character" w:customStyle="1" w:styleId="HotSpot">
    <w:name w:val="HotSpot"/>
    <w:rsid w:val="00B61828"/>
    <w:rPr>
      <w:color w:val="0033CC"/>
      <w:u w:val="none"/>
    </w:rPr>
  </w:style>
  <w:style w:type="paragraph" w:customStyle="1" w:styleId="BodyTextRight">
    <w:name w:val="Body Text Right"/>
    <w:basedOn w:val="BodyText"/>
    <w:rsid w:val="00B61828"/>
    <w:pPr>
      <w:spacing w:before="0" w:after="0"/>
      <w:jc w:val="right"/>
    </w:pPr>
  </w:style>
  <w:style w:type="paragraph" w:styleId="Index3">
    <w:name w:val="index 3"/>
    <w:basedOn w:val="ListNumber2"/>
    <w:next w:val="Normal"/>
    <w:semiHidden/>
    <w:rsid w:val="00B61828"/>
    <w:pPr>
      <w:numPr>
        <w:numId w:val="0"/>
      </w:numPr>
      <w:tabs>
        <w:tab w:val="right" w:leader="dot" w:pos="4176"/>
      </w:tabs>
    </w:pPr>
  </w:style>
  <w:style w:type="paragraph" w:styleId="ListNumber2">
    <w:name w:val="List Number 2"/>
    <w:basedOn w:val="List2"/>
    <w:rsid w:val="00B61828"/>
    <w:pPr>
      <w:numPr>
        <w:numId w:val="9"/>
      </w:numPr>
      <w:tabs>
        <w:tab w:val="clear" w:pos="1060"/>
      </w:tabs>
    </w:pPr>
  </w:style>
  <w:style w:type="paragraph" w:customStyle="1" w:styleId="MarginNote">
    <w:name w:val="Margin Note"/>
    <w:basedOn w:val="BodyText"/>
    <w:rsid w:val="00B618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8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8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828"/>
    <w:rPr>
      <w:sz w:val="32"/>
    </w:rPr>
  </w:style>
  <w:style w:type="paragraph" w:customStyle="1" w:styleId="HeadingProcedure">
    <w:name w:val="Heading Procedure"/>
    <w:basedOn w:val="HeadingBase"/>
    <w:next w:val="Normal"/>
    <w:rsid w:val="00B61828"/>
    <w:pPr>
      <w:tabs>
        <w:tab w:val="left" w:pos="0"/>
      </w:tabs>
      <w:spacing w:before="120" w:after="60"/>
    </w:pPr>
    <w:rPr>
      <w:i/>
      <w:color w:val="918585"/>
      <w:sz w:val="22"/>
    </w:rPr>
  </w:style>
  <w:style w:type="paragraph" w:customStyle="1" w:styleId="TableBodyText">
    <w:name w:val="Table Body Text"/>
    <w:basedOn w:val="BodyText"/>
    <w:rsid w:val="00B61828"/>
    <w:pPr>
      <w:spacing w:before="60" w:after="60"/>
    </w:pPr>
  </w:style>
  <w:style w:type="paragraph" w:styleId="ListContinue">
    <w:name w:val="List Continue"/>
    <w:basedOn w:val="List"/>
    <w:rsid w:val="00B61828"/>
    <w:pPr>
      <w:ind w:firstLine="0"/>
    </w:pPr>
  </w:style>
  <w:style w:type="paragraph" w:customStyle="1" w:styleId="ListNote">
    <w:name w:val="List Note"/>
    <w:basedOn w:val="List"/>
    <w:rsid w:val="00B61828"/>
    <w:pPr>
      <w:pBdr>
        <w:top w:val="single" w:sz="6" w:space="2" w:color="918585"/>
        <w:bottom w:val="single" w:sz="6" w:space="2" w:color="918585"/>
      </w:pBdr>
      <w:tabs>
        <w:tab w:val="left" w:pos="1021"/>
      </w:tabs>
      <w:ind w:firstLine="0"/>
    </w:pPr>
  </w:style>
  <w:style w:type="paragraph" w:customStyle="1" w:styleId="Warning">
    <w:name w:val="Warning"/>
    <w:basedOn w:val="BodyText"/>
    <w:rsid w:val="00B61828"/>
    <w:pPr>
      <w:shd w:val="clear" w:color="auto" w:fill="D9D9D9"/>
      <w:tabs>
        <w:tab w:val="left" w:pos="992"/>
      </w:tabs>
      <w:ind w:left="119" w:right="119"/>
    </w:pPr>
    <w:rPr>
      <w:sz w:val="20"/>
    </w:rPr>
  </w:style>
  <w:style w:type="paragraph" w:customStyle="1" w:styleId="MarginIcons">
    <w:name w:val="Margin Icons"/>
    <w:basedOn w:val="BodyText"/>
    <w:rsid w:val="00B618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828"/>
    <w:rPr>
      <w:rFonts w:ascii="Courier New" w:hAnsi="Courier New"/>
    </w:rPr>
  </w:style>
  <w:style w:type="paragraph" w:customStyle="1" w:styleId="NoteBullet">
    <w:name w:val="Note Bullet"/>
    <w:basedOn w:val="Note"/>
    <w:rsid w:val="00B61828"/>
    <w:pPr>
      <w:tabs>
        <w:tab w:val="clear" w:pos="680"/>
      </w:tabs>
      <w:spacing w:before="60" w:after="60"/>
    </w:pPr>
  </w:style>
  <w:style w:type="paragraph" w:customStyle="1" w:styleId="SubHeading2">
    <w:name w:val="SubHeading2"/>
    <w:basedOn w:val="HeadingBase"/>
    <w:rsid w:val="00B61828"/>
    <w:pPr>
      <w:spacing w:before="240" w:after="60"/>
    </w:pPr>
    <w:rPr>
      <w:sz w:val="20"/>
    </w:rPr>
  </w:style>
  <w:style w:type="paragraph" w:customStyle="1" w:styleId="SubHeading1">
    <w:name w:val="SubHeading1"/>
    <w:basedOn w:val="HeadingBase"/>
    <w:rsid w:val="00B61828"/>
    <w:pPr>
      <w:spacing w:before="240" w:after="60"/>
    </w:pPr>
    <w:rPr>
      <w:color w:val="918585"/>
      <w:sz w:val="22"/>
    </w:rPr>
  </w:style>
  <w:style w:type="paragraph" w:customStyle="1" w:styleId="SideHeading">
    <w:name w:val="Side Heading"/>
    <w:basedOn w:val="HeadingBase"/>
    <w:rsid w:val="00B618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828"/>
    <w:pPr>
      <w:numPr>
        <w:numId w:val="10"/>
      </w:numPr>
    </w:pPr>
  </w:style>
  <w:style w:type="paragraph" w:styleId="PlainText">
    <w:name w:val="Plain Text"/>
    <w:basedOn w:val="Normal"/>
    <w:link w:val="PlainTextChar"/>
    <w:rsid w:val="00B61828"/>
    <w:rPr>
      <w:sz w:val="20"/>
    </w:rPr>
  </w:style>
  <w:style w:type="character" w:customStyle="1" w:styleId="PlainTextChar">
    <w:name w:val="Plain Text Char"/>
    <w:basedOn w:val="DefaultParagraphFont"/>
    <w:link w:val="PlainText"/>
    <w:rsid w:val="00B61828"/>
    <w:rPr>
      <w:rFonts w:ascii="Courier New" w:eastAsia="Times New Roman" w:hAnsi="Courier New" w:cs="Times New Roman"/>
      <w:sz w:val="20"/>
      <w:szCs w:val="20"/>
      <w:lang w:eastAsia="en-US"/>
    </w:rPr>
  </w:style>
  <w:style w:type="character" w:customStyle="1" w:styleId="MenuOption">
    <w:name w:val="Menu Option"/>
    <w:basedOn w:val="DefaultParagraphFont"/>
    <w:rsid w:val="00B61828"/>
    <w:rPr>
      <w:b/>
      <w:smallCaps/>
    </w:rPr>
  </w:style>
  <w:style w:type="paragraph" w:customStyle="1" w:styleId="TableListNumber">
    <w:name w:val="Table List Number"/>
    <w:basedOn w:val="ListNumber"/>
    <w:rsid w:val="00B61828"/>
    <w:pPr>
      <w:numPr>
        <w:numId w:val="0"/>
      </w:numPr>
    </w:pPr>
  </w:style>
  <w:style w:type="paragraph" w:styleId="TOC4">
    <w:name w:val="toc 4"/>
    <w:basedOn w:val="TOCBase"/>
    <w:next w:val="Normal"/>
    <w:semiHidden/>
    <w:rsid w:val="00B61828"/>
    <w:pPr>
      <w:tabs>
        <w:tab w:val="right" w:leader="dot" w:pos="9071"/>
      </w:tabs>
      <w:ind w:left="1701"/>
    </w:pPr>
  </w:style>
  <w:style w:type="paragraph" w:customStyle="1" w:styleId="ListAlpha">
    <w:name w:val="List Alpha"/>
    <w:basedOn w:val="List"/>
    <w:rsid w:val="00B61828"/>
    <w:pPr>
      <w:numPr>
        <w:numId w:val="8"/>
      </w:numPr>
    </w:pPr>
  </w:style>
  <w:style w:type="paragraph" w:customStyle="1" w:styleId="ListAlpha2">
    <w:name w:val="List Alpha 2"/>
    <w:basedOn w:val="List2"/>
    <w:rsid w:val="00B61828"/>
    <w:pPr>
      <w:numPr>
        <w:numId w:val="7"/>
      </w:numPr>
    </w:pPr>
  </w:style>
  <w:style w:type="paragraph" w:styleId="List2">
    <w:name w:val="List 2"/>
    <w:basedOn w:val="BodyText"/>
    <w:rsid w:val="00B61828"/>
    <w:pPr>
      <w:tabs>
        <w:tab w:val="left" w:pos="680"/>
      </w:tabs>
      <w:spacing w:before="60" w:after="60"/>
      <w:ind w:left="680" w:hanging="340"/>
    </w:pPr>
  </w:style>
  <w:style w:type="paragraph" w:styleId="List3">
    <w:name w:val="List 3"/>
    <w:basedOn w:val="BodyText"/>
    <w:rsid w:val="00B61828"/>
    <w:pPr>
      <w:tabs>
        <w:tab w:val="left" w:pos="1021"/>
      </w:tabs>
      <w:spacing w:before="60" w:after="60"/>
      <w:ind w:left="1020" w:hanging="340"/>
    </w:pPr>
  </w:style>
  <w:style w:type="paragraph" w:styleId="List4">
    <w:name w:val="List 4"/>
    <w:basedOn w:val="BodyText"/>
    <w:rsid w:val="00B61828"/>
    <w:pPr>
      <w:tabs>
        <w:tab w:val="left" w:pos="1361"/>
      </w:tabs>
      <w:spacing w:before="60" w:after="60"/>
      <w:ind w:left="1361" w:hanging="340"/>
    </w:pPr>
  </w:style>
  <w:style w:type="paragraph" w:styleId="List5">
    <w:name w:val="List 5"/>
    <w:basedOn w:val="BodyText"/>
    <w:rsid w:val="00B61828"/>
    <w:pPr>
      <w:tabs>
        <w:tab w:val="left" w:pos="1701"/>
      </w:tabs>
      <w:spacing w:before="60" w:after="60"/>
      <w:ind w:left="1701" w:hanging="340"/>
    </w:pPr>
  </w:style>
  <w:style w:type="paragraph" w:styleId="ListBullet3">
    <w:name w:val="List Bullet 3"/>
    <w:basedOn w:val="List3"/>
    <w:rsid w:val="00B61828"/>
    <w:pPr>
      <w:numPr>
        <w:numId w:val="13"/>
      </w:numPr>
      <w:tabs>
        <w:tab w:val="clear" w:pos="1021"/>
      </w:tabs>
      <w:ind w:left="1037" w:hanging="357"/>
    </w:pPr>
  </w:style>
  <w:style w:type="paragraph" w:styleId="ListBullet4">
    <w:name w:val="List Bullet 4"/>
    <w:basedOn w:val="List4"/>
    <w:rsid w:val="00B61828"/>
    <w:pPr>
      <w:numPr>
        <w:numId w:val="2"/>
      </w:numPr>
      <w:tabs>
        <w:tab w:val="clear" w:pos="1361"/>
      </w:tabs>
    </w:pPr>
  </w:style>
  <w:style w:type="paragraph" w:styleId="ListBullet5">
    <w:name w:val="List Bullet 5"/>
    <w:basedOn w:val="List5"/>
    <w:rsid w:val="00B61828"/>
    <w:pPr>
      <w:numPr>
        <w:numId w:val="3"/>
      </w:numPr>
    </w:pPr>
  </w:style>
  <w:style w:type="paragraph" w:styleId="ListContinue2">
    <w:name w:val="List Continue 2"/>
    <w:basedOn w:val="List2"/>
    <w:rsid w:val="00B61828"/>
    <w:pPr>
      <w:ind w:firstLine="0"/>
    </w:pPr>
  </w:style>
  <w:style w:type="paragraph" w:styleId="ListContinue3">
    <w:name w:val="List Continue 3"/>
    <w:basedOn w:val="List3"/>
    <w:rsid w:val="00B61828"/>
    <w:pPr>
      <w:ind w:left="1021" w:firstLine="0"/>
    </w:pPr>
  </w:style>
  <w:style w:type="paragraph" w:styleId="ListContinue4">
    <w:name w:val="List Continue 4"/>
    <w:basedOn w:val="List4"/>
    <w:rsid w:val="00B61828"/>
    <w:pPr>
      <w:ind w:firstLine="0"/>
    </w:pPr>
  </w:style>
  <w:style w:type="paragraph" w:styleId="ListContinue5">
    <w:name w:val="List Continue 5"/>
    <w:basedOn w:val="List5"/>
    <w:rsid w:val="00B61828"/>
    <w:pPr>
      <w:ind w:firstLine="0"/>
    </w:pPr>
  </w:style>
  <w:style w:type="paragraph" w:styleId="ListNumber3">
    <w:name w:val="List Number 3"/>
    <w:basedOn w:val="List3"/>
    <w:rsid w:val="00B61828"/>
    <w:pPr>
      <w:numPr>
        <w:numId w:val="4"/>
      </w:numPr>
    </w:pPr>
  </w:style>
  <w:style w:type="paragraph" w:styleId="ListNumber4">
    <w:name w:val="List Number 4"/>
    <w:basedOn w:val="List4"/>
    <w:rsid w:val="00B61828"/>
    <w:pPr>
      <w:numPr>
        <w:numId w:val="5"/>
      </w:numPr>
    </w:pPr>
  </w:style>
  <w:style w:type="paragraph" w:styleId="ListNumber5">
    <w:name w:val="List Number 5"/>
    <w:basedOn w:val="List5"/>
    <w:rsid w:val="00B61828"/>
    <w:pPr>
      <w:numPr>
        <w:numId w:val="6"/>
      </w:numPr>
    </w:pPr>
  </w:style>
  <w:style w:type="paragraph" w:styleId="BlockText">
    <w:name w:val="Block Text"/>
    <w:basedOn w:val="Normal"/>
    <w:rsid w:val="00B61828"/>
    <w:pPr>
      <w:spacing w:after="120"/>
      <w:ind w:left="1440" w:right="1440"/>
    </w:pPr>
  </w:style>
  <w:style w:type="character" w:customStyle="1" w:styleId="Subscript">
    <w:name w:val="Subscript"/>
    <w:basedOn w:val="DefaultParagraphFont"/>
    <w:rsid w:val="00B61828"/>
    <w:rPr>
      <w:sz w:val="16"/>
      <w:vertAlign w:val="subscript"/>
    </w:rPr>
  </w:style>
  <w:style w:type="character" w:customStyle="1" w:styleId="Superscript">
    <w:name w:val="Superscript"/>
    <w:basedOn w:val="DefaultParagraphFont"/>
    <w:rsid w:val="00B61828"/>
    <w:rPr>
      <w:sz w:val="16"/>
      <w:vertAlign w:val="superscript"/>
    </w:rPr>
  </w:style>
  <w:style w:type="character" w:customStyle="1" w:styleId="Symbols">
    <w:name w:val="Symbols"/>
    <w:basedOn w:val="DefaultParagraphFont"/>
    <w:rsid w:val="00B61828"/>
    <w:rPr>
      <w:rFonts w:ascii="Symbol" w:hAnsi="Symbol"/>
    </w:rPr>
  </w:style>
  <w:style w:type="character" w:customStyle="1" w:styleId="MenuOptions">
    <w:name w:val="Menu Options"/>
    <w:basedOn w:val="DefaultParagraphFont"/>
    <w:rsid w:val="00B61828"/>
    <w:rPr>
      <w:rFonts w:ascii="Arial Narrow" w:hAnsi="Arial Narrow"/>
      <w:smallCaps/>
    </w:rPr>
  </w:style>
  <w:style w:type="character" w:customStyle="1" w:styleId="Buttons">
    <w:name w:val="Buttons"/>
    <w:basedOn w:val="DefaultParagraphFont"/>
    <w:rsid w:val="00B61828"/>
    <w:rPr>
      <w:b/>
    </w:rPr>
  </w:style>
  <w:style w:type="character" w:customStyle="1" w:styleId="Underlined">
    <w:name w:val="Underlined"/>
    <w:basedOn w:val="DefaultParagraphFont"/>
    <w:rsid w:val="00B61828"/>
    <w:rPr>
      <w:u w:val="single"/>
    </w:rPr>
  </w:style>
  <w:style w:type="paragraph" w:customStyle="1" w:styleId="TableBodyTextRight">
    <w:name w:val="Table Body Text Right"/>
    <w:basedOn w:val="TableBodyText"/>
    <w:rsid w:val="00B61828"/>
    <w:pPr>
      <w:widowControl w:val="0"/>
      <w:autoSpaceDE w:val="0"/>
      <w:autoSpaceDN w:val="0"/>
      <w:adjustRightInd w:val="0"/>
      <w:jc w:val="right"/>
    </w:pPr>
    <w:rPr>
      <w:rFonts w:cs="Arial"/>
      <w:szCs w:val="18"/>
    </w:rPr>
  </w:style>
  <w:style w:type="paragraph" w:customStyle="1" w:styleId="CopyrightText">
    <w:name w:val="Copyright Text"/>
    <w:basedOn w:val="BodyText"/>
    <w:rsid w:val="00B61828"/>
    <w:rPr>
      <w:sz w:val="18"/>
    </w:rPr>
  </w:style>
  <w:style w:type="paragraph" w:customStyle="1" w:styleId="BodySmallRight">
    <w:name w:val="Body Small Right"/>
    <w:basedOn w:val="BodyTextRight"/>
    <w:rsid w:val="00B61828"/>
    <w:rPr>
      <w:sz w:val="18"/>
      <w:szCs w:val="18"/>
    </w:rPr>
  </w:style>
  <w:style w:type="paragraph" w:customStyle="1" w:styleId="MarginEdition">
    <w:name w:val="Margin Edition"/>
    <w:basedOn w:val="MarginNote"/>
    <w:rsid w:val="00B61828"/>
    <w:pPr>
      <w:spacing w:before="0" w:after="0"/>
    </w:pPr>
    <w:rPr>
      <w:rFonts w:ascii="Times New Roman" w:hAnsi="Times New Roman"/>
      <w:color w:val="999999"/>
    </w:rPr>
  </w:style>
  <w:style w:type="paragraph" w:customStyle="1" w:styleId="Spacer">
    <w:name w:val="Spacer"/>
    <w:basedOn w:val="Normal"/>
    <w:rsid w:val="00B61828"/>
    <w:rPr>
      <w:sz w:val="2"/>
      <w:szCs w:val="2"/>
    </w:rPr>
  </w:style>
  <w:style w:type="character" w:customStyle="1" w:styleId="Small">
    <w:name w:val="Small"/>
    <w:basedOn w:val="DefaultParagraphFont"/>
    <w:rsid w:val="00B61828"/>
    <w:rPr>
      <w:sz w:val="16"/>
    </w:rPr>
  </w:style>
  <w:style w:type="paragraph" w:customStyle="1" w:styleId="WideTable">
    <w:name w:val="Wide Table"/>
    <w:basedOn w:val="Normal"/>
    <w:rsid w:val="00B61828"/>
    <w:pPr>
      <w:ind w:left="-1418"/>
    </w:pPr>
    <w:rPr>
      <w:sz w:val="2"/>
      <w:szCs w:val="2"/>
    </w:rPr>
  </w:style>
  <w:style w:type="character" w:styleId="PageNumber">
    <w:name w:val="page number"/>
    <w:basedOn w:val="DefaultParagraphFont"/>
    <w:rsid w:val="00B61828"/>
  </w:style>
  <w:style w:type="paragraph" w:styleId="Quote">
    <w:name w:val="Quote"/>
    <w:basedOn w:val="Heading1"/>
    <w:link w:val="QuoteChar"/>
    <w:qFormat/>
    <w:rsid w:val="00B61828"/>
    <w:rPr>
      <w:b w:val="0"/>
      <w:sz w:val="72"/>
      <w:szCs w:val="72"/>
      <w:lang w:val="en-NZ"/>
    </w:rPr>
  </w:style>
  <w:style w:type="character" w:customStyle="1" w:styleId="QuoteChar">
    <w:name w:val="Quote Char"/>
    <w:basedOn w:val="DefaultParagraphFont"/>
    <w:link w:val="Quote"/>
    <w:rsid w:val="00B618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828"/>
    <w:pPr>
      <w:pageBreakBefore/>
    </w:pPr>
  </w:style>
  <w:style w:type="paragraph" w:customStyle="1" w:styleId="Border">
    <w:name w:val="Border"/>
    <w:basedOn w:val="Normal"/>
    <w:qFormat/>
    <w:rsid w:val="00B618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828"/>
    <w:rPr>
      <w:b/>
      <w:bCs/>
      <w:i/>
      <w:iCs/>
      <w:color w:val="auto"/>
    </w:rPr>
  </w:style>
  <w:style w:type="paragraph" w:styleId="IntenseQuote">
    <w:name w:val="Intense Quote"/>
    <w:basedOn w:val="Normal"/>
    <w:next w:val="Normal"/>
    <w:link w:val="IntenseQuoteChar"/>
    <w:uiPriority w:val="30"/>
    <w:qFormat/>
    <w:rsid w:val="00B618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8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828"/>
    <w:rPr>
      <w:smallCaps/>
      <w:color w:val="auto"/>
      <w:u w:val="single"/>
    </w:rPr>
  </w:style>
  <w:style w:type="character" w:styleId="IntenseReference">
    <w:name w:val="Intense Reference"/>
    <w:basedOn w:val="DefaultParagraphFont"/>
    <w:uiPriority w:val="32"/>
    <w:qFormat/>
    <w:rsid w:val="00B61828"/>
    <w:rPr>
      <w:b/>
      <w:bCs/>
      <w:smallCaps/>
      <w:color w:val="auto"/>
      <w:spacing w:val="5"/>
      <w:u w:val="single"/>
    </w:rPr>
  </w:style>
  <w:style w:type="paragraph" w:customStyle="1" w:styleId="2ColumnHeading">
    <w:name w:val="2Column Heading"/>
    <w:basedOn w:val="BodyText"/>
    <w:qFormat/>
    <w:rsid w:val="00B61828"/>
    <w:pPr>
      <w:spacing w:after="60"/>
      <w:ind w:left="-2268"/>
    </w:pPr>
    <w:rPr>
      <w:b/>
    </w:rPr>
  </w:style>
  <w:style w:type="paragraph" w:customStyle="1" w:styleId="Heading1TOC">
    <w:name w:val="Heading1 TOC"/>
    <w:basedOn w:val="Normal"/>
    <w:qFormat/>
    <w:rsid w:val="00B61828"/>
    <w:pPr>
      <w:spacing w:before="240" w:after="120"/>
    </w:pPr>
    <w:rPr>
      <w:rFonts w:ascii="Times New Roman" w:hAnsi="Times New Roman"/>
      <w:b/>
      <w:sz w:val="32"/>
    </w:rPr>
  </w:style>
  <w:style w:type="paragraph" w:customStyle="1" w:styleId="Heading2TOC">
    <w:name w:val="Heading2 TOC"/>
    <w:basedOn w:val="Normal"/>
    <w:qFormat/>
    <w:rsid w:val="00B61828"/>
    <w:pPr>
      <w:spacing w:before="240" w:after="60"/>
    </w:pPr>
    <w:rPr>
      <w:rFonts w:ascii="Times New Roman" w:hAnsi="Times New Roman"/>
      <w:b/>
      <w:sz w:val="28"/>
    </w:rPr>
  </w:style>
  <w:style w:type="character" w:customStyle="1" w:styleId="Underline">
    <w:name w:val="Underline"/>
    <w:basedOn w:val="DefaultParagraphFont"/>
    <w:qFormat/>
    <w:rsid w:val="00B61828"/>
    <w:rPr>
      <w:u w:val="single"/>
    </w:rPr>
  </w:style>
  <w:style w:type="character" w:customStyle="1" w:styleId="BoldandItalics">
    <w:name w:val="Bold and Italics"/>
    <w:qFormat/>
    <w:rsid w:val="00B61828"/>
    <w:rPr>
      <w:b/>
      <w:i/>
      <w:u w:val="none"/>
    </w:rPr>
  </w:style>
  <w:style w:type="paragraph" w:styleId="BalloonText">
    <w:name w:val="Balloon Text"/>
    <w:basedOn w:val="Normal"/>
    <w:link w:val="BalloonTextChar"/>
    <w:rsid w:val="00B61828"/>
    <w:rPr>
      <w:rFonts w:ascii="Tahoma" w:hAnsi="Tahoma" w:cs="Tahoma"/>
      <w:sz w:val="16"/>
      <w:szCs w:val="16"/>
    </w:rPr>
  </w:style>
  <w:style w:type="character" w:customStyle="1" w:styleId="BalloonTextChar">
    <w:name w:val="Balloon Text Char"/>
    <w:basedOn w:val="DefaultParagraphFont"/>
    <w:link w:val="BalloonText"/>
    <w:rsid w:val="00B618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8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18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828"/>
    <w:rPr>
      <w:b/>
      <w:color w:val="660033"/>
      <w:spacing w:val="0"/>
    </w:rPr>
  </w:style>
  <w:style w:type="paragraph" w:customStyle="1" w:styleId="Nameditemlist">
    <w:name w:val="Named item list"/>
    <w:basedOn w:val="BodyText"/>
    <w:qFormat/>
    <w:rsid w:val="00B61828"/>
    <w:pPr>
      <w:tabs>
        <w:tab w:val="left" w:pos="2835"/>
      </w:tabs>
      <w:ind w:left="2835" w:hanging="2835"/>
    </w:pPr>
  </w:style>
  <w:style w:type="paragraph" w:customStyle="1" w:styleId="BodyTextnopadding">
    <w:name w:val="Body Text no padding"/>
    <w:basedOn w:val="BodyText"/>
    <w:qFormat/>
    <w:rsid w:val="00B61828"/>
    <w:pPr>
      <w:spacing w:before="0" w:after="0"/>
    </w:pPr>
  </w:style>
  <w:style w:type="paragraph" w:customStyle="1" w:styleId="BodyTextBold">
    <w:name w:val="Body Text Bold"/>
    <w:basedOn w:val="BodyText"/>
    <w:qFormat/>
    <w:rsid w:val="00B61828"/>
    <w:rPr>
      <w:b/>
    </w:rPr>
  </w:style>
  <w:style w:type="character" w:styleId="Hyperlink">
    <w:name w:val="Hyperlink"/>
    <w:basedOn w:val="DefaultParagraphFont"/>
    <w:uiPriority w:val="99"/>
    <w:unhideWhenUsed/>
    <w:rsid w:val="00E614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4556</Characters>
  <Application>Microsoft Office Word</Application>
  <DocSecurity>0</DocSecurity>
  <Lines>182</Lines>
  <Paragraphs>103</Paragraphs>
  <ScaleCrop>false</ScaleCrop>
  <Company>Author-it Software Corporation Ltd.</Company>
  <LinksUpToDate>false</LinksUpToDate>
  <CharactersWithSpaces>5185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MARF037 Follow vessel security procedures (security awareness training)</dc:title>
  <dc:subject>Approved</dc:subject>
  <dc:creator>Industry Skills Australia</dc:creator>
  <cp:keywords>Release: 2</cp:keywords>
  <dc:description>Review Date: 12 April 2008</dc:description>
  <cp:lastModifiedBy>HSD_TPCMSd.prod</cp:lastModifiedBy>
  <cp:revision>3</cp:revision>
  <dcterms:created xsi:type="dcterms:W3CDTF">2024-11-25T10:52:00Z</dcterms:created>
  <dcterms:modified xsi:type="dcterms:W3CDTF">2024-11-25T10:52:00Z</dcterms:modified>
</cp:coreProperties>
</file>