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5B8" w:rsidP="002405B8">
      <w:pPr>
        <w:pStyle w:val="Title"/>
      </w:pPr>
      <w:r>
        <w:fldChar w:fldCharType="begin"/>
      </w:r>
      <w:r>
        <w:instrText xml:space="preserve"> TITLE   \* MERGEFORMAT </w:instrText>
      </w:r>
      <w:r>
        <w:fldChar w:fldCharType="separate"/>
      </w:r>
      <w:r>
        <w:t>MARF037 Follow vessel security procedures (security awareness training)</w:t>
      </w:r>
      <w:r>
        <w:fldChar w:fldCharType="end"/>
      </w:r>
    </w:p>
    <w:p w:rsidR="002405B8" w:rsidP="002405B8">
      <w:pPr>
        <w:pStyle w:val="Version"/>
        <w:sectPr w:rsidSect="004B3D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B3D0C" w:rsidP="004B3D0C">
      <w:pPr>
        <w:pStyle w:val="SuperHeading"/>
      </w:pPr>
      <w:r w:rsidRPr="004B3D0C">
        <w:t>MARF037 Follow vessel security procedures (security awareness training)</w:t>
      </w:r>
    </w:p>
    <w:p w:rsidR="00000000" w:rsidRPr="004B3D0C" w:rsidP="004B3D0C">
      <w:pPr>
        <w:pStyle w:val="Heading1"/>
      </w:pPr>
      <w:bookmarkStart w:id="1" w:name="O_1285289"/>
      <w:bookmarkEnd w:id="1"/>
      <w:r w:rsidRPr="004B3D0C">
        <w:t>Modification History</w:t>
      </w:r>
    </w:p>
    <w:tbl>
      <w:tblPr>
        <w:tblW w:w="9497" w:type="dxa"/>
        <w:tblLayout w:type="fixed"/>
        <w:tblCellMar>
          <w:left w:w="62" w:type="dxa"/>
          <w:right w:w="62" w:type="dxa"/>
        </w:tblCellMar>
        <w:tblLook w:val="0000"/>
      </w:tblPr>
      <w:tblGrid>
        <w:gridCol w:w="9497"/>
      </w:tblGrid>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rPr>
                <w:rStyle w:val="SpecialBold"/>
              </w:rPr>
              <w:t>Release 2</w:t>
            </w:r>
            <w:r w:rsidRPr="004B3D0C">
              <w:t>. This is the second release of this unit of competency in the MAR Maritime Training Package.</w:t>
            </w:r>
          </w:p>
          <w:p w:rsidR="00000000" w:rsidP="004B3D0C">
            <w:pPr>
              <w:pStyle w:val="ListBullet"/>
              <w:rPr>
                <w:lang w:val="en-NZ"/>
              </w:rPr>
            </w:pPr>
            <w:r w:rsidRPr="004B3D0C">
              <w:t>Minor statement changes in unit Application.</w:t>
            </w:r>
          </w:p>
        </w:tc>
      </w:tr>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rPr>
                <w:rStyle w:val="SpecialBold"/>
              </w:rPr>
              <w:t>Release 1</w:t>
            </w:r>
            <w:r w:rsidRPr="004B3D0C">
              <w:t>. This is the first release of this unit of competency in the MAR Maritime Training Package.</w:t>
            </w:r>
          </w:p>
        </w:tc>
      </w:tr>
    </w:tbl>
    <w:p w:rsidR="00000000" w:rsidRPr="004B3D0C" w:rsidP="004B3D0C">
      <w:pPr>
        <w:pStyle w:val="NoPaddingFontSize1"/>
      </w:pPr>
    </w:p>
    <w:p w:rsidR="00000000" w:rsidRPr="004B3D0C" w:rsidP="004B3D0C">
      <w:pPr>
        <w:pStyle w:val="AllowPageBreak"/>
      </w:pPr>
    </w:p>
    <w:p w:rsidR="00000000" w:rsidRPr="004B3D0C" w:rsidP="004B3D0C">
      <w:pPr>
        <w:pStyle w:val="Heading1"/>
      </w:pPr>
      <w:bookmarkStart w:id="2" w:name="O_1285288"/>
      <w:bookmarkEnd w:id="2"/>
      <w:r w:rsidRPr="004B3D0C">
        <w:t>Application</w:t>
      </w:r>
    </w:p>
    <w:tbl>
      <w:tblPr>
        <w:tblW w:w="9497" w:type="dxa"/>
        <w:tblLayout w:type="fixed"/>
        <w:tblCellMar>
          <w:left w:w="62" w:type="dxa"/>
          <w:right w:w="62" w:type="dxa"/>
        </w:tblCellMar>
        <w:tblLook w:val="0000"/>
      </w:tblPr>
      <w:tblGrid>
        <w:gridCol w:w="9497"/>
      </w:tblGrid>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t>This unit involves the skills and knowledge required to recognise and repor</w:t>
            </w:r>
            <w:r w:rsidRPr="004B3D0C">
              <w:t>t security threats.</w:t>
            </w:r>
          </w:p>
          <w:p w:rsidR="00000000" w:rsidRPr="004B3D0C" w:rsidP="004B3D0C">
            <w:pPr>
              <w:pStyle w:val="BodyText"/>
            </w:pPr>
            <w:r w:rsidRPr="004B3D0C">
              <w:t xml:space="preserve">It applies to deck and engine workers working in the maritime industry requiring a Certificate of Safety Training. </w:t>
            </w:r>
          </w:p>
          <w:p w:rsidR="00000000" w:rsidRPr="004B3D0C" w:rsidP="004B3D0C">
            <w:pPr>
              <w:pStyle w:val="BodyText"/>
            </w:pPr>
            <w:r w:rsidRPr="004B3D0C">
              <w:t>This unit applies to people working in the maritime industry in the capacity of:</w:t>
            </w:r>
          </w:p>
          <w:p w:rsidR="00000000" w:rsidRPr="004B3D0C" w:rsidP="004B3D0C">
            <w:pPr>
              <w:pStyle w:val="ListBullet"/>
            </w:pPr>
            <w:r w:rsidRPr="004B3D0C">
              <w:t>Chief Integrated Rating</w:t>
            </w:r>
          </w:p>
          <w:p w:rsidR="00000000" w:rsidRPr="004B3D0C" w:rsidP="004B3D0C">
            <w:pPr>
              <w:pStyle w:val="ListBullet"/>
            </w:pPr>
            <w:r w:rsidRPr="004B3D0C">
              <w:t>Electro-Technical Officer (STCW Electro-Technical Officer Unlimited)</w:t>
            </w:r>
          </w:p>
          <w:p w:rsidR="00000000" w:rsidRPr="004B3D0C" w:rsidP="004B3D0C">
            <w:pPr>
              <w:pStyle w:val="ListBullet"/>
            </w:pPr>
            <w:r w:rsidRPr="004B3D0C">
              <w:t>Engineer Class 3 Near Coastal</w:t>
            </w:r>
          </w:p>
          <w:p w:rsidR="00000000" w:rsidRPr="004B3D0C" w:rsidP="004B3D0C">
            <w:pPr>
              <w:pStyle w:val="ListBullet"/>
            </w:pPr>
            <w:r w:rsidRPr="004B3D0C">
              <w:t>Engineer Watchkeeper (STCW Engineer Watchkeeper Unlimited)</w:t>
            </w:r>
          </w:p>
          <w:p w:rsidR="00000000" w:rsidRPr="004B3D0C" w:rsidP="004B3D0C">
            <w:pPr>
              <w:pStyle w:val="ListBullet"/>
            </w:pPr>
            <w:r w:rsidRPr="004B3D0C">
              <w:t>Integrated Rating</w:t>
            </w:r>
          </w:p>
          <w:p w:rsidR="00000000" w:rsidRPr="004B3D0C" w:rsidP="004B3D0C">
            <w:pPr>
              <w:pStyle w:val="ListBullet"/>
            </w:pPr>
            <w:r w:rsidRPr="004B3D0C">
              <w:t>Master of a commercial vessel up to 100 metres in length within the exclusive ec</w:t>
            </w:r>
            <w:r w:rsidRPr="004B3D0C">
              <w:t>onomic zone (EEZ)</w:t>
            </w:r>
          </w:p>
          <w:p w:rsidR="00000000" w:rsidRPr="004B3D0C" w:rsidP="004B3D0C">
            <w:pPr>
              <w:pStyle w:val="ListBullet"/>
            </w:pPr>
            <w:r w:rsidRPr="004B3D0C">
              <w:t>Master of a commercial vessel up to 500 gross tonnages (GT)</w:t>
            </w:r>
          </w:p>
          <w:p w:rsidR="00000000" w:rsidRPr="004B3D0C" w:rsidP="004B3D0C">
            <w:pPr>
              <w:pStyle w:val="ListBullet"/>
            </w:pPr>
            <w:r w:rsidRPr="004B3D0C">
              <w:t>Master of a commercial vessel unlimited</w:t>
            </w:r>
          </w:p>
          <w:p w:rsidR="00000000" w:rsidRPr="004B3D0C" w:rsidP="004B3D0C">
            <w:pPr>
              <w:pStyle w:val="ListBullet"/>
            </w:pPr>
            <w:r w:rsidRPr="004B3D0C">
              <w:t>Watchkeeper Deck.</w:t>
            </w:r>
          </w:p>
          <w:p w:rsidR="00000000" w:rsidRPr="004B3D0C" w:rsidP="004B3D0C">
            <w:pPr>
              <w:pStyle w:val="BodyText"/>
            </w:pPr>
            <w:r w:rsidRPr="004B3D0C">
              <w:rPr>
                <w:rStyle w:val="SpecialBold"/>
              </w:rPr>
              <w:t>Licensing/Regulatory Information</w:t>
            </w:r>
          </w:p>
          <w:p w:rsidR="00000000" w:rsidRPr="004B3D0C" w:rsidP="004B3D0C">
            <w:pPr>
              <w:pStyle w:val="BodyText"/>
            </w:pPr>
            <w:r w:rsidRPr="004B3D0C">
              <w:t>This unit is equivalent to and delivers the objectives of the following STCW provisions</w:t>
            </w:r>
            <w:r w:rsidRPr="004B3D0C">
              <w:t xml:space="preserve"> </w:t>
            </w:r>
          </w:p>
          <w:p w:rsidR="00000000" w:rsidRPr="004B3D0C" w:rsidP="004B3D0C">
            <w:pPr>
              <w:pStyle w:val="ListBullet"/>
            </w:pPr>
            <w:r w:rsidRPr="004B3D0C">
              <w:t>STCW Reg VI/6 (1) and Code Section A-VI/6 (4), Table A-VI/6-1.</w:t>
            </w:r>
          </w:p>
          <w:p w:rsidR="00000000" w:rsidRPr="004B3D0C" w:rsidP="004B3D0C">
            <w:pPr>
              <w:pStyle w:val="BodyText"/>
            </w:pPr>
            <w:r w:rsidRPr="004B3D0C">
              <w:t>Legislative and regulatory requirements are applicable to this unit.</w:t>
            </w:r>
          </w:p>
          <w:p w:rsidR="00000000" w:rsidRPr="004B3D0C" w:rsidP="004B3D0C">
            <w:pPr>
              <w:pStyle w:val="ListBullet"/>
            </w:pPr>
            <w:r w:rsidRPr="004B3D0C">
              <w:t>Regulatory requirements include STCW International Maritime Organization (IMO) model course competencies and areas of kn</w:t>
            </w:r>
            <w:r w:rsidRPr="004B3D0C">
              <w:t>owledge, understanding and proficiency, together with the estimated total hours required for lectures and practical exercises. Teaching staff should note that timings are suggestions only and should be adapted to suit individual groups of trainees dependin</w:t>
            </w:r>
            <w:r w:rsidRPr="004B3D0C">
              <w:t>g on their experience, ability, equipment and staff available for training</w:t>
            </w:r>
          </w:p>
          <w:p w:rsidR="00000000" w:rsidRPr="004B3D0C" w:rsidP="004B3D0C">
            <w:pPr>
              <w:pStyle w:val="BodyText"/>
            </w:pPr>
            <w:r w:rsidRPr="004B3D0C">
              <w:rPr>
                <w:rStyle w:val="SpecialBold"/>
              </w:rPr>
              <w:t>Near Coastal Qualifications:</w:t>
            </w:r>
          </w:p>
          <w:p w:rsidR="00000000" w:rsidRPr="004B3D0C" w:rsidP="004B3D0C">
            <w:pPr>
              <w:pStyle w:val="ListBullet"/>
            </w:pPr>
            <w:r w:rsidRPr="004B3D0C">
              <w:t>This unit is one of the requirements to obtain Australian Maritime Safety Authority (AMSA) certification as an Engineer Near Coastal or Master up to 10</w:t>
            </w:r>
            <w:r w:rsidRPr="004B3D0C">
              <w:t xml:space="preserve">0 metres Near Coastal as </w:t>
            </w:r>
            <w:r w:rsidRPr="004B3D0C">
              <w:t>specified in Marine Order 505.</w:t>
            </w:r>
          </w:p>
          <w:p w:rsidR="00000000" w:rsidRPr="004B3D0C" w:rsidP="004B3D0C">
            <w:pPr>
              <w:pStyle w:val="BodyText"/>
            </w:pPr>
            <w:r w:rsidRPr="004B3D0C">
              <w:rPr>
                <w:rStyle w:val="SpecialBold"/>
              </w:rPr>
              <w:t>Blue Waters Qualifications:</w:t>
            </w:r>
          </w:p>
          <w:p w:rsidR="00000000" w:rsidRPr="004B3D0C" w:rsidP="004B3D0C">
            <w:pPr>
              <w:pStyle w:val="ListBullet"/>
            </w:pPr>
            <w:r w:rsidRPr="004B3D0C">
              <w:t>This unit is one of the requirements to obtain AMSA certification as a Chief Integrated Rating, Electro-Technical Officer (STCW Electro-Technical Officer Unlimited), Engin</w:t>
            </w:r>
            <w:r w:rsidRPr="004B3D0C">
              <w:t>eer Watchkeeper (STCW Engineer Watchkeeper Unlimited), Integrated Rating, Master of a commercial vessel up to 500 gross tonnage (GT), Master Unlimited or Watchkeeper Deck and to meet regulatory requirements this unit must be delivered consistent with Marin</w:t>
            </w:r>
            <w:r w:rsidRPr="004B3D0C">
              <w:t>e Orders and with the relevant sections of the International Convention on Standards of Training, Certification and Watchkeeping for Seafarers (STCW).</w:t>
            </w:r>
          </w:p>
          <w:p w:rsidR="00000000" w:rsidRPr="004B3D0C" w:rsidP="004B3D0C">
            <w:pPr>
              <w:pStyle w:val="BodyText"/>
            </w:pPr>
            <w:r w:rsidRPr="004B3D0C">
              <w:t>Training providers seeking to offer this unit of competency must gain AMSA approval before the unit is of</w:t>
            </w:r>
            <w:r w:rsidRPr="004B3D0C">
              <w:t>fered.</w:t>
            </w:r>
          </w:p>
          <w:p w:rsidR="00000000" w:rsidRPr="004B3D0C" w:rsidP="004B3D0C">
            <w:pPr>
              <w:pStyle w:val="BodyText"/>
            </w:pPr>
            <w:r w:rsidRPr="004B3D0C">
              <w:t>Seafarers seeking certification should check with AMSA.</w:t>
            </w:r>
          </w:p>
        </w:tc>
      </w:tr>
    </w:tbl>
    <w:p w:rsidR="00000000" w:rsidRPr="004B3D0C" w:rsidP="004B3D0C">
      <w:pPr>
        <w:pStyle w:val="NoPaddingFontSize1"/>
      </w:pPr>
    </w:p>
    <w:p w:rsidR="00000000" w:rsidRPr="004B3D0C" w:rsidP="004B3D0C">
      <w:pPr>
        <w:pStyle w:val="AllowPageBreak"/>
      </w:pPr>
    </w:p>
    <w:p w:rsidR="00000000" w:rsidRPr="004B3D0C" w:rsidP="004B3D0C">
      <w:pPr>
        <w:pStyle w:val="Heading1"/>
      </w:pPr>
      <w:bookmarkStart w:id="3" w:name="O_1285287"/>
      <w:bookmarkEnd w:id="3"/>
      <w:r w:rsidRPr="004B3D0C">
        <w:t>Pre-requisite Unit</w:t>
      </w:r>
    </w:p>
    <w:tbl>
      <w:tblPr>
        <w:tblW w:w="9497" w:type="dxa"/>
        <w:tblLayout w:type="fixed"/>
        <w:tblCellMar>
          <w:left w:w="62" w:type="dxa"/>
          <w:right w:w="62" w:type="dxa"/>
        </w:tblCellMar>
        <w:tblLook w:val="0000"/>
      </w:tblPr>
      <w:tblGrid>
        <w:gridCol w:w="9497"/>
      </w:tblGrid>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t>Not applicable.</w:t>
            </w:r>
          </w:p>
        </w:tc>
      </w:tr>
    </w:tbl>
    <w:p w:rsidR="002405B8" w:rsidP="004B3D0C">
      <w:pPr>
        <w:pStyle w:val="NoPaddingFontSize1"/>
      </w:pPr>
    </w:p>
    <w:p w:rsidR="002405B8" w:rsidP="004B3D0C">
      <w:pPr>
        <w:pStyle w:val="NoPaddingFontSize1"/>
      </w:pPr>
    </w:p>
    <w:p w:rsidR="00000000" w:rsidRPr="004B3D0C" w:rsidP="004B3D0C">
      <w:pPr>
        <w:pStyle w:val="Heading1"/>
      </w:pPr>
      <w:bookmarkStart w:id="4" w:name="O_1285286"/>
      <w:bookmarkEnd w:id="4"/>
      <w:r w:rsidRPr="004B3D0C">
        <w:t>Competency Field</w:t>
      </w:r>
    </w:p>
    <w:tbl>
      <w:tblPr>
        <w:tblW w:w="9497" w:type="dxa"/>
        <w:tblLayout w:type="fixed"/>
        <w:tblCellMar>
          <w:left w:w="62" w:type="dxa"/>
          <w:right w:w="62" w:type="dxa"/>
        </w:tblCellMar>
        <w:tblLook w:val="0000"/>
      </w:tblPr>
      <w:tblGrid>
        <w:gridCol w:w="9497"/>
      </w:tblGrid>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t>F - Operational Quality and Safety</w:t>
            </w:r>
          </w:p>
        </w:tc>
      </w:tr>
    </w:tbl>
    <w:p w:rsidR="002405B8" w:rsidP="004B3D0C">
      <w:pPr>
        <w:pStyle w:val="NoPaddingFontSize1"/>
      </w:pPr>
    </w:p>
    <w:p w:rsidR="002405B8" w:rsidP="004B3D0C">
      <w:pPr>
        <w:pStyle w:val="NoPaddingFontSize1"/>
      </w:pPr>
    </w:p>
    <w:p w:rsidR="00000000" w:rsidRPr="004B3D0C" w:rsidP="004B3D0C">
      <w:pPr>
        <w:pStyle w:val="Heading1"/>
      </w:pPr>
      <w:bookmarkStart w:id="5" w:name="O_1285285"/>
      <w:bookmarkEnd w:id="5"/>
      <w:r w:rsidRPr="004B3D0C">
        <w:t>Unit Sector</w:t>
      </w:r>
    </w:p>
    <w:tbl>
      <w:tblPr>
        <w:tblW w:w="9497" w:type="dxa"/>
        <w:tblLayout w:type="fixed"/>
        <w:tblCellMar>
          <w:left w:w="62" w:type="dxa"/>
          <w:right w:w="62" w:type="dxa"/>
        </w:tblCellMar>
        <w:tblLook w:val="0000"/>
      </w:tblPr>
      <w:tblGrid>
        <w:gridCol w:w="9497"/>
      </w:tblGrid>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t>Not applicable.</w:t>
            </w:r>
          </w:p>
        </w:tc>
      </w:tr>
    </w:tbl>
    <w:p w:rsidR="002405B8" w:rsidP="004B3D0C">
      <w:pPr>
        <w:pStyle w:val="NoPaddingFontSize1"/>
      </w:pPr>
    </w:p>
    <w:p w:rsidR="002405B8" w:rsidP="004B3D0C">
      <w:pPr>
        <w:pStyle w:val="NoPaddingFontSize1"/>
      </w:pPr>
    </w:p>
    <w:p w:rsidR="00000000" w:rsidRPr="004B3D0C" w:rsidP="004B3D0C">
      <w:pPr>
        <w:pStyle w:val="Heading1"/>
      </w:pPr>
      <w:bookmarkStart w:id="6" w:name="O_1285284"/>
      <w:bookmarkEnd w:id="6"/>
      <w:r w:rsidRPr="004B3D0C">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4B3D0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PERFORMANCE CRITERIA</w:t>
            </w:r>
          </w:p>
        </w:tc>
      </w:tr>
      <w:tr w:rsidTr="004B3D0C">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Performance criteria describe the performance needed to demonstrate achievement of the element.</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rPr>
                <w:rStyle w:val="SpecialBold"/>
              </w:rPr>
              <w:t>Contribute to enhancing security thr</w:t>
            </w:r>
            <w:r w:rsidRPr="004B3D0C">
              <w:rPr>
                <w:rStyle w:val="SpecialBold"/>
              </w:rPr>
              <w:t>ough heightened awareness</w:t>
            </w: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Legislative and organisational requirements related to maintaining security of a vessel are identified and followed</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3D0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Organisational security procedures are identified and followed</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3D0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Duty of care requirements are ascertained and complied with</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3D0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 xml:space="preserve">Need for, and methods of, maintaining security </w:t>
            </w:r>
            <w:r w:rsidRPr="004B3D0C">
              <w:t xml:space="preserve">awareness and vigilance are identified </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3D0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Own role and responsibilities are recognised</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3D0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Role of designated personnel for security response is ascertained</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3D0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Work health and safety (WHS)/occupational health and safety (OHS) requirements are recognised and complied with</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rPr>
                <w:rStyle w:val="SpecialBold"/>
              </w:rPr>
              <w:t>Recognise potential security threats</w:t>
            </w: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Potential security threats relating to a vessel are identified in accordance with ships security plan</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3D0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Procedures for monitoring security of a vessel are recognised</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3D0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Factors with increased security risk are identified</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3D0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Types and purpose of security equipment are explained</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3D0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Emergency and evacuation procedures are identified and implemented</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3D0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Appropriate actions for maintaining security and safety of self, others and the vessel are identified and followed</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rPr>
                <w:rStyle w:val="SpecialBold"/>
              </w:rPr>
              <w:t>Com</w:t>
            </w:r>
            <w:r w:rsidRPr="004B3D0C">
              <w:rPr>
                <w:rStyle w:val="SpecialBold"/>
              </w:rPr>
              <w:t>ply with reporting processes</w:t>
            </w: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t>Organisational procedures for reporting security risks and incidents are accessed and followed</w:t>
            </w:r>
          </w:p>
        </w:tc>
      </w:tr>
      <w:tr w:rsidTr="004B3D0C">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4B3D0C">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4B3D0C">
            <w:pPr>
              <w:pStyle w:val="BodyText"/>
              <w:rPr>
                <w:lang w:val="en-NZ"/>
              </w:rPr>
            </w:pPr>
            <w:r w:rsidRPr="004B3D0C">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t>Chain of command of designated personnel is confirmed</w:t>
            </w:r>
          </w:p>
        </w:tc>
      </w:tr>
    </w:tbl>
    <w:p w:rsidR="00000000" w:rsidRPr="004B3D0C" w:rsidP="004B3D0C">
      <w:pPr>
        <w:pStyle w:val="NoPaddingFontSize1"/>
      </w:pPr>
    </w:p>
    <w:p w:rsidR="00000000" w:rsidRPr="004B3D0C" w:rsidP="004B3D0C">
      <w:pPr>
        <w:pStyle w:val="AllowPageBreak"/>
      </w:pPr>
    </w:p>
    <w:p w:rsidR="00000000" w:rsidRPr="004B3D0C" w:rsidP="004B3D0C">
      <w:pPr>
        <w:pStyle w:val="Heading1"/>
      </w:pPr>
      <w:bookmarkStart w:id="7" w:name="O_1285283"/>
      <w:bookmarkEnd w:id="7"/>
      <w:r w:rsidRPr="004B3D0C">
        <w:t>Foundation Skills</w:t>
      </w:r>
    </w:p>
    <w:tbl>
      <w:tblPr>
        <w:tblW w:w="9497" w:type="dxa"/>
        <w:tblLayout w:type="fixed"/>
        <w:tblCellMar>
          <w:left w:w="62" w:type="dxa"/>
          <w:right w:w="62" w:type="dxa"/>
        </w:tblCellMar>
        <w:tblLook w:val="0000"/>
      </w:tblPr>
      <w:tblGrid>
        <w:gridCol w:w="9497"/>
      </w:tblGrid>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t>Foundation skills essential to performance are explicit in the performance criteria of this unit of competency.</w:t>
            </w:r>
          </w:p>
        </w:tc>
      </w:tr>
    </w:tbl>
    <w:p w:rsidR="002405B8" w:rsidP="004B3D0C">
      <w:pPr>
        <w:pStyle w:val="NoPaddingFontSize1"/>
      </w:pPr>
    </w:p>
    <w:p w:rsidR="002405B8" w:rsidP="004B3D0C">
      <w:pPr>
        <w:pStyle w:val="NoPaddingFontSize1"/>
      </w:pPr>
    </w:p>
    <w:p w:rsidR="00000000" w:rsidRPr="004B3D0C" w:rsidP="004B3D0C">
      <w:pPr>
        <w:pStyle w:val="Heading1"/>
      </w:pPr>
      <w:bookmarkStart w:id="8" w:name="O_1285282"/>
      <w:bookmarkEnd w:id="8"/>
      <w:r w:rsidRPr="004B3D0C">
        <w:t>Range of Conditions</w:t>
      </w:r>
    </w:p>
    <w:tbl>
      <w:tblPr>
        <w:tblW w:w="9497" w:type="dxa"/>
        <w:tblLayout w:type="fixed"/>
        <w:tblCellMar>
          <w:left w:w="62" w:type="dxa"/>
          <w:right w:w="62" w:type="dxa"/>
        </w:tblCellMar>
        <w:tblLook w:val="0000"/>
      </w:tblPr>
      <w:tblGrid>
        <w:gridCol w:w="9497"/>
      </w:tblGrid>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t>Range is restricted to essential operating conditions and any other variables essential to the work en</w:t>
            </w:r>
            <w:r w:rsidRPr="004B3D0C">
              <w:t>vironment.</w:t>
            </w:r>
          </w:p>
        </w:tc>
      </w:tr>
    </w:tbl>
    <w:p w:rsidR="002405B8" w:rsidP="004B3D0C">
      <w:pPr>
        <w:pStyle w:val="NoPaddingFontSize1"/>
      </w:pPr>
    </w:p>
    <w:p w:rsidR="002405B8" w:rsidP="004B3D0C">
      <w:pPr>
        <w:pStyle w:val="NoPaddingFontSize1"/>
      </w:pPr>
    </w:p>
    <w:p w:rsidR="00000000" w:rsidRPr="004B3D0C" w:rsidP="004B3D0C">
      <w:pPr>
        <w:pStyle w:val="Heading1"/>
      </w:pPr>
      <w:bookmarkStart w:id="9" w:name="O_1285281"/>
      <w:bookmarkEnd w:id="9"/>
      <w:r w:rsidRPr="004B3D0C">
        <w:t>Unit Mapping Information</w:t>
      </w:r>
    </w:p>
    <w:tbl>
      <w:tblPr>
        <w:tblW w:w="9497" w:type="dxa"/>
        <w:tblLayout w:type="fixed"/>
        <w:tblCellMar>
          <w:left w:w="62" w:type="dxa"/>
          <w:right w:w="62" w:type="dxa"/>
        </w:tblCellMar>
        <w:tblLook w:val="0000"/>
      </w:tblPr>
      <w:tblGrid>
        <w:gridCol w:w="9497"/>
      </w:tblGrid>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t>This unit replaces and is equivalent to MARF003 Follow vessel security procedures.</w:t>
            </w:r>
          </w:p>
        </w:tc>
      </w:tr>
    </w:tbl>
    <w:p w:rsidR="002405B8" w:rsidP="004B3D0C">
      <w:pPr>
        <w:pStyle w:val="NoPaddingFontSize1"/>
      </w:pPr>
    </w:p>
    <w:p w:rsidR="002405B8" w:rsidP="004B3D0C">
      <w:pPr>
        <w:pStyle w:val="NoPaddingFontSize1"/>
      </w:pPr>
    </w:p>
    <w:p w:rsidR="00000000" w:rsidRPr="004B3D0C" w:rsidP="004B3D0C">
      <w:pPr>
        <w:pStyle w:val="Heading1"/>
      </w:pPr>
      <w:bookmarkStart w:id="10" w:name="O_1285290"/>
      <w:bookmarkEnd w:id="10"/>
      <w:r w:rsidRPr="004B3D0C">
        <w:t>Links</w:t>
      </w:r>
    </w:p>
    <w:p w:rsidR="00000000" w:rsidRPr="004B3D0C" w:rsidP="002405B8">
      <w:pPr>
        <w:pStyle w:val="BodyText"/>
      </w:pPr>
      <w:r w:rsidRPr="004B3D0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70E01">
        <w:rPr>
          <w:rStyle w:val="Hyperlink"/>
        </w:rPr>
        <w:t>https://vetnet.gov.au/Pages/TrainingDocs.aspx?q=772efb7b-4cce-47fe-9bbd-ee3b1d1eb4c2</w:t>
      </w:r>
      <w:r>
        <w:fldChar w:fldCharType="end"/>
      </w:r>
    </w:p>
    <w:p w:rsidR="00000000" w:rsidRPr="004B3D0C" w:rsidP="002405B8">
      <w:pPr>
        <w:pStyle w:val="BodyText"/>
        <w:sectPr w:rsidSect="004B3D0C">
          <w:headerReference w:type="default" r:id="rId10"/>
          <w:footerReference w:type="default" r:id="rId11"/>
          <w:pgSz w:w="11908" w:h="16833"/>
          <w:pgMar w:top="1702" w:right="1418" w:bottom="1702" w:left="1418" w:header="992" w:footer="992" w:gutter="0"/>
          <w:cols w:space="720"/>
          <w:noEndnote/>
          <w:docGrid w:linePitch="299"/>
        </w:sectPr>
      </w:pPr>
    </w:p>
    <w:p w:rsidR="00000000" w:rsidRPr="004B3D0C" w:rsidP="004B3D0C">
      <w:pPr>
        <w:pStyle w:val="SuperHeading"/>
      </w:pPr>
      <w:r w:rsidRPr="004B3D0C">
        <w:t>Assessment Requirements for MARF037 Follow vessel security proc</w:t>
      </w:r>
      <w:r w:rsidRPr="004B3D0C">
        <w:t>edures (security awareness training)</w:t>
      </w:r>
    </w:p>
    <w:p w:rsidR="00000000" w:rsidRPr="004B3D0C" w:rsidP="004B3D0C">
      <w:pPr>
        <w:pStyle w:val="Heading1"/>
      </w:pPr>
      <w:bookmarkStart w:id="11" w:name="O_1285279"/>
      <w:bookmarkEnd w:id="11"/>
      <w:r w:rsidRPr="004B3D0C">
        <w:t>Modification History</w:t>
      </w:r>
    </w:p>
    <w:tbl>
      <w:tblPr>
        <w:tblW w:w="9497" w:type="dxa"/>
        <w:tblLayout w:type="fixed"/>
        <w:tblCellMar>
          <w:left w:w="62" w:type="dxa"/>
          <w:right w:w="62" w:type="dxa"/>
        </w:tblCellMar>
        <w:tblLook w:val="0000"/>
      </w:tblPr>
      <w:tblGrid>
        <w:gridCol w:w="9497"/>
      </w:tblGrid>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rPr>
                <w:rStyle w:val="SpecialBold"/>
              </w:rPr>
              <w:t>Release 2</w:t>
            </w:r>
            <w:r w:rsidRPr="004B3D0C">
              <w:t>. This is the second release of this unit of competency in the MAR Maritime Training Package.</w:t>
            </w:r>
          </w:p>
          <w:p w:rsidR="00000000" w:rsidP="004B3D0C">
            <w:pPr>
              <w:pStyle w:val="ListBullet"/>
              <w:rPr>
                <w:lang w:val="en-NZ"/>
              </w:rPr>
            </w:pPr>
            <w:r w:rsidRPr="004B3D0C">
              <w:t>Minor statement changes in unit Application.</w:t>
            </w:r>
          </w:p>
        </w:tc>
      </w:tr>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rPr>
                <w:rStyle w:val="SpecialBold"/>
              </w:rPr>
              <w:t>Release 1</w:t>
            </w:r>
            <w:r w:rsidRPr="004B3D0C">
              <w:t>. This is the first release of this unit of competency in the MAR Maritime Training Package.</w:t>
            </w:r>
          </w:p>
        </w:tc>
      </w:tr>
    </w:tbl>
    <w:p w:rsidR="00000000" w:rsidRPr="004B3D0C" w:rsidP="004B3D0C">
      <w:pPr>
        <w:pStyle w:val="NoPaddingFontSize1"/>
      </w:pPr>
    </w:p>
    <w:p w:rsidR="00000000" w:rsidRPr="004B3D0C" w:rsidP="004B3D0C">
      <w:pPr>
        <w:pStyle w:val="AllowPageBreak"/>
      </w:pPr>
    </w:p>
    <w:p w:rsidR="00000000" w:rsidRPr="004B3D0C" w:rsidP="004B3D0C">
      <w:pPr>
        <w:pStyle w:val="Heading1"/>
      </w:pPr>
      <w:bookmarkStart w:id="12" w:name="O_1285278"/>
      <w:bookmarkEnd w:id="12"/>
      <w:r w:rsidRPr="004B3D0C">
        <w:t>Performance Evidence</w:t>
      </w:r>
    </w:p>
    <w:tbl>
      <w:tblPr>
        <w:tblW w:w="9497" w:type="dxa"/>
        <w:tblLayout w:type="fixed"/>
        <w:tblCellMar>
          <w:left w:w="62" w:type="dxa"/>
          <w:right w:w="62" w:type="dxa"/>
        </w:tblCellMar>
        <w:tblLook w:val="0000"/>
      </w:tblPr>
      <w:tblGrid>
        <w:gridCol w:w="9497"/>
      </w:tblGrid>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t>Evidence required to demonstrate comp</w:t>
            </w:r>
            <w:r w:rsidRPr="004B3D0C">
              <w:t>etence in this unit must be relevant to and satisfy all of the requirements of the elements and performance criteria on at least one occasion and include:</w:t>
            </w:r>
          </w:p>
          <w:p w:rsidR="00000000" w:rsidRPr="004B3D0C" w:rsidP="004B3D0C">
            <w:pPr>
              <w:pStyle w:val="ListBullet"/>
            </w:pPr>
            <w:r w:rsidRPr="004B3D0C">
              <w:t>applying basic security legislative requirements applicable to a vessel</w:t>
            </w:r>
          </w:p>
          <w:p w:rsidR="00000000" w:rsidRPr="004B3D0C" w:rsidP="004B3D0C">
            <w:pPr>
              <w:pStyle w:val="ListBullet"/>
            </w:pPr>
            <w:r w:rsidRPr="004B3D0C">
              <w:t>applying procedures for moni</w:t>
            </w:r>
            <w:r w:rsidRPr="004B3D0C">
              <w:t>toring security in a marine environment</w:t>
            </w:r>
          </w:p>
          <w:p w:rsidR="00000000" w:rsidRPr="004B3D0C" w:rsidP="004B3D0C">
            <w:pPr>
              <w:pStyle w:val="ListBullet"/>
            </w:pPr>
            <w:r w:rsidRPr="004B3D0C">
              <w:t>being aware of one’s surroundings and changes to these surroundings (ship and port operations)</w:t>
            </w:r>
          </w:p>
          <w:p w:rsidR="00000000" w:rsidRPr="004B3D0C" w:rsidP="004B3D0C">
            <w:pPr>
              <w:pStyle w:val="ListBullet"/>
            </w:pPr>
            <w:r w:rsidRPr="004B3D0C">
              <w:t>identifying a range of security threats and risks relevant to a vessel</w:t>
            </w:r>
          </w:p>
          <w:p w:rsidR="00000000" w:rsidRPr="004B3D0C" w:rsidP="004B3D0C">
            <w:pPr>
              <w:pStyle w:val="ListBullet"/>
            </w:pPr>
            <w:r w:rsidRPr="004B3D0C">
              <w:t>observing chain of command and communication chann</w:t>
            </w:r>
            <w:r w:rsidRPr="004B3D0C">
              <w:t>els</w:t>
            </w:r>
          </w:p>
          <w:p w:rsidR="00000000" w:rsidRPr="004B3D0C" w:rsidP="004B3D0C">
            <w:pPr>
              <w:pStyle w:val="ListBullet"/>
            </w:pPr>
            <w:r w:rsidRPr="004B3D0C">
              <w:t>operating security equipment</w:t>
            </w:r>
          </w:p>
          <w:p w:rsidR="00000000" w:rsidRPr="004B3D0C" w:rsidP="004B3D0C">
            <w:pPr>
              <w:pStyle w:val="ListBullet"/>
            </w:pPr>
            <w:r w:rsidRPr="004B3D0C">
              <w:t>recognising potential security threats</w:t>
            </w:r>
          </w:p>
          <w:p w:rsidR="00000000" w:rsidRPr="004B3D0C" w:rsidP="004B3D0C">
            <w:pPr>
              <w:pStyle w:val="ListBullet"/>
            </w:pPr>
            <w:r w:rsidRPr="004B3D0C">
              <w:t>reporting identified security threats and risks in a marine environment and providing appropriate level of detail in these reports.</w:t>
            </w:r>
          </w:p>
        </w:tc>
      </w:tr>
    </w:tbl>
    <w:p w:rsidR="00000000" w:rsidRPr="004B3D0C" w:rsidP="004B3D0C">
      <w:pPr>
        <w:pStyle w:val="NoPaddingFontSize1"/>
      </w:pPr>
    </w:p>
    <w:p w:rsidR="00000000" w:rsidRPr="004B3D0C" w:rsidP="004B3D0C">
      <w:pPr>
        <w:pStyle w:val="AllowPageBreak"/>
      </w:pPr>
    </w:p>
    <w:p w:rsidR="00000000" w:rsidRPr="004B3D0C" w:rsidP="004B3D0C">
      <w:pPr>
        <w:pStyle w:val="Heading1"/>
      </w:pPr>
      <w:bookmarkStart w:id="13" w:name="O_1285277"/>
      <w:bookmarkEnd w:id="13"/>
      <w:r w:rsidRPr="004B3D0C">
        <w:t>Knowledge Evidence</w:t>
      </w:r>
    </w:p>
    <w:tbl>
      <w:tblPr>
        <w:tblW w:w="9497" w:type="dxa"/>
        <w:tblLayout w:type="fixed"/>
        <w:tblCellMar>
          <w:left w:w="62" w:type="dxa"/>
          <w:right w:w="62" w:type="dxa"/>
        </w:tblCellMar>
        <w:tblLook w:val="0000"/>
      </w:tblPr>
      <w:tblGrid>
        <w:gridCol w:w="9497"/>
      </w:tblGrid>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t>Evidence required to demonstrate competence in this unit must be relevant to and satisfy all of the requirements of the elements and performance criteria and include knowledge of:</w:t>
            </w:r>
          </w:p>
          <w:p w:rsidR="00000000" w:rsidRPr="004B3D0C" w:rsidP="004B3D0C">
            <w:pPr>
              <w:pStyle w:val="ListBullet"/>
            </w:pPr>
            <w:r w:rsidRPr="004B3D0C">
              <w:t>applicable work health and safety (WHS)/occupational health and safety (OHS</w:t>
            </w:r>
            <w:r w:rsidRPr="004B3D0C">
              <w:t>) requirements</w:t>
            </w:r>
          </w:p>
          <w:p w:rsidR="00000000" w:rsidRPr="004B3D0C" w:rsidP="004B3D0C">
            <w:pPr>
              <w:pStyle w:val="ListBullet"/>
            </w:pPr>
            <w:r w:rsidRPr="004B3D0C">
              <w:t>appropriate actions for maintaining security and safety, including:</w:t>
            </w:r>
          </w:p>
          <w:p w:rsidR="00000000" w:rsidRPr="004B3D0C" w:rsidP="004B3D0C">
            <w:pPr>
              <w:pStyle w:val="ListBullet2"/>
            </w:pPr>
            <w:r w:rsidRPr="004B3D0C">
              <w:t>access control to the vessel</w:t>
            </w:r>
          </w:p>
          <w:p w:rsidR="00000000" w:rsidRPr="004B3D0C" w:rsidP="004B3D0C">
            <w:pPr>
              <w:pStyle w:val="ListBullet2"/>
            </w:pPr>
            <w:r w:rsidRPr="004B3D0C">
              <w:t>monitoring restricted areas</w:t>
            </w:r>
          </w:p>
          <w:p w:rsidR="00000000" w:rsidRPr="004B3D0C" w:rsidP="004B3D0C">
            <w:pPr>
              <w:pStyle w:val="ListBullet"/>
            </w:pPr>
            <w:r w:rsidRPr="004B3D0C">
              <w:t>chain of command communication</w:t>
            </w:r>
          </w:p>
          <w:p w:rsidR="00000000" w:rsidRPr="004B3D0C" w:rsidP="004B3D0C">
            <w:pPr>
              <w:pStyle w:val="ListBullet"/>
            </w:pPr>
            <w:r w:rsidRPr="004B3D0C">
              <w:t>duty of care requirements of self and others</w:t>
            </w:r>
          </w:p>
          <w:p w:rsidR="00000000" w:rsidRPr="004B3D0C" w:rsidP="004B3D0C">
            <w:pPr>
              <w:pStyle w:val="ListBullet"/>
            </w:pPr>
            <w:r w:rsidRPr="004B3D0C">
              <w:t>emergency preparedness, drills and exercises, including:</w:t>
            </w:r>
          </w:p>
          <w:p w:rsidR="00000000" w:rsidRPr="004B3D0C" w:rsidP="004B3D0C">
            <w:pPr>
              <w:pStyle w:val="ListBullet2"/>
            </w:pPr>
            <w:r w:rsidRPr="004B3D0C">
              <w:t>awareness of contingency plans, including plans for:</w:t>
            </w:r>
          </w:p>
          <w:p w:rsidR="00000000" w:rsidRPr="004B3D0C" w:rsidP="004B3D0C">
            <w:pPr>
              <w:pStyle w:val="ListBullet3"/>
            </w:pPr>
            <w:r w:rsidRPr="004B3D0C">
              <w:t>bomb threat</w:t>
            </w:r>
          </w:p>
          <w:p w:rsidR="00000000" w:rsidRPr="004B3D0C" w:rsidP="004B3D0C">
            <w:pPr>
              <w:pStyle w:val="ListBullet3"/>
            </w:pPr>
            <w:r w:rsidRPr="004B3D0C">
              <w:t>damage to and destruction of facility</w:t>
            </w:r>
          </w:p>
          <w:p w:rsidR="00000000" w:rsidRPr="004B3D0C" w:rsidP="004B3D0C">
            <w:pPr>
              <w:pStyle w:val="ListBullet3"/>
            </w:pPr>
            <w:r w:rsidRPr="004B3D0C">
              <w:t>hijacking</w:t>
            </w:r>
          </w:p>
          <w:p w:rsidR="00000000" w:rsidRPr="004B3D0C" w:rsidP="004B3D0C">
            <w:pPr>
              <w:pStyle w:val="ListBullet3"/>
            </w:pPr>
            <w:r w:rsidRPr="004B3D0C">
              <w:t>persons posing as a potential security threat</w:t>
            </w:r>
          </w:p>
          <w:p w:rsidR="00000000" w:rsidRPr="004B3D0C" w:rsidP="004B3D0C">
            <w:pPr>
              <w:pStyle w:val="ListBullet3"/>
            </w:pPr>
            <w:r w:rsidRPr="004B3D0C">
              <w:t>piracy and armed robbery</w:t>
            </w:r>
          </w:p>
          <w:p w:rsidR="00000000" w:rsidRPr="004B3D0C" w:rsidP="004B3D0C">
            <w:pPr>
              <w:pStyle w:val="ListBullet3"/>
            </w:pPr>
            <w:r w:rsidRPr="004B3D0C">
              <w:t>security threat levels</w:t>
            </w:r>
          </w:p>
          <w:p w:rsidR="00000000" w:rsidRPr="004B3D0C" w:rsidP="004B3D0C">
            <w:pPr>
              <w:pStyle w:val="ListBullet3"/>
            </w:pPr>
            <w:r w:rsidRPr="004B3D0C">
              <w:t>stowaways</w:t>
            </w:r>
          </w:p>
          <w:p w:rsidR="00000000" w:rsidRPr="004B3D0C" w:rsidP="004B3D0C">
            <w:pPr>
              <w:pStyle w:val="ListBullet3"/>
            </w:pPr>
            <w:r w:rsidRPr="004B3D0C">
              <w:t>unidentified objects and explosives on ship</w:t>
            </w:r>
          </w:p>
          <w:p w:rsidR="00000000" w:rsidRPr="004B3D0C" w:rsidP="004B3D0C">
            <w:pPr>
              <w:pStyle w:val="ListBullet2"/>
            </w:pPr>
            <w:r w:rsidRPr="004B3D0C">
              <w:t>security drills and exercises, including:</w:t>
            </w:r>
          </w:p>
          <w:p w:rsidR="00000000" w:rsidRPr="004B3D0C" w:rsidP="004B3D0C">
            <w:pPr>
              <w:pStyle w:val="ListBullet3"/>
            </w:pPr>
            <w:r w:rsidRPr="004B3D0C">
              <w:t>training, drill and exercise requirements under relevant conventions, codes and International Maritime Organization (IMO) circulars, in</w:t>
            </w:r>
            <w:r w:rsidRPr="004B3D0C">
              <w:t xml:space="preserve">cluding those relevant for anti-piracy and </w:t>
            </w:r>
            <w:r w:rsidRPr="004B3D0C">
              <w:t>anti-armed robbery</w:t>
            </w:r>
          </w:p>
          <w:p w:rsidR="00000000" w:rsidRPr="004B3D0C" w:rsidP="004B3D0C">
            <w:pPr>
              <w:pStyle w:val="ListBullet"/>
            </w:pPr>
            <w:r w:rsidRPr="004B3D0C">
              <w:t>general procedures for emergency, evacuation and first aid response</w:t>
            </w:r>
          </w:p>
          <w:p w:rsidR="00000000" w:rsidRPr="004B3D0C" w:rsidP="004B3D0C">
            <w:pPr>
              <w:pStyle w:val="ListBullet"/>
            </w:pPr>
            <w:r w:rsidRPr="004B3D0C">
              <w:t>maritime security policy, including:</w:t>
            </w:r>
          </w:p>
          <w:p w:rsidR="00000000" w:rsidRPr="004B3D0C" w:rsidP="004B3D0C">
            <w:pPr>
              <w:pStyle w:val="ListBullet2"/>
            </w:pPr>
            <w:r w:rsidRPr="004B3D0C">
              <w:t>applicable relevant government legislation and regulations</w:t>
            </w:r>
          </w:p>
          <w:p w:rsidR="00000000" w:rsidRPr="004B3D0C" w:rsidP="004B3D0C">
            <w:pPr>
              <w:pStyle w:val="ListBullet2"/>
            </w:pPr>
            <w:r w:rsidRPr="004B3D0C">
              <w:t>definitions</w:t>
            </w:r>
          </w:p>
          <w:p w:rsidR="00000000" w:rsidRPr="004B3D0C" w:rsidP="004B3D0C">
            <w:pPr>
              <w:pStyle w:val="ListBullet2"/>
            </w:pPr>
            <w:r w:rsidRPr="004B3D0C">
              <w:t>handling sensitive security-related information and communications</w:t>
            </w:r>
          </w:p>
          <w:p w:rsidR="00000000" w:rsidRPr="004B3D0C" w:rsidP="004B3D0C">
            <w:pPr>
              <w:pStyle w:val="ListBullet2"/>
            </w:pPr>
            <w:r w:rsidRPr="004B3D0C">
              <w:t>international conventions, codes and recommendations relevant to the marine environment and own work role, including the International Convention for the Safety of Life at Sea (SOLAS) Chapt</w:t>
            </w:r>
            <w:r w:rsidRPr="004B3D0C">
              <w:t xml:space="preserve">er X1-2 of SOLAS 74 as amended </w:t>
            </w:r>
          </w:p>
          <w:p w:rsidR="00000000" w:rsidRPr="004B3D0C" w:rsidP="004B3D0C">
            <w:pPr>
              <w:pStyle w:val="ListBullet"/>
            </w:pPr>
            <w:r w:rsidRPr="004B3D0C">
              <w:t>maritime security terms and definitions, including elements relating to piracy and armed robbery</w:t>
            </w:r>
          </w:p>
          <w:p w:rsidR="00000000" w:rsidRPr="004B3D0C" w:rsidP="004B3D0C">
            <w:pPr>
              <w:pStyle w:val="ListBullet"/>
            </w:pPr>
            <w:r w:rsidRPr="004B3D0C">
              <w:t>need for, and methods of, maintaining security awareness and vigilance</w:t>
            </w:r>
          </w:p>
          <w:p w:rsidR="00000000" w:rsidRPr="004B3D0C" w:rsidP="004B3D0C">
            <w:pPr>
              <w:pStyle w:val="ListBullet"/>
            </w:pPr>
            <w:r w:rsidRPr="004B3D0C">
              <w:t xml:space="preserve">potential security threats, including elements related </w:t>
            </w:r>
            <w:r w:rsidRPr="004B3D0C">
              <w:t>to piracy and armed robbery</w:t>
            </w:r>
          </w:p>
          <w:p w:rsidR="00000000" w:rsidRPr="004B3D0C" w:rsidP="004B3D0C">
            <w:pPr>
              <w:pStyle w:val="ListBullet"/>
            </w:pPr>
            <w:r w:rsidRPr="004B3D0C">
              <w:t>reporting security risks to designated personnel in accordance with ship security procedures, including:</w:t>
            </w:r>
          </w:p>
          <w:p w:rsidR="00000000" w:rsidRPr="004B3D0C" w:rsidP="004B3D0C">
            <w:pPr>
              <w:pStyle w:val="ListBullet2"/>
            </w:pPr>
            <w:r w:rsidRPr="004B3D0C">
              <w:t>company security officer</w:t>
            </w:r>
          </w:p>
          <w:p w:rsidR="00000000" w:rsidRPr="004B3D0C" w:rsidP="004B3D0C">
            <w:pPr>
              <w:pStyle w:val="ListBullet2"/>
            </w:pPr>
            <w:r w:rsidRPr="004B3D0C">
              <w:t>port facility security officer</w:t>
            </w:r>
          </w:p>
          <w:p w:rsidR="00000000" w:rsidRPr="004B3D0C" w:rsidP="004B3D0C">
            <w:pPr>
              <w:pStyle w:val="ListBullet2"/>
            </w:pPr>
            <w:r w:rsidRPr="004B3D0C">
              <w:t>seafarers with designed security duties</w:t>
            </w:r>
          </w:p>
          <w:p w:rsidR="00000000" w:rsidRPr="004B3D0C" w:rsidP="004B3D0C">
            <w:pPr>
              <w:pStyle w:val="ListBullet2"/>
            </w:pPr>
            <w:r w:rsidRPr="004B3D0C">
              <w:t>ship security officer</w:t>
            </w:r>
          </w:p>
          <w:p w:rsidR="00000000" w:rsidRPr="004B3D0C" w:rsidP="004B3D0C">
            <w:pPr>
              <w:pStyle w:val="ListBullet"/>
            </w:pPr>
            <w:r w:rsidRPr="004B3D0C">
              <w:t>requirements when handling security-related information and security-related communications</w:t>
            </w:r>
          </w:p>
          <w:p w:rsidR="00000000" w:rsidRPr="004B3D0C" w:rsidP="004B3D0C">
            <w:pPr>
              <w:pStyle w:val="ListBullet"/>
            </w:pPr>
            <w:r w:rsidRPr="004B3D0C">
              <w:t>security levels and their impact on security measures, including procedures aboard ship and in port facilities</w:t>
            </w:r>
          </w:p>
          <w:p w:rsidR="00000000" w:rsidRPr="004B3D0C" w:rsidP="004B3D0C">
            <w:pPr>
              <w:pStyle w:val="ListBullet"/>
            </w:pPr>
            <w:r w:rsidRPr="004B3D0C">
              <w:t>security responsibilities, including:</w:t>
            </w:r>
          </w:p>
          <w:p w:rsidR="00000000" w:rsidRPr="004B3D0C" w:rsidP="004B3D0C">
            <w:pPr>
              <w:pStyle w:val="ListBullet2"/>
            </w:pPr>
            <w:r w:rsidRPr="004B3D0C">
              <w:t>company securi</w:t>
            </w:r>
            <w:r w:rsidRPr="004B3D0C">
              <w:t>ty officer</w:t>
            </w:r>
          </w:p>
          <w:p w:rsidR="00000000" w:rsidRPr="004B3D0C" w:rsidP="004B3D0C">
            <w:pPr>
              <w:pStyle w:val="ListBullet2"/>
            </w:pPr>
            <w:r w:rsidRPr="004B3D0C">
              <w:t>contracting governments</w:t>
            </w:r>
          </w:p>
          <w:p w:rsidR="00000000" w:rsidRPr="004B3D0C" w:rsidP="004B3D0C">
            <w:pPr>
              <w:pStyle w:val="ListBullet2"/>
            </w:pPr>
            <w:r w:rsidRPr="004B3D0C">
              <w:t>other personnel</w:t>
            </w:r>
          </w:p>
          <w:p w:rsidR="00000000" w:rsidRPr="004B3D0C" w:rsidP="004B3D0C">
            <w:pPr>
              <w:pStyle w:val="ListBullet2"/>
            </w:pPr>
            <w:r w:rsidRPr="004B3D0C">
              <w:t>port facility personnel with designated security duties</w:t>
            </w:r>
          </w:p>
          <w:p w:rsidR="00000000" w:rsidRPr="004B3D0C" w:rsidP="004B3D0C">
            <w:pPr>
              <w:pStyle w:val="ListBullet2"/>
            </w:pPr>
            <w:r w:rsidRPr="004B3D0C">
              <w:t>port facility security officer</w:t>
            </w:r>
          </w:p>
          <w:p w:rsidR="00000000" w:rsidRPr="004B3D0C" w:rsidP="004B3D0C">
            <w:pPr>
              <w:pStyle w:val="ListBullet2"/>
            </w:pPr>
            <w:r w:rsidRPr="004B3D0C">
              <w:t>seafarers with designated security duties</w:t>
            </w:r>
          </w:p>
          <w:p w:rsidR="00000000" w:rsidRPr="004B3D0C" w:rsidP="004B3D0C">
            <w:pPr>
              <w:pStyle w:val="ListBullet2"/>
            </w:pPr>
            <w:r w:rsidRPr="004B3D0C">
              <w:t>ship security officer</w:t>
            </w:r>
          </w:p>
          <w:p w:rsidR="00000000" w:rsidRPr="004B3D0C" w:rsidP="004B3D0C">
            <w:pPr>
              <w:pStyle w:val="ListBullet2"/>
            </w:pPr>
            <w:r w:rsidRPr="004B3D0C">
              <w:t>the company</w:t>
            </w:r>
          </w:p>
          <w:p w:rsidR="00000000" w:rsidRPr="004B3D0C" w:rsidP="004B3D0C">
            <w:pPr>
              <w:pStyle w:val="ListBullet2"/>
            </w:pPr>
            <w:r w:rsidRPr="004B3D0C">
              <w:t>the port facility</w:t>
            </w:r>
          </w:p>
          <w:p w:rsidR="00000000" w:rsidRPr="004B3D0C" w:rsidP="004B3D0C">
            <w:pPr>
              <w:pStyle w:val="ListBullet2"/>
            </w:pPr>
            <w:r w:rsidRPr="004B3D0C">
              <w:t>the ship</w:t>
            </w:r>
          </w:p>
          <w:p w:rsidR="00000000" w:rsidRPr="004B3D0C" w:rsidP="004B3D0C">
            <w:pPr>
              <w:pStyle w:val="ListBullet"/>
            </w:pPr>
            <w:r w:rsidRPr="004B3D0C">
              <w:t>security threats and patterns, including:</w:t>
            </w:r>
          </w:p>
          <w:p w:rsidR="00000000" w:rsidRPr="004B3D0C" w:rsidP="004B3D0C">
            <w:pPr>
              <w:pStyle w:val="ListBullet2"/>
            </w:pPr>
            <w:r w:rsidRPr="004B3D0C">
              <w:t>cargo theft</w:t>
            </w:r>
          </w:p>
          <w:p w:rsidR="00000000" w:rsidRPr="004B3D0C" w:rsidP="004B3D0C">
            <w:pPr>
              <w:pStyle w:val="ListBullet2"/>
            </w:pPr>
            <w:r w:rsidRPr="004B3D0C">
              <w:t>collateral damage</w:t>
            </w:r>
          </w:p>
          <w:p w:rsidR="00000000" w:rsidRPr="004B3D0C" w:rsidP="004B3D0C">
            <w:pPr>
              <w:pStyle w:val="ListBullet2"/>
            </w:pPr>
            <w:r w:rsidRPr="004B3D0C">
              <w:t>contraband smuggling</w:t>
            </w:r>
          </w:p>
          <w:p w:rsidR="00000000" w:rsidRPr="004B3D0C" w:rsidP="004B3D0C">
            <w:pPr>
              <w:pStyle w:val="ListBullet2"/>
            </w:pPr>
            <w:r w:rsidRPr="004B3D0C">
              <w:t>piracy and armed robbery</w:t>
            </w:r>
          </w:p>
          <w:p w:rsidR="00000000" w:rsidRPr="004B3D0C" w:rsidP="004B3D0C">
            <w:pPr>
              <w:pStyle w:val="ListBullet2"/>
            </w:pPr>
            <w:r w:rsidRPr="004B3D0C">
              <w:t>stowaways and refugees</w:t>
            </w:r>
          </w:p>
          <w:p w:rsidR="00000000" w:rsidRPr="004B3D0C" w:rsidP="004B3D0C">
            <w:pPr>
              <w:pStyle w:val="ListBullet2"/>
            </w:pPr>
            <w:r w:rsidRPr="004B3D0C">
              <w:t>terrorism</w:t>
            </w:r>
          </w:p>
          <w:p w:rsidR="00000000" w:rsidRPr="004B3D0C" w:rsidP="004B3D0C">
            <w:pPr>
              <w:pStyle w:val="ListBullet"/>
            </w:pPr>
            <w:r w:rsidRPr="004B3D0C">
              <w:t>ship and port operations and conditions, including:</w:t>
            </w:r>
          </w:p>
          <w:p w:rsidR="00000000" w:rsidRPr="004B3D0C" w:rsidP="004B3D0C">
            <w:pPr>
              <w:pStyle w:val="ListBullet2"/>
            </w:pPr>
            <w:r w:rsidRPr="004B3D0C">
              <w:t>characteristics of the intermodal nature of transp</w:t>
            </w:r>
            <w:r w:rsidRPr="004B3D0C">
              <w:t>ortation and the interfaces between ships and other modes</w:t>
            </w:r>
          </w:p>
          <w:p w:rsidR="00000000" w:rsidRPr="004B3D0C" w:rsidP="004B3D0C">
            <w:pPr>
              <w:pStyle w:val="ListBullet"/>
            </w:pPr>
            <w:r w:rsidRPr="004B3D0C">
              <w:t>ship security actions, including:</w:t>
            </w:r>
          </w:p>
          <w:p w:rsidR="00000000" w:rsidRPr="004B3D0C" w:rsidP="004B3D0C">
            <w:pPr>
              <w:pStyle w:val="ListBullet2"/>
            </w:pPr>
            <w:r w:rsidRPr="004B3D0C">
              <w:t>actions required by different security levels</w:t>
            </w:r>
          </w:p>
          <w:p w:rsidR="00000000" w:rsidRPr="004B3D0C" w:rsidP="004B3D0C">
            <w:pPr>
              <w:pStyle w:val="ListBullet2"/>
            </w:pPr>
            <w:r w:rsidRPr="004B3D0C">
              <w:t>security drills and exercises</w:t>
            </w:r>
          </w:p>
          <w:p w:rsidR="00000000" w:rsidRPr="004B3D0C" w:rsidP="004B3D0C">
            <w:pPr>
              <w:pStyle w:val="ListBullet"/>
            </w:pPr>
            <w:r w:rsidRPr="004B3D0C">
              <w:t>situation awareness</w:t>
            </w:r>
          </w:p>
          <w:p w:rsidR="00000000" w:rsidRPr="004B3D0C" w:rsidP="004B3D0C">
            <w:pPr>
              <w:pStyle w:val="ListBullet"/>
            </w:pPr>
            <w:r w:rsidRPr="004B3D0C">
              <w:t>techniques used to circumvent security measures</w:t>
            </w:r>
          </w:p>
          <w:p w:rsidR="00000000" w:rsidRPr="004B3D0C" w:rsidP="004B3D0C">
            <w:pPr>
              <w:pStyle w:val="ListBullet"/>
            </w:pPr>
            <w:r w:rsidRPr="004B3D0C">
              <w:t>threat identification, recognition and response, including:</w:t>
            </w:r>
          </w:p>
          <w:p w:rsidR="00000000" w:rsidRPr="004B3D0C" w:rsidP="004B3D0C">
            <w:pPr>
              <w:pStyle w:val="ListBullet2"/>
            </w:pPr>
            <w:r w:rsidRPr="004B3D0C">
              <w:t>recognition and detection of weapons, dangerous substances and devices</w:t>
            </w:r>
          </w:p>
          <w:p w:rsidR="00000000" w:rsidRPr="004B3D0C" w:rsidP="004B3D0C">
            <w:pPr>
              <w:pStyle w:val="ListBullet2"/>
            </w:pPr>
            <w:r w:rsidRPr="004B3D0C">
              <w:t>recognition, on a non-discriminatory basis, of persons posting potential security risks</w:t>
            </w:r>
          </w:p>
          <w:p w:rsidR="00000000" w:rsidRPr="004B3D0C" w:rsidP="004B3D0C">
            <w:pPr>
              <w:pStyle w:val="ListBullet2"/>
            </w:pPr>
            <w:r w:rsidRPr="004B3D0C">
              <w:t>techniques used to circumvent securi</w:t>
            </w:r>
            <w:r w:rsidRPr="004B3D0C">
              <w:t>ty measures</w:t>
            </w:r>
          </w:p>
          <w:p w:rsidR="00000000" w:rsidRPr="004B3D0C" w:rsidP="004B3D0C">
            <w:pPr>
              <w:pStyle w:val="ListBullet"/>
            </w:pPr>
            <w:r w:rsidRPr="004B3D0C">
              <w:t>weapons, dangerous substances and devices and awareness of the damage they can cause</w:t>
            </w:r>
          </w:p>
          <w:p w:rsidR="00000000" w:rsidRPr="004B3D0C" w:rsidP="004B3D0C">
            <w:pPr>
              <w:pStyle w:val="ListBullet"/>
            </w:pPr>
            <w:r w:rsidRPr="004B3D0C">
              <w:t>WHS/OHS requirements and work practices.</w:t>
            </w:r>
          </w:p>
        </w:tc>
      </w:tr>
    </w:tbl>
    <w:p w:rsidR="00000000" w:rsidRPr="004B3D0C" w:rsidP="004B3D0C">
      <w:pPr>
        <w:pStyle w:val="NoPaddingFontSize1"/>
      </w:pPr>
    </w:p>
    <w:p w:rsidR="00000000" w:rsidRPr="004B3D0C" w:rsidP="004B3D0C">
      <w:pPr>
        <w:pStyle w:val="AllowPageBreak"/>
      </w:pPr>
    </w:p>
    <w:p w:rsidR="00000000" w:rsidRPr="004B3D0C" w:rsidP="004B3D0C">
      <w:pPr>
        <w:pStyle w:val="Heading1"/>
      </w:pPr>
      <w:bookmarkStart w:id="14" w:name="O_1285276"/>
      <w:bookmarkEnd w:id="14"/>
      <w:r w:rsidRPr="004B3D0C">
        <w:t>Assessment Conditions</w:t>
      </w:r>
    </w:p>
    <w:tbl>
      <w:tblPr>
        <w:tblW w:w="9497" w:type="dxa"/>
        <w:tblLayout w:type="fixed"/>
        <w:tblCellMar>
          <w:left w:w="62" w:type="dxa"/>
          <w:right w:w="62" w:type="dxa"/>
        </w:tblCellMar>
        <w:tblLook w:val="0000"/>
      </w:tblPr>
      <w:tblGrid>
        <w:gridCol w:w="9497"/>
      </w:tblGrid>
      <w:tr w:rsidTr="004B3D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3D0C" w:rsidP="004B3D0C">
            <w:pPr>
              <w:pStyle w:val="BodyText"/>
            </w:pPr>
            <w:r w:rsidRPr="004B3D0C">
              <w:t>Assessors must hold credentials specified within the Standards for Registered Training Organisations current at the time of assessment.</w:t>
            </w:r>
          </w:p>
          <w:p w:rsidR="00000000" w:rsidRPr="004B3D0C" w:rsidP="004B3D0C">
            <w:pPr>
              <w:pStyle w:val="BodyText"/>
            </w:pPr>
            <w:r w:rsidRPr="004B3D0C">
              <w:t>Assessment must satisfy the Principles of Assessment and Rules of Evidence and all regulatory requirements included with</w:t>
            </w:r>
            <w:r w:rsidRPr="004B3D0C">
              <w:t xml:space="preserve">in the Standards for Registered Training Organisations current at the time of assessment.  </w:t>
            </w:r>
          </w:p>
          <w:p w:rsidR="00000000" w:rsidRPr="004B3D0C" w:rsidP="004B3D0C">
            <w:pPr>
              <w:pStyle w:val="BodyText"/>
            </w:pPr>
            <w:r w:rsidRPr="004B3D0C">
              <w:t>Assessment processes and techniques must be appropriate to the language, literacy and numeracy requirements of the work being performed and the needs of the candida</w:t>
            </w:r>
            <w:r w:rsidRPr="004B3D0C">
              <w:t>te.</w:t>
            </w:r>
          </w:p>
          <w:p w:rsidR="00000000" w:rsidRPr="004B3D0C" w:rsidP="004B3D0C">
            <w:pPr>
              <w:pStyle w:val="BodyText"/>
            </w:pPr>
            <w:r w:rsidRPr="004B3D0C">
              <w:t xml:space="preserve">Practical assessment must occur in a workplace, or realistic simulated workplace, under the normal range of workplace conditions. </w:t>
            </w:r>
          </w:p>
          <w:p w:rsidR="00000000" w:rsidRPr="004B3D0C" w:rsidP="004B3D0C">
            <w:pPr>
              <w:pStyle w:val="BodyText"/>
            </w:pPr>
            <w:r w:rsidRPr="004B3D0C">
              <w:t>Simulations and scenarios may be used where situations cannot be provided in the workplace or may occur only rarely, in p</w:t>
            </w:r>
            <w:r w:rsidRPr="004B3D0C">
              <w:t>articular for situations relating to emergency procedures and adverse weather conditions where assessment would be unsafe, impractical or may lead to environmental damage.</w:t>
            </w:r>
          </w:p>
          <w:p w:rsidR="00000000" w:rsidRPr="004B3D0C" w:rsidP="004B3D0C">
            <w:pPr>
              <w:pStyle w:val="BodyText"/>
            </w:pPr>
            <w:r w:rsidRPr="004B3D0C">
              <w:t>Resources for assessment must include access to:</w:t>
            </w:r>
          </w:p>
          <w:p w:rsidR="00000000" w:rsidRPr="004B3D0C" w:rsidP="004B3D0C">
            <w:pPr>
              <w:pStyle w:val="ListBullet"/>
            </w:pPr>
            <w:r w:rsidRPr="004B3D0C">
              <w:t xml:space="preserve">applicable documentation, such as </w:t>
            </w:r>
            <w:r w:rsidRPr="004B3D0C">
              <w:t>legislation, regulations, codes of practice, workplace procedures and operational manuals</w:t>
            </w:r>
          </w:p>
          <w:p w:rsidR="00000000" w:rsidRPr="004B3D0C" w:rsidP="004B3D0C">
            <w:pPr>
              <w:pStyle w:val="ListBullet"/>
            </w:pPr>
            <w:r w:rsidRPr="004B3D0C">
              <w:t>tools, equipment, machinery, materials and relevant personal protective equipment (PPE) currently used in industry.</w:t>
            </w:r>
          </w:p>
        </w:tc>
      </w:tr>
    </w:tbl>
    <w:p w:rsidR="00000000" w:rsidRPr="004B3D0C" w:rsidP="004B3D0C">
      <w:pPr>
        <w:pStyle w:val="NoPaddingFontSize1"/>
      </w:pPr>
    </w:p>
    <w:p w:rsidR="00000000" w:rsidRPr="004B3D0C" w:rsidP="004B3D0C">
      <w:pPr>
        <w:pStyle w:val="AllowPageBreak"/>
      </w:pPr>
    </w:p>
    <w:p w:rsidR="00000000" w:rsidRPr="004B3D0C" w:rsidP="004B3D0C">
      <w:pPr>
        <w:pStyle w:val="Heading1"/>
      </w:pPr>
      <w:bookmarkStart w:id="15" w:name="O_1285291"/>
      <w:bookmarkEnd w:id="15"/>
      <w:r w:rsidRPr="004B3D0C">
        <w:t>Links</w:t>
      </w:r>
    </w:p>
    <w:p w:rsidR="00000000" w:rsidRPr="004B3D0C" w:rsidP="002405B8">
      <w:pPr>
        <w:pStyle w:val="BodyText"/>
      </w:pPr>
      <w:r w:rsidRPr="004B3D0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70E01">
        <w:rPr>
          <w:rStyle w:val="Hyperlink"/>
        </w:rPr>
        <w:t>https://vetnet.gov.au/Pages/TrainingDocs.aspx?q=772efb7b-4cce-47fe-9bbd-ee3b1d1eb4c2</w:t>
      </w:r>
      <w:r>
        <w:fldChar w:fldCharType="end"/>
      </w:r>
    </w:p>
    <w:p w:rsidR="00000000" w:rsidRPr="004B3D0C" w:rsidP="004B3D0C"/>
    <w:sectPr w:rsidSect="004B3D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0C" w:rsidRPr="002405B8" w:rsidP="002405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B8" w:rsidP="004B3D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405B8" w:rsidP="004B3D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405B8" w:rsidP="004B3D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0C" w:rsidP="004B3D0C">
    <w:pPr>
      <w:pStyle w:val="Footer"/>
      <w:framePr w:wrap="around"/>
    </w:pPr>
    <w:r>
      <w:fldChar w:fldCharType="begin"/>
    </w:r>
    <w:r>
      <w:instrText xml:space="preserve"> DOCPROPERTY  Subject  \* MERGEFORMAT </w:instrText>
    </w:r>
    <w:r>
      <w:fldChar w:fldCharType="separate"/>
    </w:r>
    <w:r w:rsidR="002405B8">
      <w:t>Approved</w:t>
    </w:r>
    <w:r w:rsidR="002405B8">
      <w:fldChar w:fldCharType="end"/>
    </w:r>
    <w:r>
      <w:tab/>
      <w:t xml:space="preserve">Page </w:t>
    </w:r>
    <w:r>
      <w:fldChar w:fldCharType="begin"/>
    </w:r>
    <w:r>
      <w:instrText xml:space="preserve"> PAGE  \* Arabic  \* MERGEFORMAT </w:instrText>
    </w:r>
    <w:r>
      <w:fldChar w:fldCharType="separate"/>
    </w:r>
    <w:r w:rsidR="002405B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405B8">
      <w:rPr>
        <w:noProof/>
      </w:rPr>
      <w:t>6</w:t>
    </w:r>
    <w:r>
      <w:rPr>
        <w:noProof/>
      </w:rPr>
      <w:fldChar w:fldCharType="end"/>
    </w:r>
  </w:p>
  <w:p w:rsidR="004B3D0C" w:rsidP="004B3D0C">
    <w:pPr>
      <w:pStyle w:val="Footer"/>
      <w:framePr w:wrap="around"/>
    </w:pPr>
    <w:r>
      <w:t xml:space="preserve">© Commonwealth of Australia, </w:t>
    </w:r>
    <w:r>
      <w:fldChar w:fldCharType="begin"/>
    </w:r>
    <w:r>
      <w:instrText xml:space="preserve"> DATE  \@ "yyyy"  \* MERGEFORMAT </w:instrText>
    </w:r>
    <w:r>
      <w:fldChar w:fldCharType="separate"/>
    </w:r>
    <w:r w:rsidR="002405B8">
      <w:rPr>
        <w:noProof/>
      </w:rPr>
      <w:t>2025</w:t>
    </w:r>
    <w:r>
      <w:fldChar w:fldCharType="end"/>
    </w:r>
    <w:r>
      <w:tab/>
    </w:r>
    <w:r>
      <w:fldChar w:fldCharType="begin"/>
    </w:r>
    <w:r>
      <w:instrText xml:space="preserve"> DOCPROPERTY  Author  \* MERGEFORMAT </w:instrText>
    </w:r>
    <w:r>
      <w:fldChar w:fldCharType="separate"/>
    </w:r>
    <w:r w:rsidR="002405B8">
      <w:t>Industry Skills Australia</w:t>
    </w:r>
    <w:r w:rsidR="002405B8">
      <w:fldChar w:fldCharType="end"/>
    </w:r>
  </w:p>
  <w:p w:rsidR="004B3D0C" w:rsidP="004B3D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D0C" w:rsidRPr="002405B8" w:rsidP="002405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5B8" w:rsidRPr="002D2AF8" w:rsidP="004B3D0C">
    <w:pPr>
      <w:pStyle w:val="Header"/>
      <w:framePr w:wrap="around"/>
    </w:pPr>
    <w:r>
      <w:fldChar w:fldCharType="begin"/>
    </w:r>
    <w:r>
      <w:instrText xml:space="preserve"> TITLE   \* MERGEFORMAT </w:instrText>
    </w:r>
    <w:r>
      <w:fldChar w:fldCharType="separate"/>
    </w:r>
    <w:r>
      <w:t>MARF037 Follow vessel security procedures (security awareness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405B8" w:rsidP="004B3D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D0C" w:rsidRPr="002D2AF8" w:rsidP="004B3D0C">
    <w:pPr>
      <w:pStyle w:val="Header"/>
      <w:framePr w:wrap="around"/>
    </w:pPr>
    <w:r>
      <w:fldChar w:fldCharType="begin"/>
    </w:r>
    <w:r>
      <w:instrText xml:space="preserve"> TITLE   \* MERGEFORMAT </w:instrText>
    </w:r>
    <w:r>
      <w:fldChar w:fldCharType="separate"/>
    </w:r>
    <w:r w:rsidR="002405B8">
      <w:t>MARF037 Follow vessel security procedures (security awareness training)</w:t>
    </w:r>
    <w:r w:rsidR="002405B8">
      <w:fldChar w:fldCharType="end"/>
    </w:r>
    <w:r>
      <w:tab/>
      <w:t xml:space="preserve">Date this document was generated: </w:t>
    </w:r>
    <w:r>
      <w:fldChar w:fldCharType="begin"/>
    </w:r>
    <w:r>
      <w:instrText xml:space="preserve"> CREATEDATE  \@ "d MMMM yyyy"  \* MERGEFORMAT </w:instrText>
    </w:r>
    <w:r>
      <w:fldChar w:fldCharType="separate"/>
    </w:r>
    <w:r w:rsidR="002405B8">
      <w:rPr>
        <w:noProof/>
      </w:rPr>
      <w:t>2 March 2025</w:t>
    </w:r>
    <w:r>
      <w:fldChar w:fldCharType="end"/>
    </w:r>
  </w:p>
  <w:p w:rsidR="004B3D0C" w:rsidP="004B3D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B26D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26E3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9AE6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D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D0C"/>
    <w:pPr>
      <w:spacing w:before="360" w:after="60"/>
      <w:outlineLvl w:val="0"/>
    </w:pPr>
    <w:rPr>
      <w:sz w:val="32"/>
    </w:rPr>
  </w:style>
  <w:style w:type="paragraph" w:styleId="Heading2">
    <w:name w:val="heading 2"/>
    <w:basedOn w:val="HeadingBase"/>
    <w:next w:val="BodyText"/>
    <w:link w:val="Heading2Char"/>
    <w:qFormat/>
    <w:rsid w:val="004B3D0C"/>
    <w:pPr>
      <w:keepLines/>
      <w:spacing w:before="240" w:after="120"/>
      <w:outlineLvl w:val="1"/>
    </w:pPr>
    <w:rPr>
      <w:sz w:val="28"/>
      <w:szCs w:val="40"/>
    </w:rPr>
  </w:style>
  <w:style w:type="paragraph" w:styleId="Heading3">
    <w:name w:val="heading 3"/>
    <w:basedOn w:val="HeadingBase"/>
    <w:next w:val="BodyText"/>
    <w:link w:val="Heading3Char"/>
    <w:qFormat/>
    <w:rsid w:val="004B3D0C"/>
    <w:pPr>
      <w:spacing w:before="180" w:after="120"/>
      <w:outlineLvl w:val="2"/>
    </w:pPr>
    <w:rPr>
      <w:spacing w:val="-10"/>
      <w:kern w:val="32"/>
    </w:rPr>
  </w:style>
  <w:style w:type="paragraph" w:styleId="Heading4">
    <w:name w:val="heading 4"/>
    <w:basedOn w:val="HeadingBase"/>
    <w:next w:val="BodyText"/>
    <w:link w:val="Heading4Char"/>
    <w:qFormat/>
    <w:rsid w:val="004B3D0C"/>
    <w:pPr>
      <w:spacing w:before="160" w:after="120"/>
      <w:outlineLvl w:val="3"/>
    </w:pPr>
    <w:rPr>
      <w:sz w:val="22"/>
    </w:rPr>
  </w:style>
  <w:style w:type="paragraph" w:styleId="Heading5">
    <w:name w:val="heading 5"/>
    <w:basedOn w:val="HeadingBase"/>
    <w:next w:val="Normal"/>
    <w:link w:val="Heading5Char"/>
    <w:qFormat/>
    <w:rsid w:val="004B3D0C"/>
    <w:pPr>
      <w:spacing w:before="80"/>
      <w:outlineLvl w:val="4"/>
    </w:pPr>
    <w:rPr>
      <w:color w:val="918585"/>
      <w:sz w:val="20"/>
    </w:rPr>
  </w:style>
  <w:style w:type="paragraph" w:styleId="Heading6">
    <w:name w:val="heading 6"/>
    <w:basedOn w:val="HeadingBase"/>
    <w:next w:val="Normal"/>
    <w:link w:val="Heading6Char"/>
    <w:qFormat/>
    <w:rsid w:val="004B3D0C"/>
    <w:pPr>
      <w:spacing w:before="60"/>
      <w:outlineLvl w:val="5"/>
    </w:pPr>
    <w:rPr>
      <w:color w:val="918585"/>
      <w:sz w:val="20"/>
    </w:rPr>
  </w:style>
  <w:style w:type="paragraph" w:styleId="Heading7">
    <w:name w:val="heading 7"/>
    <w:basedOn w:val="Normal"/>
    <w:next w:val="Normal"/>
    <w:link w:val="Heading7Char"/>
    <w:qFormat/>
    <w:rsid w:val="004B3D0C"/>
    <w:pPr>
      <w:ind w:left="720"/>
      <w:outlineLvl w:val="6"/>
    </w:pPr>
    <w:rPr>
      <w:i/>
    </w:rPr>
  </w:style>
  <w:style w:type="paragraph" w:styleId="Heading8">
    <w:name w:val="heading 8"/>
    <w:basedOn w:val="Normal"/>
    <w:next w:val="Normal"/>
    <w:link w:val="Heading8Char"/>
    <w:qFormat/>
    <w:rsid w:val="004B3D0C"/>
    <w:pPr>
      <w:ind w:left="720"/>
      <w:outlineLvl w:val="7"/>
    </w:pPr>
    <w:rPr>
      <w:i/>
    </w:rPr>
  </w:style>
  <w:style w:type="paragraph" w:styleId="Heading9">
    <w:name w:val="heading 9"/>
    <w:basedOn w:val="Normal"/>
    <w:next w:val="Normal"/>
    <w:link w:val="Heading9Char"/>
    <w:qFormat/>
    <w:rsid w:val="004B3D0C"/>
    <w:pPr>
      <w:ind w:left="720"/>
      <w:outlineLvl w:val="8"/>
    </w:pPr>
    <w:rPr>
      <w:i/>
    </w:rPr>
  </w:style>
  <w:style w:type="character" w:default="1" w:styleId="DefaultParagraphFont">
    <w:name w:val="Default Paragraph Font"/>
    <w:uiPriority w:val="1"/>
    <w:unhideWhenUsed/>
    <w:rsid w:val="004B3D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D0C"/>
  </w:style>
  <w:style w:type="character" w:customStyle="1" w:styleId="Heading1Char">
    <w:name w:val="Heading 1 Char"/>
    <w:basedOn w:val="DefaultParagraphFont"/>
    <w:link w:val="Heading1"/>
    <w:rsid w:val="004B3D0C"/>
    <w:rPr>
      <w:rFonts w:ascii="Times New Roman" w:eastAsia="Times New Roman" w:hAnsi="Times New Roman" w:cs="Times New Roman"/>
      <w:b/>
      <w:sz w:val="32"/>
      <w:szCs w:val="20"/>
      <w:lang w:eastAsia="en-US"/>
    </w:rPr>
  </w:style>
  <w:style w:type="paragraph" w:styleId="BodyText">
    <w:name w:val="Body Text"/>
    <w:basedOn w:val="Normal"/>
    <w:link w:val="BodyTextChar"/>
    <w:rsid w:val="004B3D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D0C"/>
    <w:rPr>
      <w:rFonts w:ascii="Times New Roman" w:eastAsia="Times New Roman" w:hAnsi="Times New Roman" w:cs="Times New Roman"/>
      <w:sz w:val="24"/>
      <w:lang w:eastAsia="en-US"/>
    </w:rPr>
  </w:style>
  <w:style w:type="paragraph" w:styleId="ListBullet">
    <w:name w:val="List Bullet"/>
    <w:basedOn w:val="List"/>
    <w:rsid w:val="004B3D0C"/>
    <w:pPr>
      <w:numPr>
        <w:numId w:val="13"/>
      </w:numPr>
      <w:tabs>
        <w:tab w:val="clear" w:pos="340"/>
      </w:tabs>
      <w:spacing w:before="40" w:after="40"/>
    </w:pPr>
  </w:style>
  <w:style w:type="character" w:customStyle="1" w:styleId="SpecialBold">
    <w:name w:val="Special Bold"/>
    <w:basedOn w:val="DefaultParagraphFont"/>
    <w:rsid w:val="004B3D0C"/>
    <w:rPr>
      <w:b/>
      <w:spacing w:val="0"/>
    </w:rPr>
  </w:style>
  <w:style w:type="paragraph" w:styleId="ListBullet2">
    <w:name w:val="List Bullet 2"/>
    <w:basedOn w:val="List2"/>
    <w:rsid w:val="004B3D0C"/>
    <w:pPr>
      <w:numPr>
        <w:numId w:val="14"/>
      </w:numPr>
      <w:tabs>
        <w:tab w:val="clear" w:pos="680"/>
      </w:tabs>
    </w:pPr>
  </w:style>
  <w:style w:type="paragraph" w:customStyle="1" w:styleId="SuperHeading">
    <w:name w:val="SuperHeading"/>
    <w:basedOn w:val="Normal"/>
    <w:rsid w:val="004B3D0C"/>
    <w:pPr>
      <w:spacing w:before="240" w:after="120"/>
      <w:outlineLvl w:val="0"/>
    </w:pPr>
    <w:rPr>
      <w:rFonts w:ascii="Times New Roman" w:hAnsi="Times New Roman"/>
      <w:b/>
      <w:sz w:val="32"/>
    </w:rPr>
  </w:style>
  <w:style w:type="paragraph" w:customStyle="1" w:styleId="AllowPageBreak">
    <w:name w:val="AllowPageBreak"/>
    <w:rsid w:val="004B3D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3D0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3D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D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D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D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D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D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D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D0C"/>
    <w:rPr>
      <w:rFonts w:ascii="Courier New" w:eastAsia="Times New Roman" w:hAnsi="Courier New" w:cs="Times New Roman"/>
      <w:i/>
      <w:szCs w:val="20"/>
      <w:lang w:eastAsia="en-US"/>
    </w:rPr>
  </w:style>
  <w:style w:type="paragraph" w:customStyle="1" w:styleId="HeadingBase">
    <w:name w:val="Heading Base"/>
    <w:rsid w:val="004B3D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D0C"/>
    <w:pPr>
      <w:tabs>
        <w:tab w:val="right" w:leader="dot" w:pos="9072"/>
      </w:tabs>
      <w:ind w:left="567"/>
    </w:pPr>
    <w:rPr>
      <w:szCs w:val="22"/>
    </w:rPr>
  </w:style>
  <w:style w:type="paragraph" w:customStyle="1" w:styleId="TOCBase">
    <w:name w:val="TOC Base"/>
    <w:rsid w:val="004B3D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D0C"/>
    <w:pPr>
      <w:tabs>
        <w:tab w:val="right" w:leader="dot" w:pos="9072"/>
      </w:tabs>
      <w:spacing w:before="40" w:after="40"/>
      <w:ind w:left="284"/>
    </w:pPr>
    <w:rPr>
      <w:rFonts w:ascii="Times New Roman" w:hAnsi="Times New Roman"/>
    </w:rPr>
  </w:style>
  <w:style w:type="paragraph" w:styleId="TOC1">
    <w:name w:val="toc 1"/>
    <w:basedOn w:val="TOCBase"/>
    <w:next w:val="Normal"/>
    <w:rsid w:val="004B3D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D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D0C"/>
    <w:rPr>
      <w:rFonts w:ascii="Times New Roman" w:eastAsia="Times New Roman" w:hAnsi="Times New Roman" w:cs="Times New Roman"/>
      <w:sz w:val="16"/>
      <w:lang w:eastAsia="en-US"/>
    </w:rPr>
  </w:style>
  <w:style w:type="paragraph" w:styleId="Title">
    <w:name w:val="Title"/>
    <w:basedOn w:val="HeadingBase"/>
    <w:link w:val="TitleChar"/>
    <w:qFormat/>
    <w:rsid w:val="004B3D0C"/>
    <w:pPr>
      <w:spacing w:before="5040"/>
      <w:jc w:val="center"/>
    </w:pPr>
    <w:rPr>
      <w:sz w:val="48"/>
      <w:szCs w:val="72"/>
      <w:lang w:val="en-US"/>
    </w:rPr>
  </w:style>
  <w:style w:type="character" w:customStyle="1" w:styleId="TitleChar">
    <w:name w:val="Title Char"/>
    <w:basedOn w:val="DefaultParagraphFont"/>
    <w:link w:val="Title"/>
    <w:rsid w:val="004B3D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D0C"/>
    <w:pPr>
      <w:tabs>
        <w:tab w:val="left" w:pos="3600"/>
        <w:tab w:val="left" w:pos="3958"/>
      </w:tabs>
    </w:pPr>
  </w:style>
  <w:style w:type="paragraph" w:styleId="List">
    <w:name w:val="List"/>
    <w:basedOn w:val="BodyText"/>
    <w:next w:val="BodyText"/>
    <w:rsid w:val="004B3D0C"/>
    <w:pPr>
      <w:tabs>
        <w:tab w:val="left" w:pos="340"/>
      </w:tabs>
      <w:spacing w:before="60" w:after="60"/>
      <w:ind w:left="340" w:hanging="340"/>
    </w:pPr>
  </w:style>
  <w:style w:type="paragraph" w:customStyle="1" w:styleId="Note">
    <w:name w:val="Note"/>
    <w:basedOn w:val="BodyText"/>
    <w:rsid w:val="004B3D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D0C"/>
    <w:pPr>
      <w:framePr w:wrap="auto" w:hAnchor="text" w:y="6049"/>
    </w:pPr>
    <w:rPr>
      <w:color w:val="000000"/>
      <w:sz w:val="40"/>
    </w:rPr>
  </w:style>
  <w:style w:type="paragraph" w:customStyle="1" w:styleId="TOCTitle">
    <w:name w:val="TOCTitle"/>
    <w:basedOn w:val="Heading1"/>
    <w:rsid w:val="004B3D0C"/>
    <w:pPr>
      <w:spacing w:after="240"/>
      <w:jc w:val="center"/>
      <w:outlineLvl w:val="9"/>
    </w:pPr>
    <w:rPr>
      <w:caps/>
    </w:rPr>
  </w:style>
  <w:style w:type="paragraph" w:customStyle="1" w:styleId="Version">
    <w:name w:val="Version"/>
    <w:rsid w:val="004B3D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D0C"/>
    <w:pPr>
      <w:keepNext w:val="0"/>
      <w:tabs>
        <w:tab w:val="right" w:pos="4176"/>
      </w:tabs>
      <w:ind w:left="198" w:hanging="198"/>
    </w:pPr>
    <w:rPr>
      <w:rFonts w:ascii="Garamond" w:hAnsi="Garamond"/>
    </w:rPr>
  </w:style>
  <w:style w:type="paragraph" w:styleId="IndexHeading">
    <w:name w:val="index heading"/>
    <w:basedOn w:val="Normal"/>
    <w:next w:val="Index1"/>
    <w:semiHidden/>
    <w:rsid w:val="004B3D0C"/>
    <w:pPr>
      <w:spacing w:before="120" w:after="120"/>
    </w:pPr>
    <w:rPr>
      <w:rFonts w:ascii="Arial" w:hAnsi="Arial"/>
      <w:b/>
      <w:color w:val="918585"/>
      <w:sz w:val="24"/>
    </w:rPr>
  </w:style>
  <w:style w:type="paragraph" w:styleId="Header">
    <w:name w:val="header"/>
    <w:basedOn w:val="Normal"/>
    <w:link w:val="HeaderChar"/>
    <w:rsid w:val="004B3D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D0C"/>
    <w:rPr>
      <w:rFonts w:ascii="Times New Roman" w:eastAsia="Times New Roman" w:hAnsi="Times New Roman" w:cs="Times New Roman"/>
      <w:sz w:val="16"/>
      <w:szCs w:val="20"/>
      <w:lang w:val="en-GB" w:eastAsia="en-US"/>
    </w:rPr>
  </w:style>
  <w:style w:type="paragraph" w:customStyle="1" w:styleId="Chapter">
    <w:name w:val="Chapter"/>
    <w:basedOn w:val="Normal"/>
    <w:rsid w:val="004B3D0C"/>
    <w:pPr>
      <w:spacing w:before="240"/>
    </w:pPr>
    <w:rPr>
      <w:rFonts w:ascii="Times New Roman" w:hAnsi="Times New Roman"/>
      <w:smallCaps/>
      <w:spacing w:val="80"/>
      <w:sz w:val="28"/>
    </w:rPr>
  </w:style>
  <w:style w:type="paragraph" w:customStyle="1" w:styleId="InChapter">
    <w:name w:val="InChapter"/>
    <w:basedOn w:val="Heading3"/>
    <w:rsid w:val="004B3D0C"/>
    <w:pPr>
      <w:spacing w:after="240"/>
      <w:outlineLvl w:val="9"/>
    </w:pPr>
    <w:rPr>
      <w:noProof/>
    </w:rPr>
  </w:style>
  <w:style w:type="paragraph" w:styleId="Index2">
    <w:name w:val="index 2"/>
    <w:basedOn w:val="Normal"/>
    <w:next w:val="Normal"/>
    <w:semiHidden/>
    <w:rsid w:val="004B3D0C"/>
    <w:pPr>
      <w:tabs>
        <w:tab w:val="right" w:pos="4176"/>
      </w:tabs>
      <w:ind w:left="568" w:hanging="284"/>
    </w:pPr>
    <w:rPr>
      <w:rFonts w:ascii="Garamond" w:hAnsi="Garamond"/>
    </w:rPr>
  </w:style>
  <w:style w:type="paragraph" w:customStyle="1" w:styleId="Byline">
    <w:name w:val="Byline"/>
    <w:rsid w:val="004B3D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D0C"/>
    <w:pPr>
      <w:tabs>
        <w:tab w:val="clear" w:pos="3600"/>
        <w:tab w:val="clear" w:pos="3958"/>
      </w:tabs>
      <w:jc w:val="right"/>
    </w:pPr>
  </w:style>
  <w:style w:type="character" w:styleId="Emphasis">
    <w:name w:val="Emphasis"/>
    <w:basedOn w:val="DefaultParagraphFont"/>
    <w:qFormat/>
    <w:rsid w:val="004B3D0C"/>
    <w:rPr>
      <w:i/>
    </w:rPr>
  </w:style>
  <w:style w:type="paragraph" w:styleId="Caption">
    <w:name w:val="caption"/>
    <w:basedOn w:val="BodyText"/>
    <w:next w:val="Normal"/>
    <w:qFormat/>
    <w:rsid w:val="004B3D0C"/>
    <w:pPr>
      <w:framePr w:w="2268" w:hSpace="181" w:vSpace="181" w:wrap="around" w:vAnchor="text" w:hAnchor="page" w:x="1135" w:y="285" w:anchorLock="1"/>
    </w:pPr>
    <w:rPr>
      <w:i/>
    </w:rPr>
  </w:style>
  <w:style w:type="paragraph" w:customStyle="1" w:styleId="MiniTOCTitle">
    <w:name w:val="MiniTOCTitle"/>
    <w:basedOn w:val="Heading4"/>
    <w:rsid w:val="004B3D0C"/>
    <w:pPr>
      <w:spacing w:before="240"/>
      <w:outlineLvl w:val="9"/>
    </w:pPr>
    <w:rPr>
      <w:noProof/>
      <w:sz w:val="24"/>
    </w:rPr>
  </w:style>
  <w:style w:type="paragraph" w:customStyle="1" w:styleId="MiniTOCItem">
    <w:name w:val="MiniTOCItem"/>
    <w:basedOn w:val="ListBullet"/>
    <w:rsid w:val="004B3D0C"/>
    <w:pPr>
      <w:numPr>
        <w:numId w:val="0"/>
      </w:numPr>
      <w:tabs>
        <w:tab w:val="right" w:leader="dot" w:pos="6521"/>
      </w:tabs>
      <w:spacing w:before="0" w:after="0"/>
    </w:pPr>
  </w:style>
  <w:style w:type="paragraph" w:customStyle="1" w:styleId="TOFTitle">
    <w:name w:val="TOFTitle"/>
    <w:basedOn w:val="TOCTitle"/>
    <w:rsid w:val="004B3D0C"/>
  </w:style>
  <w:style w:type="paragraph" w:styleId="TableofFigures">
    <w:name w:val="table of figures"/>
    <w:basedOn w:val="Normal"/>
    <w:next w:val="Normal"/>
    <w:semiHidden/>
    <w:rsid w:val="004B3D0C"/>
    <w:pPr>
      <w:tabs>
        <w:tab w:val="right" w:leader="dot" w:pos="9072"/>
      </w:tabs>
      <w:ind w:left="970" w:hanging="403"/>
    </w:pPr>
    <w:rPr>
      <w:rFonts w:ascii="Times New Roman" w:hAnsi="Times New Roman"/>
      <w:b/>
    </w:rPr>
  </w:style>
  <w:style w:type="paragraph" w:styleId="ListNumber">
    <w:name w:val="List Number"/>
    <w:basedOn w:val="List"/>
    <w:rsid w:val="004B3D0C"/>
    <w:pPr>
      <w:numPr>
        <w:numId w:val="16"/>
      </w:numPr>
      <w:tabs>
        <w:tab w:val="clear" w:pos="340"/>
      </w:tabs>
    </w:pPr>
  </w:style>
  <w:style w:type="character" w:customStyle="1" w:styleId="WingdingSymbols">
    <w:name w:val="Wingding Symbols"/>
    <w:rsid w:val="004B3D0C"/>
    <w:rPr>
      <w:rFonts w:ascii="Wingdings" w:hAnsi="Wingdings"/>
    </w:rPr>
  </w:style>
  <w:style w:type="paragraph" w:customStyle="1" w:styleId="TableHeading">
    <w:name w:val="Table Heading"/>
    <w:basedOn w:val="HeadingBase"/>
    <w:rsid w:val="004B3D0C"/>
    <w:pPr>
      <w:keepLines/>
      <w:pBdr>
        <w:bottom w:val="single" w:sz="6" w:space="1" w:color="918585"/>
      </w:pBdr>
      <w:spacing w:before="240"/>
    </w:pPr>
  </w:style>
  <w:style w:type="character" w:customStyle="1" w:styleId="HotSpot">
    <w:name w:val="HotSpot"/>
    <w:rsid w:val="004B3D0C"/>
    <w:rPr>
      <w:color w:val="0033CC"/>
      <w:u w:val="none"/>
    </w:rPr>
  </w:style>
  <w:style w:type="paragraph" w:customStyle="1" w:styleId="BodyTextRight">
    <w:name w:val="Body Text Right"/>
    <w:basedOn w:val="BodyText"/>
    <w:rsid w:val="004B3D0C"/>
    <w:pPr>
      <w:spacing w:before="0" w:after="0"/>
      <w:jc w:val="right"/>
    </w:pPr>
  </w:style>
  <w:style w:type="paragraph" w:styleId="Index3">
    <w:name w:val="index 3"/>
    <w:basedOn w:val="ListNumber2"/>
    <w:next w:val="Normal"/>
    <w:semiHidden/>
    <w:rsid w:val="004B3D0C"/>
    <w:pPr>
      <w:numPr>
        <w:numId w:val="0"/>
      </w:numPr>
      <w:tabs>
        <w:tab w:val="right" w:leader="dot" w:pos="4176"/>
      </w:tabs>
    </w:pPr>
  </w:style>
  <w:style w:type="paragraph" w:styleId="ListNumber2">
    <w:name w:val="List Number 2"/>
    <w:basedOn w:val="List2"/>
    <w:rsid w:val="004B3D0C"/>
    <w:pPr>
      <w:numPr>
        <w:numId w:val="11"/>
      </w:numPr>
      <w:tabs>
        <w:tab w:val="clear" w:pos="1060"/>
      </w:tabs>
    </w:pPr>
  </w:style>
  <w:style w:type="paragraph" w:customStyle="1" w:styleId="MarginNote">
    <w:name w:val="Margin Note"/>
    <w:basedOn w:val="BodyText"/>
    <w:rsid w:val="004B3D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D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D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D0C"/>
    <w:rPr>
      <w:sz w:val="32"/>
    </w:rPr>
  </w:style>
  <w:style w:type="paragraph" w:customStyle="1" w:styleId="HeadingProcedure">
    <w:name w:val="Heading Procedure"/>
    <w:basedOn w:val="HeadingBase"/>
    <w:next w:val="Normal"/>
    <w:rsid w:val="004B3D0C"/>
    <w:pPr>
      <w:tabs>
        <w:tab w:val="left" w:pos="0"/>
      </w:tabs>
      <w:spacing w:before="120" w:after="60"/>
    </w:pPr>
    <w:rPr>
      <w:i/>
      <w:color w:val="918585"/>
      <w:sz w:val="22"/>
    </w:rPr>
  </w:style>
  <w:style w:type="paragraph" w:customStyle="1" w:styleId="TableBodyText">
    <w:name w:val="Table Body Text"/>
    <w:basedOn w:val="BodyText"/>
    <w:rsid w:val="004B3D0C"/>
    <w:pPr>
      <w:spacing w:before="60" w:after="60"/>
    </w:pPr>
  </w:style>
  <w:style w:type="paragraph" w:styleId="ListContinue">
    <w:name w:val="List Continue"/>
    <w:basedOn w:val="List"/>
    <w:rsid w:val="004B3D0C"/>
    <w:pPr>
      <w:ind w:firstLine="0"/>
    </w:pPr>
  </w:style>
  <w:style w:type="paragraph" w:customStyle="1" w:styleId="ListNote">
    <w:name w:val="List Note"/>
    <w:basedOn w:val="List"/>
    <w:rsid w:val="004B3D0C"/>
    <w:pPr>
      <w:pBdr>
        <w:top w:val="single" w:sz="6" w:space="2" w:color="918585"/>
        <w:bottom w:val="single" w:sz="6" w:space="2" w:color="918585"/>
      </w:pBdr>
      <w:tabs>
        <w:tab w:val="left" w:pos="1021"/>
      </w:tabs>
      <w:ind w:firstLine="0"/>
    </w:pPr>
  </w:style>
  <w:style w:type="paragraph" w:customStyle="1" w:styleId="Warning">
    <w:name w:val="Warning"/>
    <w:basedOn w:val="BodyText"/>
    <w:rsid w:val="004B3D0C"/>
    <w:pPr>
      <w:shd w:val="clear" w:color="auto" w:fill="D9D9D9"/>
      <w:tabs>
        <w:tab w:val="left" w:pos="992"/>
      </w:tabs>
      <w:ind w:left="119" w:right="119"/>
    </w:pPr>
    <w:rPr>
      <w:sz w:val="20"/>
    </w:rPr>
  </w:style>
  <w:style w:type="paragraph" w:customStyle="1" w:styleId="MarginIcons">
    <w:name w:val="Margin Icons"/>
    <w:basedOn w:val="BodyText"/>
    <w:rsid w:val="004B3D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D0C"/>
    <w:rPr>
      <w:rFonts w:ascii="Courier New" w:hAnsi="Courier New"/>
    </w:rPr>
  </w:style>
  <w:style w:type="paragraph" w:customStyle="1" w:styleId="NoteBullet">
    <w:name w:val="Note Bullet"/>
    <w:basedOn w:val="Note"/>
    <w:rsid w:val="004B3D0C"/>
    <w:pPr>
      <w:tabs>
        <w:tab w:val="clear" w:pos="680"/>
      </w:tabs>
      <w:spacing w:before="60" w:after="60"/>
    </w:pPr>
  </w:style>
  <w:style w:type="paragraph" w:customStyle="1" w:styleId="SubHeading2">
    <w:name w:val="SubHeading2"/>
    <w:basedOn w:val="HeadingBase"/>
    <w:rsid w:val="004B3D0C"/>
    <w:pPr>
      <w:spacing w:before="240" w:after="60"/>
    </w:pPr>
    <w:rPr>
      <w:sz w:val="20"/>
    </w:rPr>
  </w:style>
  <w:style w:type="paragraph" w:customStyle="1" w:styleId="SubHeading1">
    <w:name w:val="SubHeading1"/>
    <w:basedOn w:val="HeadingBase"/>
    <w:rsid w:val="004B3D0C"/>
    <w:pPr>
      <w:spacing w:before="240" w:after="60"/>
    </w:pPr>
    <w:rPr>
      <w:color w:val="918585"/>
      <w:sz w:val="22"/>
    </w:rPr>
  </w:style>
  <w:style w:type="paragraph" w:customStyle="1" w:styleId="SideHeading">
    <w:name w:val="Side Heading"/>
    <w:basedOn w:val="HeadingBase"/>
    <w:rsid w:val="004B3D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D0C"/>
    <w:pPr>
      <w:numPr>
        <w:numId w:val="12"/>
      </w:numPr>
    </w:pPr>
  </w:style>
  <w:style w:type="paragraph" w:styleId="PlainText">
    <w:name w:val="Plain Text"/>
    <w:basedOn w:val="Normal"/>
    <w:link w:val="PlainTextChar"/>
    <w:rsid w:val="004B3D0C"/>
    <w:rPr>
      <w:sz w:val="20"/>
    </w:rPr>
  </w:style>
  <w:style w:type="character" w:customStyle="1" w:styleId="PlainTextChar">
    <w:name w:val="Plain Text Char"/>
    <w:basedOn w:val="DefaultParagraphFont"/>
    <w:link w:val="PlainText"/>
    <w:rsid w:val="004B3D0C"/>
    <w:rPr>
      <w:rFonts w:ascii="Courier New" w:eastAsia="Times New Roman" w:hAnsi="Courier New" w:cs="Times New Roman"/>
      <w:sz w:val="20"/>
      <w:szCs w:val="20"/>
      <w:lang w:eastAsia="en-US"/>
    </w:rPr>
  </w:style>
  <w:style w:type="character" w:customStyle="1" w:styleId="MenuOption">
    <w:name w:val="Menu Option"/>
    <w:basedOn w:val="DefaultParagraphFont"/>
    <w:rsid w:val="004B3D0C"/>
    <w:rPr>
      <w:b/>
      <w:smallCaps/>
    </w:rPr>
  </w:style>
  <w:style w:type="paragraph" w:customStyle="1" w:styleId="TableListNumber">
    <w:name w:val="Table List Number"/>
    <w:basedOn w:val="ListNumber"/>
    <w:rsid w:val="004B3D0C"/>
    <w:pPr>
      <w:numPr>
        <w:numId w:val="0"/>
      </w:numPr>
    </w:pPr>
  </w:style>
  <w:style w:type="paragraph" w:styleId="TOC4">
    <w:name w:val="toc 4"/>
    <w:basedOn w:val="TOCBase"/>
    <w:next w:val="Normal"/>
    <w:semiHidden/>
    <w:rsid w:val="004B3D0C"/>
    <w:pPr>
      <w:tabs>
        <w:tab w:val="right" w:leader="dot" w:pos="9071"/>
      </w:tabs>
      <w:ind w:left="1701"/>
    </w:pPr>
  </w:style>
  <w:style w:type="paragraph" w:customStyle="1" w:styleId="ListAlpha">
    <w:name w:val="List Alpha"/>
    <w:basedOn w:val="List"/>
    <w:rsid w:val="004B3D0C"/>
    <w:pPr>
      <w:numPr>
        <w:numId w:val="10"/>
      </w:numPr>
    </w:pPr>
  </w:style>
  <w:style w:type="paragraph" w:customStyle="1" w:styleId="ListAlpha2">
    <w:name w:val="List Alpha 2"/>
    <w:basedOn w:val="List2"/>
    <w:rsid w:val="004B3D0C"/>
    <w:pPr>
      <w:numPr>
        <w:numId w:val="9"/>
      </w:numPr>
    </w:pPr>
  </w:style>
  <w:style w:type="paragraph" w:styleId="List2">
    <w:name w:val="List 2"/>
    <w:basedOn w:val="BodyText"/>
    <w:rsid w:val="004B3D0C"/>
    <w:pPr>
      <w:tabs>
        <w:tab w:val="left" w:pos="680"/>
      </w:tabs>
      <w:spacing w:before="60" w:after="60"/>
      <w:ind w:left="680" w:hanging="340"/>
    </w:pPr>
  </w:style>
  <w:style w:type="paragraph" w:styleId="List3">
    <w:name w:val="List 3"/>
    <w:basedOn w:val="BodyText"/>
    <w:rsid w:val="004B3D0C"/>
    <w:pPr>
      <w:tabs>
        <w:tab w:val="left" w:pos="1021"/>
      </w:tabs>
      <w:spacing w:before="60" w:after="60"/>
      <w:ind w:left="1020" w:hanging="340"/>
    </w:pPr>
  </w:style>
  <w:style w:type="paragraph" w:styleId="List4">
    <w:name w:val="List 4"/>
    <w:basedOn w:val="BodyText"/>
    <w:rsid w:val="004B3D0C"/>
    <w:pPr>
      <w:tabs>
        <w:tab w:val="left" w:pos="1361"/>
      </w:tabs>
      <w:spacing w:before="60" w:after="60"/>
      <w:ind w:left="1361" w:hanging="340"/>
    </w:pPr>
  </w:style>
  <w:style w:type="paragraph" w:styleId="List5">
    <w:name w:val="List 5"/>
    <w:basedOn w:val="BodyText"/>
    <w:rsid w:val="004B3D0C"/>
    <w:pPr>
      <w:tabs>
        <w:tab w:val="left" w:pos="1701"/>
      </w:tabs>
      <w:spacing w:before="60" w:after="60"/>
      <w:ind w:left="1701" w:hanging="340"/>
    </w:pPr>
  </w:style>
  <w:style w:type="paragraph" w:styleId="ListBullet4">
    <w:name w:val="List Bullet 4"/>
    <w:basedOn w:val="List4"/>
    <w:rsid w:val="004B3D0C"/>
    <w:pPr>
      <w:numPr>
        <w:numId w:val="4"/>
      </w:numPr>
      <w:tabs>
        <w:tab w:val="clear" w:pos="1361"/>
      </w:tabs>
    </w:pPr>
  </w:style>
  <w:style w:type="paragraph" w:styleId="ListBullet5">
    <w:name w:val="List Bullet 5"/>
    <w:basedOn w:val="List5"/>
    <w:rsid w:val="004B3D0C"/>
    <w:pPr>
      <w:numPr>
        <w:numId w:val="5"/>
      </w:numPr>
    </w:pPr>
  </w:style>
  <w:style w:type="paragraph" w:styleId="ListContinue2">
    <w:name w:val="List Continue 2"/>
    <w:basedOn w:val="List2"/>
    <w:rsid w:val="004B3D0C"/>
    <w:pPr>
      <w:ind w:firstLine="0"/>
    </w:pPr>
  </w:style>
  <w:style w:type="paragraph" w:styleId="ListContinue3">
    <w:name w:val="List Continue 3"/>
    <w:basedOn w:val="List3"/>
    <w:rsid w:val="004B3D0C"/>
    <w:pPr>
      <w:ind w:left="1021" w:firstLine="0"/>
    </w:pPr>
  </w:style>
  <w:style w:type="paragraph" w:styleId="ListContinue4">
    <w:name w:val="List Continue 4"/>
    <w:basedOn w:val="List4"/>
    <w:rsid w:val="004B3D0C"/>
    <w:pPr>
      <w:ind w:firstLine="0"/>
    </w:pPr>
  </w:style>
  <w:style w:type="paragraph" w:styleId="ListContinue5">
    <w:name w:val="List Continue 5"/>
    <w:basedOn w:val="List5"/>
    <w:rsid w:val="004B3D0C"/>
    <w:pPr>
      <w:ind w:firstLine="0"/>
    </w:pPr>
  </w:style>
  <w:style w:type="paragraph" w:styleId="ListNumber3">
    <w:name w:val="List Number 3"/>
    <w:basedOn w:val="List3"/>
    <w:rsid w:val="004B3D0C"/>
    <w:pPr>
      <w:numPr>
        <w:numId w:val="6"/>
      </w:numPr>
    </w:pPr>
  </w:style>
  <w:style w:type="paragraph" w:styleId="ListNumber4">
    <w:name w:val="List Number 4"/>
    <w:basedOn w:val="List4"/>
    <w:rsid w:val="004B3D0C"/>
    <w:pPr>
      <w:numPr>
        <w:numId w:val="7"/>
      </w:numPr>
    </w:pPr>
  </w:style>
  <w:style w:type="paragraph" w:styleId="ListNumber5">
    <w:name w:val="List Number 5"/>
    <w:basedOn w:val="List5"/>
    <w:rsid w:val="004B3D0C"/>
    <w:pPr>
      <w:numPr>
        <w:numId w:val="8"/>
      </w:numPr>
    </w:pPr>
  </w:style>
  <w:style w:type="paragraph" w:styleId="BlockText">
    <w:name w:val="Block Text"/>
    <w:basedOn w:val="Normal"/>
    <w:rsid w:val="004B3D0C"/>
    <w:pPr>
      <w:spacing w:after="120"/>
      <w:ind w:left="1440" w:right="1440"/>
    </w:pPr>
  </w:style>
  <w:style w:type="character" w:customStyle="1" w:styleId="Subscript">
    <w:name w:val="Subscript"/>
    <w:basedOn w:val="DefaultParagraphFont"/>
    <w:rsid w:val="004B3D0C"/>
    <w:rPr>
      <w:sz w:val="16"/>
      <w:vertAlign w:val="subscript"/>
    </w:rPr>
  </w:style>
  <w:style w:type="character" w:customStyle="1" w:styleId="Superscript">
    <w:name w:val="Superscript"/>
    <w:basedOn w:val="DefaultParagraphFont"/>
    <w:rsid w:val="004B3D0C"/>
    <w:rPr>
      <w:sz w:val="16"/>
      <w:vertAlign w:val="superscript"/>
    </w:rPr>
  </w:style>
  <w:style w:type="character" w:customStyle="1" w:styleId="Symbols">
    <w:name w:val="Symbols"/>
    <w:basedOn w:val="DefaultParagraphFont"/>
    <w:rsid w:val="004B3D0C"/>
    <w:rPr>
      <w:rFonts w:ascii="Symbol" w:hAnsi="Symbol"/>
    </w:rPr>
  </w:style>
  <w:style w:type="character" w:customStyle="1" w:styleId="MenuOptions">
    <w:name w:val="Menu Options"/>
    <w:basedOn w:val="DefaultParagraphFont"/>
    <w:rsid w:val="004B3D0C"/>
    <w:rPr>
      <w:rFonts w:ascii="Arial Narrow" w:hAnsi="Arial Narrow"/>
      <w:smallCaps/>
    </w:rPr>
  </w:style>
  <w:style w:type="character" w:customStyle="1" w:styleId="Buttons">
    <w:name w:val="Buttons"/>
    <w:basedOn w:val="DefaultParagraphFont"/>
    <w:rsid w:val="004B3D0C"/>
    <w:rPr>
      <w:b/>
    </w:rPr>
  </w:style>
  <w:style w:type="character" w:customStyle="1" w:styleId="Underlined">
    <w:name w:val="Underlined"/>
    <w:basedOn w:val="DefaultParagraphFont"/>
    <w:rsid w:val="004B3D0C"/>
    <w:rPr>
      <w:u w:val="single"/>
    </w:rPr>
  </w:style>
  <w:style w:type="paragraph" w:customStyle="1" w:styleId="TableBodyTextRight">
    <w:name w:val="Table Body Text Right"/>
    <w:basedOn w:val="TableBodyText"/>
    <w:rsid w:val="004B3D0C"/>
    <w:pPr>
      <w:widowControl w:val="0"/>
      <w:autoSpaceDE w:val="0"/>
      <w:autoSpaceDN w:val="0"/>
      <w:adjustRightInd w:val="0"/>
      <w:jc w:val="right"/>
    </w:pPr>
    <w:rPr>
      <w:rFonts w:cs="Arial"/>
      <w:szCs w:val="18"/>
    </w:rPr>
  </w:style>
  <w:style w:type="paragraph" w:customStyle="1" w:styleId="CopyrightText">
    <w:name w:val="Copyright Text"/>
    <w:basedOn w:val="BodyText"/>
    <w:rsid w:val="004B3D0C"/>
    <w:rPr>
      <w:sz w:val="18"/>
    </w:rPr>
  </w:style>
  <w:style w:type="paragraph" w:customStyle="1" w:styleId="BodySmallRight">
    <w:name w:val="Body Small Right"/>
    <w:basedOn w:val="BodyTextRight"/>
    <w:rsid w:val="004B3D0C"/>
    <w:rPr>
      <w:sz w:val="18"/>
      <w:szCs w:val="18"/>
    </w:rPr>
  </w:style>
  <w:style w:type="paragraph" w:customStyle="1" w:styleId="MarginEdition">
    <w:name w:val="Margin Edition"/>
    <w:basedOn w:val="MarginNote"/>
    <w:rsid w:val="004B3D0C"/>
    <w:pPr>
      <w:spacing w:before="0" w:after="0"/>
    </w:pPr>
    <w:rPr>
      <w:rFonts w:ascii="Times New Roman" w:hAnsi="Times New Roman"/>
      <w:color w:val="999999"/>
    </w:rPr>
  </w:style>
  <w:style w:type="paragraph" w:customStyle="1" w:styleId="Spacer">
    <w:name w:val="Spacer"/>
    <w:basedOn w:val="Normal"/>
    <w:rsid w:val="004B3D0C"/>
    <w:rPr>
      <w:sz w:val="2"/>
      <w:szCs w:val="2"/>
    </w:rPr>
  </w:style>
  <w:style w:type="character" w:customStyle="1" w:styleId="Small">
    <w:name w:val="Small"/>
    <w:basedOn w:val="DefaultParagraphFont"/>
    <w:rsid w:val="004B3D0C"/>
    <w:rPr>
      <w:sz w:val="16"/>
    </w:rPr>
  </w:style>
  <w:style w:type="paragraph" w:customStyle="1" w:styleId="WideTable">
    <w:name w:val="Wide Table"/>
    <w:basedOn w:val="Normal"/>
    <w:rsid w:val="004B3D0C"/>
    <w:pPr>
      <w:ind w:left="-1418"/>
    </w:pPr>
    <w:rPr>
      <w:sz w:val="2"/>
      <w:szCs w:val="2"/>
    </w:rPr>
  </w:style>
  <w:style w:type="character" w:styleId="PageNumber">
    <w:name w:val="page number"/>
    <w:basedOn w:val="DefaultParagraphFont"/>
    <w:rsid w:val="004B3D0C"/>
  </w:style>
  <w:style w:type="paragraph" w:styleId="Quote">
    <w:name w:val="Quote"/>
    <w:basedOn w:val="Heading1"/>
    <w:link w:val="QuoteChar"/>
    <w:qFormat/>
    <w:rsid w:val="004B3D0C"/>
    <w:rPr>
      <w:b w:val="0"/>
      <w:sz w:val="72"/>
      <w:szCs w:val="72"/>
      <w:lang w:val="en-NZ"/>
    </w:rPr>
  </w:style>
  <w:style w:type="character" w:customStyle="1" w:styleId="QuoteChar">
    <w:name w:val="Quote Char"/>
    <w:basedOn w:val="DefaultParagraphFont"/>
    <w:link w:val="Quote"/>
    <w:rsid w:val="004B3D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D0C"/>
    <w:pPr>
      <w:pageBreakBefore/>
    </w:pPr>
  </w:style>
  <w:style w:type="paragraph" w:customStyle="1" w:styleId="Border">
    <w:name w:val="Border"/>
    <w:basedOn w:val="Normal"/>
    <w:qFormat/>
    <w:rsid w:val="004B3D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D0C"/>
    <w:rPr>
      <w:b/>
      <w:bCs/>
      <w:i/>
      <w:iCs/>
      <w:color w:val="auto"/>
    </w:rPr>
  </w:style>
  <w:style w:type="paragraph" w:styleId="IntenseQuote">
    <w:name w:val="Intense Quote"/>
    <w:basedOn w:val="Normal"/>
    <w:next w:val="Normal"/>
    <w:link w:val="IntenseQuoteChar"/>
    <w:uiPriority w:val="30"/>
    <w:qFormat/>
    <w:rsid w:val="004B3D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D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D0C"/>
    <w:rPr>
      <w:smallCaps/>
      <w:color w:val="auto"/>
      <w:u w:val="single"/>
    </w:rPr>
  </w:style>
  <w:style w:type="character" w:styleId="IntenseReference">
    <w:name w:val="Intense Reference"/>
    <w:basedOn w:val="DefaultParagraphFont"/>
    <w:uiPriority w:val="32"/>
    <w:qFormat/>
    <w:rsid w:val="004B3D0C"/>
    <w:rPr>
      <w:b/>
      <w:bCs/>
      <w:smallCaps/>
      <w:color w:val="auto"/>
      <w:spacing w:val="5"/>
      <w:u w:val="single"/>
    </w:rPr>
  </w:style>
  <w:style w:type="paragraph" w:customStyle="1" w:styleId="2ColumnHeading">
    <w:name w:val="2Column Heading"/>
    <w:basedOn w:val="BodyText"/>
    <w:qFormat/>
    <w:rsid w:val="004B3D0C"/>
    <w:pPr>
      <w:spacing w:after="60"/>
      <w:ind w:left="-2268"/>
    </w:pPr>
    <w:rPr>
      <w:b/>
    </w:rPr>
  </w:style>
  <w:style w:type="paragraph" w:customStyle="1" w:styleId="Heading1TOC">
    <w:name w:val="Heading1 TOC"/>
    <w:basedOn w:val="Normal"/>
    <w:qFormat/>
    <w:rsid w:val="004B3D0C"/>
    <w:pPr>
      <w:spacing w:before="240" w:after="120"/>
    </w:pPr>
    <w:rPr>
      <w:rFonts w:ascii="Times New Roman" w:hAnsi="Times New Roman"/>
      <w:b/>
      <w:sz w:val="32"/>
    </w:rPr>
  </w:style>
  <w:style w:type="paragraph" w:customStyle="1" w:styleId="Heading2TOC">
    <w:name w:val="Heading2 TOC"/>
    <w:basedOn w:val="Normal"/>
    <w:qFormat/>
    <w:rsid w:val="004B3D0C"/>
    <w:pPr>
      <w:spacing w:before="240" w:after="60"/>
    </w:pPr>
    <w:rPr>
      <w:rFonts w:ascii="Times New Roman" w:hAnsi="Times New Roman"/>
      <w:b/>
      <w:sz w:val="28"/>
    </w:rPr>
  </w:style>
  <w:style w:type="character" w:customStyle="1" w:styleId="Underline">
    <w:name w:val="Underline"/>
    <w:basedOn w:val="DefaultParagraphFont"/>
    <w:qFormat/>
    <w:rsid w:val="004B3D0C"/>
    <w:rPr>
      <w:u w:val="single"/>
    </w:rPr>
  </w:style>
  <w:style w:type="character" w:customStyle="1" w:styleId="BoldandItalics">
    <w:name w:val="Bold and Italics"/>
    <w:qFormat/>
    <w:rsid w:val="004B3D0C"/>
    <w:rPr>
      <w:b/>
      <w:i/>
      <w:u w:val="none"/>
    </w:rPr>
  </w:style>
  <w:style w:type="paragraph" w:styleId="BalloonText">
    <w:name w:val="Balloon Text"/>
    <w:basedOn w:val="Normal"/>
    <w:link w:val="BalloonTextChar"/>
    <w:rsid w:val="004B3D0C"/>
    <w:rPr>
      <w:rFonts w:ascii="Tahoma" w:hAnsi="Tahoma" w:cs="Tahoma"/>
      <w:sz w:val="16"/>
      <w:szCs w:val="16"/>
    </w:rPr>
  </w:style>
  <w:style w:type="character" w:customStyle="1" w:styleId="BalloonTextChar">
    <w:name w:val="Balloon Text Char"/>
    <w:basedOn w:val="DefaultParagraphFont"/>
    <w:link w:val="BalloonText"/>
    <w:rsid w:val="004B3D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D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D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D0C"/>
    <w:rPr>
      <w:b/>
      <w:color w:val="660033"/>
      <w:spacing w:val="0"/>
    </w:rPr>
  </w:style>
  <w:style w:type="paragraph" w:customStyle="1" w:styleId="Nameditemlist">
    <w:name w:val="Named item list"/>
    <w:basedOn w:val="BodyText"/>
    <w:qFormat/>
    <w:rsid w:val="004B3D0C"/>
    <w:pPr>
      <w:tabs>
        <w:tab w:val="left" w:pos="2835"/>
      </w:tabs>
      <w:ind w:left="2835" w:hanging="2835"/>
    </w:pPr>
  </w:style>
  <w:style w:type="paragraph" w:customStyle="1" w:styleId="BodyTextnopadding">
    <w:name w:val="Body Text no padding"/>
    <w:basedOn w:val="BodyText"/>
    <w:qFormat/>
    <w:rsid w:val="004B3D0C"/>
    <w:pPr>
      <w:spacing w:before="0" w:after="0"/>
    </w:pPr>
  </w:style>
  <w:style w:type="paragraph" w:customStyle="1" w:styleId="BodyTextBold">
    <w:name w:val="Body Text Bold"/>
    <w:basedOn w:val="BodyText"/>
    <w:qFormat/>
    <w:rsid w:val="004B3D0C"/>
    <w:rPr>
      <w:b/>
    </w:rPr>
  </w:style>
  <w:style w:type="character" w:styleId="Hyperlink">
    <w:name w:val="Hyperlink"/>
    <w:basedOn w:val="DefaultParagraphFont"/>
    <w:uiPriority w:val="99"/>
    <w:unhideWhenUsed/>
    <w:rsid w:val="002405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1516</Words>
  <Characters>9797</Characters>
  <Application>Microsoft Office Word</Application>
  <DocSecurity>0</DocSecurity>
  <Lines>316</Lines>
  <Paragraphs>209</Paragraphs>
  <ScaleCrop>false</ScaleCrop>
  <Company>Author-it Software Corporation Ltd.</Company>
  <LinksUpToDate>false</LinksUpToDate>
  <CharactersWithSpaces>11104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MARF037 Follow vessel security procedures (security awareness training)</dc:title>
  <dc:subject>Approved</dc:subject>
  <dc:creator>Industry Skills Australia</dc:creator>
  <cp:keywords>Release: 2</cp:keywords>
  <dc:description>Review Date: 12 April 2008</dc:description>
  <cp:lastModifiedBy>HSD_TPCMSd.prod</cp:lastModifiedBy>
  <cp:revision>3</cp:revision>
  <dcterms:created xsi:type="dcterms:W3CDTF">2025-03-01T13:56:00Z</dcterms:created>
  <dcterms:modified xsi:type="dcterms:W3CDTF">2025-03-01T13:56:00Z</dcterms:modified>
</cp:coreProperties>
</file>