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854" w:rsidP="00A00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MARF026 Follow port and terminal security procedures</w:t>
      </w:r>
      <w:r>
        <w:fldChar w:fldCharType="end"/>
      </w:r>
    </w:p>
    <w:p w:rsidR="00A00854" w:rsidP="00A00854">
      <w:pPr>
        <w:pStyle w:val="Version"/>
        <w:sectPr w:rsidSect="007D4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E65" w:rsidP="007D4E65">
      <w:pPr>
        <w:pStyle w:val="SuperHeading"/>
      </w:pPr>
      <w:r w:rsidRPr="007D4E65">
        <w:t>MARF026 Follow port and terminal security procedures</w:t>
      </w:r>
    </w:p>
    <w:p w:rsidR="00000000" w:rsidRPr="007D4E65" w:rsidP="007D4E65">
      <w:pPr>
        <w:pStyle w:val="Heading1"/>
      </w:pPr>
      <w:bookmarkStart w:id="1" w:name="O_845360"/>
      <w:bookmarkEnd w:id="1"/>
      <w:r w:rsidRPr="007D4E65">
        <w:t>Modification History</w:t>
      </w:r>
    </w:p>
    <w:p w:rsidR="00A00854" w:rsidP="00A00854">
      <w:pPr>
        <w:pStyle w:val="BodyText"/>
      </w:pPr>
      <w:r w:rsidRPr="007D4E65">
        <w:t>Release 1. New unit of competency.</w:t>
      </w:r>
    </w:p>
    <w:p w:rsidR="00000000" w:rsidRPr="007D4E65" w:rsidP="007D4E65">
      <w:pPr>
        <w:pStyle w:val="Heading1"/>
      </w:pPr>
      <w:bookmarkStart w:id="2" w:name="O_845361"/>
      <w:bookmarkEnd w:id="2"/>
      <w:r w:rsidRPr="007D4E6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D4E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65" w:rsidP="007D4E65">
            <w:pPr>
              <w:pStyle w:val="BodyText"/>
            </w:pPr>
            <w:r w:rsidRPr="007D4E65">
              <w:t>This unit involves the skills and knowledge required to recognise and report security threats. This includes being aware of and assessing situations involving thr</w:t>
            </w:r>
            <w:r w:rsidRPr="007D4E65">
              <w:t>eats to the security and safety of a vessel or port facility, and reporting threats or suspicious situations.</w:t>
            </w:r>
          </w:p>
          <w:p w:rsidR="00000000" w:rsidRPr="007D4E65" w:rsidP="007D4E65">
            <w:pPr>
              <w:pStyle w:val="BodyText"/>
            </w:pPr>
            <w:r w:rsidRPr="007D4E65">
              <w:t xml:space="preserve">This unit applies to individuals applying security procedures when responding to security threats. </w:t>
            </w:r>
          </w:p>
          <w:p w:rsidR="00000000" w:rsidRPr="007D4E65" w:rsidP="007D4E65">
            <w:pPr>
              <w:pStyle w:val="BodyText"/>
            </w:pPr>
            <w:r w:rsidRPr="007D4E65">
              <w:t>No licensing, legislative or certification req</w:t>
            </w:r>
            <w:r w:rsidRPr="007D4E65">
              <w:t>uirements apply to this unit at the time of publication.</w:t>
            </w:r>
          </w:p>
        </w:tc>
      </w:tr>
    </w:tbl>
    <w:p w:rsidR="00A00854" w:rsidP="007D4E65">
      <w:pPr>
        <w:pStyle w:val="BodyText"/>
      </w:pPr>
    </w:p>
    <w:p w:rsidR="00A00854" w:rsidP="007D4E65">
      <w:pPr>
        <w:pStyle w:val="BodyText"/>
      </w:pPr>
    </w:p>
    <w:p w:rsidR="00000000" w:rsidRPr="007D4E65" w:rsidP="007D4E65">
      <w:pPr>
        <w:pStyle w:val="Heading1"/>
      </w:pPr>
      <w:bookmarkStart w:id="3" w:name="O_845362"/>
      <w:bookmarkEnd w:id="3"/>
      <w:r w:rsidRPr="007D4E65">
        <w:t>Pre-requisite Unit</w:t>
      </w:r>
    </w:p>
    <w:p w:rsidR="00A00854" w:rsidP="00A00854">
      <w:pPr>
        <w:pStyle w:val="BodyText"/>
      </w:pPr>
      <w:r w:rsidRPr="007D4E65">
        <w:t>Not applicable.</w:t>
      </w:r>
    </w:p>
    <w:p w:rsidR="00000000" w:rsidRPr="007D4E65" w:rsidP="007D4E65">
      <w:pPr>
        <w:pStyle w:val="Heading1"/>
      </w:pPr>
      <w:bookmarkStart w:id="4" w:name="O_845363"/>
      <w:bookmarkEnd w:id="4"/>
      <w:r w:rsidRPr="007D4E65">
        <w:t>Competency Field</w:t>
      </w:r>
    </w:p>
    <w:p w:rsidR="00A00854" w:rsidP="00A00854">
      <w:pPr>
        <w:pStyle w:val="BodyText"/>
      </w:pPr>
      <w:r w:rsidRPr="007D4E65">
        <w:t>F – Operational Quality and Safety</w:t>
      </w:r>
    </w:p>
    <w:p w:rsidR="00000000" w:rsidRPr="007D4E65" w:rsidP="007D4E65">
      <w:pPr>
        <w:pStyle w:val="Heading1"/>
      </w:pPr>
      <w:bookmarkStart w:id="5" w:name="O_845364"/>
      <w:bookmarkEnd w:id="5"/>
      <w:r w:rsidRPr="007D4E65">
        <w:t>Unit Sector</w:t>
      </w:r>
    </w:p>
    <w:p w:rsidR="00A00854" w:rsidP="00A00854">
      <w:pPr>
        <w:pStyle w:val="BodyText"/>
      </w:pPr>
      <w:r w:rsidRPr="007D4E65">
        <w:t>Not applicable.</w:t>
      </w:r>
    </w:p>
    <w:p w:rsidR="00000000" w:rsidRPr="007D4E65" w:rsidP="007D4E65">
      <w:pPr>
        <w:pStyle w:val="Heading1"/>
      </w:pPr>
      <w:bookmarkStart w:id="6" w:name="O_845365"/>
      <w:bookmarkEnd w:id="6"/>
      <w:r w:rsidRPr="007D4E6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65" w:rsidP="007D4E65">
            <w:pPr>
              <w:pStyle w:val="BodyText"/>
            </w:pPr>
            <w:r w:rsidRPr="007D4E6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rPr>
                <w:rStyle w:val="SpecialBold"/>
              </w:rPr>
              <w:t>PERFORMANCE CRITERIA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Performance criteria describe the performance needed to demonstrate achievement of the element.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65" w:rsidP="007D4E65">
            <w:pPr>
              <w:pStyle w:val="BodyText"/>
            </w:pPr>
            <w:r w:rsidRPr="007D4E6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rPr>
                <w:rStyle w:val="SpecialBold"/>
              </w:rPr>
              <w:t xml:space="preserve">Maintain basic awareness of </w:t>
            </w:r>
            <w:r w:rsidRPr="007D4E65">
              <w:rPr>
                <w:rStyle w:val="SpecialBold"/>
              </w:rPr>
              <w:t>potential security</w:t>
            </w:r>
            <w:r w:rsidRPr="007D4E65">
              <w:rPr>
                <w:rStyle w:val="SpecialBold"/>
              </w:rPr>
              <w:t xml:space="preserve"> threats and incidents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Legislative and organisational requirements and procedures about maintaining security are identified and followed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Own role and responsibilities are recognised and duty of care requirements are ascertained and complied with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 xml:space="preserve">Need for and methods of maintaining security awareness and vigilance are identified 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Role of designated personnel for security respon</w:t>
            </w:r>
            <w:r w:rsidRPr="007D4E65">
              <w:t>se is ascertained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Team members and others are encouraged to contribute to workplace security and safety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Work health and safety (WHS)/occupational health and safety (OHS) requirements are recognised and complied with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65" w:rsidP="007D4E65">
            <w:pPr>
              <w:pStyle w:val="BodyText"/>
            </w:pPr>
            <w:r w:rsidRPr="007D4E6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rPr>
                <w:rStyle w:val="SpecialBold"/>
              </w:rPr>
              <w:t>Recognise potential security threats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 xml:space="preserve">Potential security threats are promptly identified, assessed and response is prioritised 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Emergency and evacuation procedures are accessed and implemented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Factors with increased security risk are identified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Appropriate actions for maintaining security and safety of self, others, port facilities and vessel are identified and followed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65" w:rsidP="007D4E65">
            <w:pPr>
              <w:pStyle w:val="BodyText"/>
            </w:pPr>
            <w:r w:rsidRPr="007D4E6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rPr>
                <w:rStyle w:val="SpecialBold"/>
              </w:rPr>
              <w:t xml:space="preserve">Respond to security threat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 xml:space="preserve">Relevant personnel are alerted to security threat or situation in an effective and efficient manner 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Potential security threat or situation is responded to according to organisational security procedures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65" w:rsidP="007D4E65">
            <w:pPr>
              <w:pStyle w:val="BodyText"/>
            </w:pPr>
            <w:r w:rsidRPr="007D4E6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rPr>
                <w:rStyle w:val="SpecialBold"/>
              </w:rPr>
              <w:t xml:space="preserve">Report security threat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Organisational</w:t>
            </w:r>
            <w:r w:rsidRPr="007D4E65">
              <w:t xml:space="preserve"> procedures for reporting security threats and incidents are accessed and followed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Reports of security incidents or threats are completed</w:t>
            </w:r>
          </w:p>
        </w:tc>
      </w:tr>
      <w:tr w:rsidTr="00A008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65" w:rsidP="007D4E65">
            <w:pPr>
              <w:pStyle w:val="BodyText"/>
            </w:pPr>
            <w:r w:rsidRPr="007D4E65">
              <w:t>Communications are maintained with relevant personnel, security operations are reviewed and outcomes are documented</w:t>
            </w:r>
          </w:p>
        </w:tc>
      </w:tr>
    </w:tbl>
    <w:p w:rsidR="00A00854" w:rsidP="007D4E65">
      <w:pPr>
        <w:pStyle w:val="BodyText"/>
      </w:pPr>
    </w:p>
    <w:p w:rsidR="00A00854" w:rsidP="007D4E65">
      <w:pPr>
        <w:pStyle w:val="BodyText"/>
      </w:pPr>
    </w:p>
    <w:p w:rsidR="00000000" w:rsidRPr="007D4E65" w:rsidP="007D4E65">
      <w:pPr>
        <w:pStyle w:val="Heading1"/>
      </w:pPr>
      <w:bookmarkStart w:id="7" w:name="O_845366"/>
      <w:bookmarkEnd w:id="7"/>
      <w:r w:rsidRPr="007D4E65">
        <w:t>Foundation Skills</w:t>
      </w:r>
    </w:p>
    <w:p w:rsidR="00A00854" w:rsidP="00A00854">
      <w:pPr>
        <w:pStyle w:val="BodyText"/>
      </w:pPr>
      <w:r w:rsidRPr="007D4E65">
        <w:t>Foundation skills essential to performance are explicit in the performance criteria of this unit of competency.</w:t>
      </w:r>
    </w:p>
    <w:p w:rsidR="00000000" w:rsidRPr="007D4E65" w:rsidP="007D4E65">
      <w:pPr>
        <w:pStyle w:val="Heading1"/>
      </w:pPr>
      <w:bookmarkStart w:id="8" w:name="O_845367"/>
      <w:bookmarkEnd w:id="8"/>
      <w:r w:rsidRPr="007D4E65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D4E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Range is restricted to essential operating conditions and any other variables essential to the work enviro</w:t>
            </w:r>
            <w:r w:rsidRPr="007D4E65">
              <w:t>nment.</w:t>
            </w:r>
          </w:p>
        </w:tc>
      </w:tr>
      <w:tr w:rsidTr="007D4E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Legislative requirements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65" w:rsidP="007D4E65">
            <w:pPr>
              <w:pStyle w:val="ListBullet"/>
            </w:pPr>
            <w:r w:rsidRPr="007D4E65">
              <w:t>applicable crime Acts and codes of practice</w:t>
            </w:r>
          </w:p>
          <w:p w:rsidR="00000000" w:rsidRPr="007D4E65" w:rsidP="007D4E65">
            <w:pPr>
              <w:pStyle w:val="ListBullet"/>
            </w:pPr>
            <w:r w:rsidRPr="007D4E65">
              <w:t>award and enterprise agreements</w:t>
            </w:r>
          </w:p>
          <w:p w:rsidR="00000000" w:rsidRPr="007D4E65" w:rsidP="007D4E65">
            <w:pPr>
              <w:pStyle w:val="ListBullet"/>
            </w:pPr>
            <w:r w:rsidRPr="007D4E65">
              <w:t>general duty of care responsibilities</w:t>
            </w:r>
          </w:p>
          <w:p w:rsidR="00000000" w:rsidRPr="007D4E65" w:rsidP="007D4E65">
            <w:pPr>
              <w:pStyle w:val="ListBullet"/>
            </w:pPr>
            <w:r w:rsidRPr="007D4E65">
              <w:t>maritime industry codes of practice</w:t>
            </w:r>
          </w:p>
          <w:p w:rsidR="00000000" w:rsidP="007D4E65">
            <w:pPr>
              <w:pStyle w:val="ListBullet"/>
              <w:rPr>
                <w:lang w:val="en-NZ"/>
              </w:rPr>
            </w:pPr>
            <w:r w:rsidRPr="007D4E65">
              <w:t>maritime transport Acts and regul</w:t>
            </w:r>
            <w:r w:rsidRPr="007D4E65">
              <w:t>ations</w:t>
            </w:r>
          </w:p>
        </w:tc>
      </w:tr>
      <w:tr w:rsidTr="007D4E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Procedures for reporting security threats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65" w:rsidP="007D4E65">
            <w:pPr>
              <w:pStyle w:val="ListBullet"/>
            </w:pPr>
            <w:r w:rsidRPr="007D4E65">
              <w:t>completing documentation such as logs and activity reports</w:t>
            </w:r>
          </w:p>
          <w:p w:rsidR="00000000" w:rsidRPr="007D4E65" w:rsidP="007D4E65">
            <w:pPr>
              <w:pStyle w:val="ListBullet"/>
            </w:pPr>
            <w:r w:rsidRPr="007D4E65">
              <w:t>completing police reports</w:t>
            </w:r>
          </w:p>
          <w:p w:rsidR="00000000" w:rsidRPr="007D4E65" w:rsidP="007D4E65">
            <w:pPr>
              <w:pStyle w:val="ListBullet"/>
            </w:pPr>
            <w:r w:rsidRPr="007D4E65">
              <w:t>contacting designated personnel</w:t>
            </w:r>
          </w:p>
          <w:p w:rsidR="00000000" w:rsidP="007D4E65">
            <w:pPr>
              <w:pStyle w:val="ListBullet"/>
              <w:rPr>
                <w:lang w:val="en-NZ"/>
              </w:rPr>
            </w:pPr>
            <w:r w:rsidRPr="007D4E65">
              <w:t>requesting security assistance</w:t>
            </w:r>
          </w:p>
        </w:tc>
      </w:tr>
      <w:tr w:rsidTr="007D4E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65">
            <w:pPr>
              <w:pStyle w:val="BodyText"/>
              <w:rPr>
                <w:lang w:val="en-NZ"/>
              </w:rPr>
            </w:pPr>
            <w:r w:rsidRPr="007D4E65">
              <w:t>Alert modes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65" w:rsidP="007D4E65">
            <w:pPr>
              <w:pStyle w:val="ListBullet"/>
            </w:pPr>
            <w:r w:rsidRPr="007D4E65">
              <w:t>alarms</w:t>
            </w:r>
          </w:p>
          <w:p w:rsidR="00000000" w:rsidRPr="007D4E65" w:rsidP="007D4E65">
            <w:pPr>
              <w:pStyle w:val="ListBullet"/>
            </w:pPr>
            <w:r w:rsidRPr="007D4E65">
              <w:t>call codes and signs</w:t>
            </w:r>
          </w:p>
          <w:p w:rsidR="00000000" w:rsidRPr="007D4E65" w:rsidP="007D4E65">
            <w:pPr>
              <w:pStyle w:val="ListBullet"/>
            </w:pPr>
            <w:r w:rsidRPr="007D4E65">
              <w:t>hand signals</w:t>
            </w:r>
          </w:p>
          <w:p w:rsidR="00000000" w:rsidRPr="007D4E65" w:rsidP="007D4E65">
            <w:pPr>
              <w:pStyle w:val="ListBullet"/>
            </w:pPr>
            <w:r w:rsidRPr="007D4E65">
              <w:t>megaphone</w:t>
            </w:r>
          </w:p>
          <w:p w:rsidR="00000000" w:rsidRPr="007D4E65" w:rsidP="007D4E65">
            <w:pPr>
              <w:pStyle w:val="ListBullet"/>
            </w:pPr>
            <w:r w:rsidRPr="007D4E65">
              <w:t>mobile phone</w:t>
            </w:r>
          </w:p>
          <w:p w:rsidR="00000000" w:rsidRPr="007D4E65" w:rsidP="007D4E65">
            <w:pPr>
              <w:pStyle w:val="ListBullet"/>
            </w:pPr>
            <w:r w:rsidRPr="007D4E65">
              <w:t>public address system</w:t>
            </w:r>
          </w:p>
          <w:p w:rsidR="00000000" w:rsidRPr="007D4E65" w:rsidP="007D4E65">
            <w:pPr>
              <w:pStyle w:val="ListBullet"/>
            </w:pPr>
            <w:r w:rsidRPr="007D4E65">
              <w:t>telephone</w:t>
            </w:r>
          </w:p>
          <w:p w:rsidR="00000000" w:rsidRPr="007D4E65" w:rsidP="007D4E65">
            <w:pPr>
              <w:pStyle w:val="ListBullet"/>
            </w:pPr>
            <w:r w:rsidRPr="007D4E65">
              <w:t>two-way radio</w:t>
            </w:r>
          </w:p>
          <w:p w:rsidR="00000000" w:rsidRPr="007D4E65" w:rsidP="007D4E65">
            <w:pPr>
              <w:pStyle w:val="ListBullet"/>
            </w:pPr>
            <w:r w:rsidRPr="007D4E65">
              <w:t>verbal communication</w:t>
            </w:r>
          </w:p>
        </w:tc>
      </w:tr>
    </w:tbl>
    <w:p w:rsidR="00A00854" w:rsidP="007D4E65">
      <w:pPr>
        <w:pStyle w:val="BodyText"/>
      </w:pPr>
    </w:p>
    <w:p w:rsidR="00A00854" w:rsidP="007D4E65">
      <w:pPr>
        <w:pStyle w:val="BodyText"/>
      </w:pPr>
    </w:p>
    <w:p w:rsidR="00000000" w:rsidRPr="007D4E65" w:rsidP="007D4E65">
      <w:pPr>
        <w:pStyle w:val="Heading1"/>
      </w:pPr>
      <w:bookmarkStart w:id="9" w:name="O_845368"/>
      <w:bookmarkEnd w:id="9"/>
      <w:r w:rsidRPr="007D4E65">
        <w:t>Unit Mapping Information</w:t>
      </w:r>
    </w:p>
    <w:p w:rsidR="00A00854" w:rsidP="00A00854">
      <w:pPr>
        <w:pStyle w:val="BodyText"/>
      </w:pPr>
      <w:r w:rsidRPr="007D4E65">
        <w:t>No equivalent unit.</w:t>
      </w:r>
    </w:p>
    <w:p w:rsidR="00000000" w:rsidRPr="007D4E65" w:rsidP="007D4E65">
      <w:pPr>
        <w:pStyle w:val="Heading1"/>
      </w:pPr>
      <w:bookmarkStart w:id="10" w:name="O_845375"/>
      <w:bookmarkEnd w:id="10"/>
      <w:r w:rsidRPr="007D4E65">
        <w:t>Links</w:t>
      </w:r>
    </w:p>
    <w:p w:rsidR="00000000" w:rsidRPr="007D4E65" w:rsidP="00A00854">
      <w:pPr>
        <w:pStyle w:val="BodyText"/>
      </w:pPr>
      <w:r w:rsidRPr="007D4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A510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D4E65" w:rsidP="007D4E65"/>
    <w:sectPr w:rsidSect="007D4E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65" w:rsidRPr="00A00854" w:rsidP="00A00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54" w:rsidP="007D4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854" w:rsidP="007D4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0854" w:rsidP="007D4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E65" w:rsidRPr="00A00854" w:rsidP="00A00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54" w:rsidRPr="002D2AF8" w:rsidP="007D4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MARF026 Follow port and terminal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2021</w:t>
    </w:r>
    <w:r>
      <w:fldChar w:fldCharType="end"/>
    </w:r>
  </w:p>
  <w:p w:rsidR="00A00854" w:rsidP="007D4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845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66F2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E65"/>
  </w:style>
  <w:style w:type="character" w:customStyle="1" w:styleId="Heading1Char">
    <w:name w:val="Heading 1 Char"/>
    <w:basedOn w:val="DefaultParagraphFont"/>
    <w:link w:val="Heading1"/>
    <w:rsid w:val="007D4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E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E65"/>
    <w:rPr>
      <w:b/>
      <w:spacing w:val="0"/>
    </w:rPr>
  </w:style>
  <w:style w:type="paragraph" w:customStyle="1" w:styleId="SuperHeading">
    <w:name w:val="SuperHeading"/>
    <w:basedOn w:val="Normal"/>
    <w:rsid w:val="007D4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E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E65"/>
    <w:rPr>
      <w:i/>
    </w:rPr>
  </w:style>
  <w:style w:type="paragraph" w:styleId="Caption">
    <w:name w:val="caption"/>
    <w:basedOn w:val="BodyText"/>
    <w:next w:val="Normal"/>
    <w:qFormat/>
    <w:rsid w:val="007D4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E65"/>
  </w:style>
  <w:style w:type="paragraph" w:styleId="TableofFigures">
    <w:name w:val="table of figures"/>
    <w:basedOn w:val="Normal"/>
    <w:next w:val="Normal"/>
    <w:semiHidden/>
    <w:rsid w:val="007D4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E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4E65"/>
    <w:rPr>
      <w:rFonts w:ascii="Wingdings" w:hAnsi="Wingdings"/>
    </w:rPr>
  </w:style>
  <w:style w:type="paragraph" w:customStyle="1" w:styleId="TableHeading">
    <w:name w:val="Table Heading"/>
    <w:basedOn w:val="HeadingBase"/>
    <w:rsid w:val="007D4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E65"/>
    <w:rPr>
      <w:color w:val="0033CC"/>
      <w:u w:val="none"/>
    </w:rPr>
  </w:style>
  <w:style w:type="paragraph" w:customStyle="1" w:styleId="BodyTextRight">
    <w:name w:val="Body Text Right"/>
    <w:basedOn w:val="BodyText"/>
    <w:rsid w:val="007D4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E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E65"/>
    <w:rPr>
      <w:sz w:val="32"/>
    </w:rPr>
  </w:style>
  <w:style w:type="paragraph" w:customStyle="1" w:styleId="HeadingProcedure">
    <w:name w:val="Heading Procedure"/>
    <w:basedOn w:val="HeadingBase"/>
    <w:next w:val="Normal"/>
    <w:rsid w:val="007D4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E65"/>
    <w:pPr>
      <w:spacing w:before="60" w:after="60"/>
    </w:pPr>
  </w:style>
  <w:style w:type="paragraph" w:styleId="ListContinue">
    <w:name w:val="List Continue"/>
    <w:basedOn w:val="List"/>
    <w:rsid w:val="007D4E65"/>
    <w:pPr>
      <w:ind w:firstLine="0"/>
    </w:pPr>
  </w:style>
  <w:style w:type="paragraph" w:customStyle="1" w:styleId="ListNote">
    <w:name w:val="List Note"/>
    <w:basedOn w:val="List"/>
    <w:rsid w:val="007D4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E65"/>
    <w:rPr>
      <w:rFonts w:ascii="Courier New" w:hAnsi="Courier New"/>
    </w:rPr>
  </w:style>
  <w:style w:type="paragraph" w:customStyle="1" w:styleId="NoteBullet">
    <w:name w:val="Note Bullet"/>
    <w:basedOn w:val="Note"/>
    <w:rsid w:val="007D4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E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4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E65"/>
    <w:rPr>
      <w:b/>
      <w:smallCaps/>
    </w:rPr>
  </w:style>
  <w:style w:type="paragraph" w:customStyle="1" w:styleId="TableListNumber">
    <w:name w:val="Table List Number"/>
    <w:basedOn w:val="ListNumber"/>
    <w:rsid w:val="007D4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E65"/>
    <w:pPr>
      <w:numPr>
        <w:numId w:val="8"/>
      </w:numPr>
    </w:pPr>
  </w:style>
  <w:style w:type="paragraph" w:customStyle="1" w:styleId="ListAlpha2">
    <w:name w:val="List Alpha 2"/>
    <w:basedOn w:val="List2"/>
    <w:rsid w:val="007D4E65"/>
    <w:pPr>
      <w:numPr>
        <w:numId w:val="7"/>
      </w:numPr>
    </w:pPr>
  </w:style>
  <w:style w:type="paragraph" w:styleId="List2">
    <w:name w:val="List 2"/>
    <w:basedOn w:val="BodyText"/>
    <w:rsid w:val="007D4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E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E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4E65"/>
    <w:pPr>
      <w:numPr>
        <w:numId w:val="3"/>
      </w:numPr>
    </w:pPr>
  </w:style>
  <w:style w:type="paragraph" w:styleId="ListContinue2">
    <w:name w:val="List Continue 2"/>
    <w:basedOn w:val="List2"/>
    <w:rsid w:val="007D4E65"/>
    <w:pPr>
      <w:ind w:firstLine="0"/>
    </w:pPr>
  </w:style>
  <w:style w:type="paragraph" w:styleId="ListContinue3">
    <w:name w:val="List Continue 3"/>
    <w:basedOn w:val="List3"/>
    <w:rsid w:val="007D4E65"/>
    <w:pPr>
      <w:ind w:left="1021" w:firstLine="0"/>
    </w:pPr>
  </w:style>
  <w:style w:type="paragraph" w:styleId="ListContinue4">
    <w:name w:val="List Continue 4"/>
    <w:basedOn w:val="List4"/>
    <w:rsid w:val="007D4E65"/>
    <w:pPr>
      <w:ind w:firstLine="0"/>
    </w:pPr>
  </w:style>
  <w:style w:type="paragraph" w:styleId="ListContinue5">
    <w:name w:val="List Continue 5"/>
    <w:basedOn w:val="List5"/>
    <w:rsid w:val="007D4E65"/>
    <w:pPr>
      <w:ind w:firstLine="0"/>
    </w:pPr>
  </w:style>
  <w:style w:type="paragraph" w:styleId="ListNumber3">
    <w:name w:val="List Number 3"/>
    <w:basedOn w:val="List3"/>
    <w:rsid w:val="007D4E65"/>
    <w:pPr>
      <w:numPr>
        <w:numId w:val="4"/>
      </w:numPr>
    </w:pPr>
  </w:style>
  <w:style w:type="paragraph" w:styleId="ListNumber4">
    <w:name w:val="List Number 4"/>
    <w:basedOn w:val="List4"/>
    <w:rsid w:val="007D4E65"/>
    <w:pPr>
      <w:numPr>
        <w:numId w:val="5"/>
      </w:numPr>
    </w:pPr>
  </w:style>
  <w:style w:type="paragraph" w:styleId="ListNumber5">
    <w:name w:val="List Number 5"/>
    <w:basedOn w:val="List5"/>
    <w:rsid w:val="007D4E65"/>
    <w:pPr>
      <w:numPr>
        <w:numId w:val="6"/>
      </w:numPr>
    </w:pPr>
  </w:style>
  <w:style w:type="paragraph" w:styleId="BlockText">
    <w:name w:val="Block Text"/>
    <w:basedOn w:val="Normal"/>
    <w:rsid w:val="007D4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E65"/>
    <w:rPr>
      <w:sz w:val="16"/>
      <w:vertAlign w:val="superscript"/>
    </w:rPr>
  </w:style>
  <w:style w:type="character" w:customStyle="1" w:styleId="Symbols">
    <w:name w:val="Symbols"/>
    <w:basedOn w:val="DefaultParagraphFont"/>
    <w:rsid w:val="007D4E65"/>
    <w:rPr>
      <w:rFonts w:ascii="Symbol" w:hAnsi="Symbol"/>
    </w:rPr>
  </w:style>
  <w:style w:type="character" w:customStyle="1" w:styleId="MenuOptions">
    <w:name w:val="Menu Options"/>
    <w:basedOn w:val="DefaultParagraphFont"/>
    <w:rsid w:val="007D4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E65"/>
    <w:rPr>
      <w:b/>
    </w:rPr>
  </w:style>
  <w:style w:type="character" w:customStyle="1" w:styleId="Underlined">
    <w:name w:val="Underlined"/>
    <w:basedOn w:val="DefaultParagraphFont"/>
    <w:rsid w:val="007D4E65"/>
    <w:rPr>
      <w:u w:val="single"/>
    </w:rPr>
  </w:style>
  <w:style w:type="paragraph" w:customStyle="1" w:styleId="TableBodyTextRight">
    <w:name w:val="Table Body Text Right"/>
    <w:basedOn w:val="TableBodyText"/>
    <w:rsid w:val="007D4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E65"/>
    <w:rPr>
      <w:sz w:val="18"/>
    </w:rPr>
  </w:style>
  <w:style w:type="paragraph" w:customStyle="1" w:styleId="BodySmallRight">
    <w:name w:val="Body Small Right"/>
    <w:basedOn w:val="BodyTextRight"/>
    <w:rsid w:val="007D4E65"/>
    <w:rPr>
      <w:sz w:val="18"/>
      <w:szCs w:val="18"/>
    </w:rPr>
  </w:style>
  <w:style w:type="paragraph" w:customStyle="1" w:styleId="MarginEdition">
    <w:name w:val="Margin Edition"/>
    <w:basedOn w:val="MarginNote"/>
    <w:rsid w:val="007D4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E65"/>
    <w:rPr>
      <w:sz w:val="2"/>
      <w:szCs w:val="2"/>
    </w:rPr>
  </w:style>
  <w:style w:type="character" w:customStyle="1" w:styleId="Small">
    <w:name w:val="Small"/>
    <w:basedOn w:val="DefaultParagraphFont"/>
    <w:rsid w:val="007D4E65"/>
    <w:rPr>
      <w:sz w:val="16"/>
    </w:rPr>
  </w:style>
  <w:style w:type="paragraph" w:customStyle="1" w:styleId="WideTable">
    <w:name w:val="Wide Table"/>
    <w:basedOn w:val="Normal"/>
    <w:rsid w:val="007D4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E65"/>
  </w:style>
  <w:style w:type="paragraph" w:styleId="Quote">
    <w:name w:val="Quote"/>
    <w:basedOn w:val="Heading1"/>
    <w:link w:val="QuoteChar"/>
    <w:qFormat/>
    <w:rsid w:val="007D4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E65"/>
    <w:pPr>
      <w:pageBreakBefore/>
    </w:pPr>
  </w:style>
  <w:style w:type="paragraph" w:customStyle="1" w:styleId="Border">
    <w:name w:val="Border"/>
    <w:basedOn w:val="Normal"/>
    <w:qFormat/>
    <w:rsid w:val="007D4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E65"/>
    <w:rPr>
      <w:u w:val="single"/>
    </w:rPr>
  </w:style>
  <w:style w:type="character" w:customStyle="1" w:styleId="BoldandItalics">
    <w:name w:val="Bold and Italics"/>
    <w:qFormat/>
    <w:rsid w:val="007D4E65"/>
    <w:rPr>
      <w:b/>
      <w:i/>
      <w:u w:val="none"/>
    </w:rPr>
  </w:style>
  <w:style w:type="paragraph" w:styleId="BalloonText">
    <w:name w:val="Balloon Text"/>
    <w:basedOn w:val="Normal"/>
    <w:link w:val="BalloonTextChar"/>
    <w:rsid w:val="007D4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E65"/>
    <w:pPr>
      <w:spacing w:before="0" w:after="0"/>
    </w:pPr>
  </w:style>
  <w:style w:type="paragraph" w:customStyle="1" w:styleId="BodyTextBold">
    <w:name w:val="Body Text Bold"/>
    <w:basedOn w:val="BodyText"/>
    <w:qFormat/>
    <w:rsid w:val="007D4E65"/>
    <w:rPr>
      <w:b/>
    </w:rPr>
  </w:style>
  <w:style w:type="character" w:styleId="Hyperlink">
    <w:name w:val="Hyperlink"/>
    <w:basedOn w:val="DefaultParagraphFont"/>
    <w:uiPriority w:val="99"/>
    <w:unhideWhenUsed/>
    <w:rsid w:val="00A00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3397</Characters>
  <Application>Microsoft Office Word</Application>
  <DocSecurity>0</DocSecurity>
  <Lines>169</Lines>
  <Paragraphs>106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MARF026 Follow port and terminal security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2021-05-13T04:27:00Z</dcterms:created>
  <dcterms:modified xsi:type="dcterms:W3CDTF">2021-05-13T04:27:00Z</dcterms:modified>
</cp:coreProperties>
</file>