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516" w:rsidP="00847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MARF018 Assist in an emergency response</w:t>
      </w:r>
      <w:r>
        <w:fldChar w:fldCharType="end"/>
      </w:r>
    </w:p>
    <w:p w:rsidR="00847516" w:rsidP="00847516">
      <w:pPr>
        <w:pStyle w:val="Version"/>
        <w:sectPr w:rsidSect="00EA2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70F" w:rsidP="00EA270F">
      <w:pPr>
        <w:pStyle w:val="SuperHeading"/>
      </w:pPr>
      <w:r w:rsidRPr="00EA270F">
        <w:t>MARF018 Assist in an emergency response</w:t>
      </w:r>
    </w:p>
    <w:p w:rsidR="00000000" w:rsidRPr="00EA270F" w:rsidP="00EA270F">
      <w:pPr>
        <w:pStyle w:val="Heading1"/>
      </w:pPr>
      <w:bookmarkStart w:id="1" w:name="O_845314"/>
      <w:bookmarkEnd w:id="1"/>
      <w:r w:rsidRPr="00EA270F">
        <w:t>Modification History</w:t>
      </w:r>
    </w:p>
    <w:p w:rsidR="00847516" w:rsidP="00847516">
      <w:pPr>
        <w:pStyle w:val="BodyText"/>
      </w:pPr>
      <w:r w:rsidRPr="00EA270F">
        <w:t>Release 1. New unit of competency.</w:t>
      </w:r>
    </w:p>
    <w:p w:rsidR="00000000" w:rsidRPr="00EA270F" w:rsidP="00EA270F">
      <w:pPr>
        <w:pStyle w:val="Heading1"/>
      </w:pPr>
      <w:bookmarkStart w:id="2" w:name="O_845315"/>
      <w:bookmarkEnd w:id="2"/>
      <w:r w:rsidRPr="00EA270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A27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t>This unit involves the skills and knowledge required to assist in responding to an emergency or incident and to apply control procedures on a vessel.</w:t>
            </w:r>
          </w:p>
          <w:p w:rsidR="00000000" w:rsidRPr="00EA270F" w:rsidP="00EA270F">
            <w:pPr>
              <w:pStyle w:val="BodyText"/>
            </w:pPr>
            <w:r w:rsidRPr="00EA270F">
              <w:t>This unit applies to</w:t>
            </w:r>
            <w:r w:rsidRPr="00EA270F">
              <w:t xml:space="preserve"> an Integrated Rating or Able Seafarer-Engine/Deck responding to an emergency individually, or as a member of an emergency response team. </w:t>
            </w:r>
          </w:p>
          <w:p w:rsidR="00000000" w:rsidRPr="00EA270F" w:rsidP="00EA270F">
            <w:pPr>
              <w:pStyle w:val="BodyText"/>
            </w:pPr>
            <w:r w:rsidRPr="00EA270F">
              <w:t>No licensing, legislative or certification requirements apply to this unit at the time of publication.</w:t>
            </w:r>
          </w:p>
        </w:tc>
      </w:tr>
    </w:tbl>
    <w:p w:rsidR="00847516" w:rsidP="00EA270F">
      <w:pPr>
        <w:pStyle w:val="BodyText"/>
      </w:pPr>
    </w:p>
    <w:p w:rsidR="00847516" w:rsidP="00EA270F">
      <w:pPr>
        <w:pStyle w:val="BodyText"/>
      </w:pPr>
    </w:p>
    <w:p w:rsidR="00000000" w:rsidRPr="00EA270F" w:rsidP="00EA270F">
      <w:pPr>
        <w:pStyle w:val="Heading1"/>
      </w:pPr>
      <w:bookmarkStart w:id="3" w:name="O_845316"/>
      <w:bookmarkEnd w:id="3"/>
      <w:r w:rsidRPr="00EA270F">
        <w:t>Pre-requisite Unit</w:t>
      </w:r>
    </w:p>
    <w:p w:rsidR="00847516" w:rsidP="00847516">
      <w:pPr>
        <w:pStyle w:val="BodyText"/>
      </w:pPr>
      <w:r w:rsidRPr="00EA270F">
        <w:t>Not applicable.</w:t>
      </w:r>
    </w:p>
    <w:p w:rsidR="00000000" w:rsidRPr="00EA270F" w:rsidP="00EA270F">
      <w:pPr>
        <w:pStyle w:val="Heading1"/>
      </w:pPr>
      <w:bookmarkStart w:id="4" w:name="O_845317"/>
      <w:bookmarkEnd w:id="4"/>
      <w:r w:rsidRPr="00EA270F">
        <w:t>Competency Field</w:t>
      </w:r>
    </w:p>
    <w:p w:rsidR="00847516" w:rsidP="00847516">
      <w:pPr>
        <w:pStyle w:val="BodyText"/>
      </w:pPr>
      <w:r w:rsidRPr="00EA270F">
        <w:t>F – Operational Quality and Safety</w:t>
      </w:r>
    </w:p>
    <w:p w:rsidR="00000000" w:rsidRPr="00EA270F" w:rsidP="00EA270F">
      <w:pPr>
        <w:pStyle w:val="Heading1"/>
      </w:pPr>
      <w:bookmarkStart w:id="5" w:name="O_845318"/>
      <w:bookmarkEnd w:id="5"/>
      <w:r w:rsidRPr="00EA270F">
        <w:t>Unit Sector</w:t>
      </w:r>
    </w:p>
    <w:p w:rsidR="00847516" w:rsidP="00847516">
      <w:pPr>
        <w:pStyle w:val="BodyText"/>
      </w:pPr>
      <w:r w:rsidRPr="00EA270F">
        <w:t>Not applicable.</w:t>
      </w:r>
    </w:p>
    <w:p w:rsidR="00000000" w:rsidRPr="00EA270F" w:rsidP="00EA270F">
      <w:pPr>
        <w:pStyle w:val="Heading1"/>
      </w:pPr>
      <w:bookmarkStart w:id="6" w:name="O_845319"/>
      <w:bookmarkEnd w:id="6"/>
      <w:r w:rsidRPr="00EA270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rPr>
                <w:rStyle w:val="SpecialBold"/>
              </w:rPr>
              <w:t>PERFORMANCE CRITERIA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Performance criteria describe the performance needed to demonstrate achievement of the element.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rPr>
                <w:rStyle w:val="SpecialBold"/>
              </w:rPr>
              <w:t>Raise alarms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Emergency or incident is correctly identified according to organisational procedures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Emergency response plan is accessed, reviewed and clarified with appropriate personnel and/or emergency response team members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Duties allocated to minimise risk are carried out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Distress signals are activated according to manufacturer instructi</w:t>
            </w:r>
            <w:r w:rsidRPr="00EA270F">
              <w:t>ons and organisational procedures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rPr>
                <w:rStyle w:val="SpecialBold"/>
              </w:rPr>
              <w:t>Act in an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Immediate action required is identified and taken, according to emergency procedures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Safety and security procedures are complied with in all actions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 xml:space="preserve">Personal protective equipment </w:t>
            </w:r>
            <w:r w:rsidRPr="00EA270F">
              <w:t>is selected and used according to requirements of the situation, work health and safety (WHS)/occupational health and safety (OHS), and emergency procedures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Emergency equipment is selected and used appropriate to the emergency or incident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Orders are acknowledged and followed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Allocated duties for emergency situations are performed according to organisational procedures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Communications are maintained with others to facilitate emergency response process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rPr>
                <w:rStyle w:val="SpecialBold"/>
              </w:rPr>
              <w:t>Assist others in distres</w:t>
            </w:r>
            <w:r w:rsidRPr="00EA270F">
              <w:rPr>
                <w:rStyle w:val="SpecialBold"/>
              </w:rPr>
              <w:t>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 xml:space="preserve">Distress signals from others are recognised and acknowledged 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Nature of assistance required is established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 xml:space="preserve">Capability to safely assist or relay emergency is determined taking into account own safety and physical </w:t>
            </w:r>
            <w:r w:rsidRPr="00EA270F">
              <w:t>proximity to emergency or incident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Appropriate response to emergency or incident is prepared for and implemented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Communications are maintained with others to facilitate emergency response process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rPr>
                <w:rStyle w:val="SpecialBold"/>
              </w:rPr>
              <w:t xml:space="preserve">Monitor environment and </w:t>
            </w:r>
            <w:r w:rsidRPr="00EA270F">
              <w:rPr>
                <w:rStyle w:val="SpecialBold"/>
              </w:rPr>
              <w:t>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Factors that may create or increase risk of injury or damage are constantly assessed and reported to the Master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Measures taken to relieve an emergency situation are monitored to ensure continued effectiveness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Changes in conditions and behaviour are identified and reported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rPr>
                <w:rStyle w:val="SpecialBold"/>
              </w:rPr>
              <w:t>Assist with recovery from emergency or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 xml:space="preserve">Evidence relating to cause of emergency or incident is preserved and recorded 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Appropriate assistance is provided according to emergency procedures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Emergency equipment is returned to a state of readiness as soon as is reasonably possible</w:t>
            </w:r>
          </w:p>
        </w:tc>
      </w:tr>
      <w:tr w:rsidTr="008475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t>Debriefings are attended and participated in as required</w:t>
            </w:r>
          </w:p>
        </w:tc>
      </w:tr>
    </w:tbl>
    <w:p w:rsidR="00847516" w:rsidP="00EA270F">
      <w:pPr>
        <w:pStyle w:val="BodyText"/>
      </w:pPr>
    </w:p>
    <w:p w:rsidR="00847516" w:rsidP="00EA270F">
      <w:pPr>
        <w:pStyle w:val="BodyText"/>
      </w:pPr>
    </w:p>
    <w:p w:rsidR="00000000" w:rsidRPr="00EA270F" w:rsidP="00EA270F">
      <w:pPr>
        <w:pStyle w:val="Heading1"/>
      </w:pPr>
      <w:bookmarkStart w:id="7" w:name="O_845320"/>
      <w:bookmarkEnd w:id="7"/>
      <w:r w:rsidRPr="00EA270F">
        <w:t>Founda</w:t>
      </w:r>
      <w:r w:rsidRPr="00EA270F">
        <w:t>tion Skills</w:t>
      </w:r>
    </w:p>
    <w:p w:rsidR="00847516" w:rsidP="00847516">
      <w:pPr>
        <w:pStyle w:val="BodyText"/>
      </w:pPr>
      <w:r w:rsidRPr="00EA270F">
        <w:t>Foundation skills essential to performance are explicit in the performance criteria of this unit of competency.</w:t>
      </w:r>
    </w:p>
    <w:p w:rsidR="00000000" w:rsidRPr="00EA270F" w:rsidP="00EA270F">
      <w:pPr>
        <w:pStyle w:val="Heading1"/>
      </w:pPr>
      <w:bookmarkStart w:id="8" w:name="O_845321"/>
      <w:bookmarkEnd w:id="8"/>
      <w:r w:rsidRPr="00EA270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A27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BodyText"/>
            </w:pPr>
            <w:r w:rsidRPr="00EA270F">
              <w:t>Range is restricted to essential operating conditions and any other variables essential</w:t>
            </w:r>
            <w:r w:rsidRPr="00EA270F">
              <w:t xml:space="preserve"> to the work environment.</w:t>
            </w:r>
          </w:p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Non-essential conditions can be found in the Companion Volume Implementation Guide.</w:t>
            </w:r>
          </w:p>
        </w:tc>
      </w:tr>
      <w:tr w:rsidTr="00EA27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Emergency or incident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ListBullet"/>
            </w:pPr>
            <w:r w:rsidRPr="00EA270F">
              <w:t>anchoring</w:t>
            </w:r>
          </w:p>
          <w:p w:rsidR="00000000" w:rsidRPr="00EA270F" w:rsidP="00EA270F">
            <w:pPr>
              <w:pStyle w:val="ListBullet"/>
            </w:pPr>
            <w:r w:rsidRPr="00EA270F">
              <w:t>capsize</w:t>
            </w:r>
          </w:p>
          <w:p w:rsidR="00000000" w:rsidRPr="00EA270F" w:rsidP="00EA270F">
            <w:pPr>
              <w:pStyle w:val="ListBullet"/>
            </w:pPr>
            <w:r w:rsidRPr="00EA270F">
              <w:t xml:space="preserve">contaminated fuel </w:t>
            </w:r>
          </w:p>
          <w:p w:rsidR="00000000" w:rsidRPr="00EA270F" w:rsidP="00EA270F">
            <w:pPr>
              <w:pStyle w:val="ListBullet"/>
            </w:pPr>
            <w:r w:rsidRPr="00EA270F">
              <w:t>engine breakdown or malfunction</w:t>
            </w:r>
          </w:p>
          <w:p w:rsidR="00000000" w:rsidRPr="00EA270F" w:rsidP="00EA270F">
            <w:pPr>
              <w:pStyle w:val="ListBullet"/>
            </w:pPr>
            <w:r w:rsidRPr="00EA270F">
              <w:t>fire</w:t>
            </w:r>
          </w:p>
          <w:p w:rsidR="00000000" w:rsidRPr="00EA270F" w:rsidP="00EA270F">
            <w:pPr>
              <w:pStyle w:val="ListBullet"/>
            </w:pPr>
            <w:r w:rsidRPr="00EA270F">
              <w:t>flooding</w:t>
            </w:r>
          </w:p>
          <w:p w:rsidR="00000000" w:rsidRPr="00EA270F" w:rsidP="00EA270F">
            <w:pPr>
              <w:pStyle w:val="ListBullet"/>
            </w:pPr>
            <w:r w:rsidRPr="00EA270F">
              <w:t>fouled propeller</w:t>
            </w:r>
          </w:p>
          <w:p w:rsidR="00000000" w:rsidRPr="00EA270F" w:rsidP="00EA270F">
            <w:pPr>
              <w:pStyle w:val="ListBullet"/>
            </w:pPr>
            <w:r w:rsidRPr="00EA270F">
              <w:t>fuel supply system failure</w:t>
            </w:r>
          </w:p>
          <w:p w:rsidR="00000000" w:rsidRPr="00EA270F" w:rsidP="00EA270F">
            <w:pPr>
              <w:pStyle w:val="ListBullet"/>
            </w:pPr>
            <w:r w:rsidRPr="00EA270F">
              <w:t>grounding</w:t>
            </w:r>
          </w:p>
          <w:p w:rsidR="00000000" w:rsidRPr="00EA270F" w:rsidP="00EA270F">
            <w:pPr>
              <w:pStyle w:val="ListBullet"/>
            </w:pPr>
            <w:r w:rsidRPr="00EA270F">
              <w:t>hypothermia</w:t>
            </w:r>
          </w:p>
          <w:p w:rsidR="00000000" w:rsidRPr="00EA270F" w:rsidP="00EA270F">
            <w:pPr>
              <w:pStyle w:val="ListBullet"/>
            </w:pPr>
            <w:r w:rsidRPr="00EA270F">
              <w:t>injuries/illness</w:t>
            </w:r>
          </w:p>
          <w:p w:rsidR="00000000" w:rsidRPr="00EA270F" w:rsidP="00EA270F">
            <w:pPr>
              <w:pStyle w:val="ListBullet"/>
            </w:pPr>
            <w:r w:rsidRPr="00EA270F">
              <w:t>person overboard</w:t>
            </w:r>
          </w:p>
          <w:p w:rsidR="00000000" w:rsidRPr="00EA270F" w:rsidP="00EA270F">
            <w:pPr>
              <w:pStyle w:val="ListBullet"/>
            </w:pPr>
            <w:r w:rsidRPr="00EA270F">
              <w:t>person retrieval from water</w:t>
            </w:r>
          </w:p>
          <w:p w:rsidR="00000000" w:rsidRPr="00EA270F" w:rsidP="00EA270F">
            <w:pPr>
              <w:pStyle w:val="ListBullet"/>
            </w:pPr>
            <w:r w:rsidRPr="00EA270F">
              <w:t>sinking</w:t>
            </w:r>
          </w:p>
          <w:p w:rsidR="00000000" w:rsidP="00EA270F">
            <w:pPr>
              <w:pStyle w:val="ListBullet"/>
              <w:rPr>
                <w:lang w:val="en-NZ"/>
              </w:rPr>
            </w:pPr>
            <w:r w:rsidRPr="00EA270F">
              <w:t>swamping</w:t>
            </w:r>
          </w:p>
        </w:tc>
      </w:tr>
      <w:tr w:rsidTr="00EA27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Distress signals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ListBullet"/>
            </w:pPr>
            <w:r w:rsidRPr="00EA270F">
              <w:t>dye markers</w:t>
            </w:r>
          </w:p>
          <w:p w:rsidR="00000000" w:rsidRPr="00EA270F" w:rsidP="00EA270F">
            <w:pPr>
              <w:pStyle w:val="ListBullet"/>
            </w:pPr>
            <w:r w:rsidRPr="00EA270F">
              <w:t>flags</w:t>
            </w:r>
          </w:p>
          <w:p w:rsidR="00000000" w:rsidRPr="00EA270F" w:rsidP="00EA270F">
            <w:pPr>
              <w:pStyle w:val="ListBullet"/>
            </w:pPr>
            <w:r w:rsidRPr="00EA270F">
              <w:t>hand signals</w:t>
            </w:r>
          </w:p>
          <w:p w:rsidR="00000000" w:rsidRPr="00EA270F" w:rsidP="00EA270F">
            <w:pPr>
              <w:pStyle w:val="ListBullet"/>
            </w:pPr>
            <w:r w:rsidRPr="00EA270F">
              <w:t>internal public address system</w:t>
            </w:r>
          </w:p>
          <w:p w:rsidR="00000000" w:rsidRPr="00EA270F" w:rsidP="00EA270F">
            <w:pPr>
              <w:pStyle w:val="ListBullet"/>
            </w:pPr>
            <w:r w:rsidRPr="00EA270F">
              <w:t>light signals</w:t>
            </w:r>
          </w:p>
          <w:p w:rsidR="00000000" w:rsidRPr="00EA270F" w:rsidP="00EA270F">
            <w:pPr>
              <w:pStyle w:val="ListBullet"/>
            </w:pPr>
            <w:r w:rsidRPr="00EA270F">
              <w:t>mobile phone (which may be limited in effectiveness)</w:t>
            </w:r>
          </w:p>
          <w:p w:rsidR="00000000" w:rsidRPr="00EA270F" w:rsidP="00EA270F">
            <w:pPr>
              <w:pStyle w:val="ListBullet"/>
            </w:pPr>
            <w:r w:rsidRPr="00EA270F">
              <w:t>pyrotechnic distress signals</w:t>
            </w:r>
          </w:p>
          <w:p w:rsidR="00000000" w:rsidRPr="00EA270F" w:rsidP="00EA270F">
            <w:pPr>
              <w:pStyle w:val="ListBullet"/>
            </w:pPr>
            <w:r w:rsidRPr="00EA270F">
              <w:t>radio</w:t>
            </w:r>
          </w:p>
          <w:p w:rsidR="00000000" w:rsidRPr="00EA270F" w:rsidP="00EA270F">
            <w:pPr>
              <w:pStyle w:val="ListBullet"/>
            </w:pPr>
            <w:r w:rsidRPr="00EA270F">
              <w:t>reflective mirror</w:t>
            </w:r>
          </w:p>
          <w:p w:rsidR="00000000" w:rsidRPr="00EA270F" w:rsidP="00EA270F">
            <w:pPr>
              <w:pStyle w:val="ListBullet"/>
            </w:pPr>
            <w:r w:rsidRPr="00EA270F">
              <w:t>satellite emergency position indicating radio beacons (EPIRBs)</w:t>
            </w:r>
          </w:p>
          <w:p w:rsidR="00000000" w:rsidRPr="00EA270F" w:rsidP="00EA270F">
            <w:pPr>
              <w:pStyle w:val="ListBullet"/>
            </w:pPr>
            <w:r w:rsidRPr="00EA270F">
              <w:t>search and rescue transponders (SARTs)</w:t>
            </w:r>
          </w:p>
          <w:p w:rsidR="00000000" w:rsidRPr="00EA270F" w:rsidP="00EA270F">
            <w:pPr>
              <w:pStyle w:val="ListBullet"/>
            </w:pPr>
            <w:r w:rsidRPr="00EA270F">
              <w:t>ship’s whistle</w:t>
            </w:r>
          </w:p>
          <w:p w:rsidR="00000000" w:rsidRPr="00EA270F" w:rsidP="00EA270F">
            <w:pPr>
              <w:pStyle w:val="ListBullet"/>
            </w:pPr>
            <w:r w:rsidRPr="00EA270F">
              <w:t>sound signal including voice</w:t>
            </w:r>
          </w:p>
          <w:p w:rsidR="00000000" w:rsidP="00EA270F">
            <w:pPr>
              <w:pStyle w:val="ListBullet"/>
              <w:rPr>
                <w:lang w:val="en-NZ"/>
              </w:rPr>
            </w:pPr>
            <w:r w:rsidRPr="00EA270F">
              <w:t>V-sheet</w:t>
            </w:r>
          </w:p>
        </w:tc>
      </w:tr>
      <w:tr w:rsidTr="00EA27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70F">
            <w:pPr>
              <w:pStyle w:val="BodyText"/>
              <w:rPr>
                <w:lang w:val="en-NZ"/>
              </w:rPr>
            </w:pPr>
            <w:r w:rsidRPr="00EA270F">
              <w:t>Measures taken to relieve an emergency situation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70F" w:rsidP="00EA270F">
            <w:pPr>
              <w:pStyle w:val="ListBullet"/>
            </w:pPr>
            <w:r w:rsidRPr="00EA270F">
              <w:t>enhanced lookout activities</w:t>
            </w:r>
          </w:p>
          <w:p w:rsidR="00000000" w:rsidRPr="00EA270F" w:rsidP="00EA270F">
            <w:pPr>
              <w:pStyle w:val="ListBullet"/>
            </w:pPr>
            <w:r w:rsidRPr="00EA270F">
              <w:t>fire watch</w:t>
            </w:r>
          </w:p>
          <w:p w:rsidR="00000000" w:rsidRPr="00EA270F" w:rsidP="00EA270F">
            <w:pPr>
              <w:pStyle w:val="ListBullet"/>
            </w:pPr>
            <w:r w:rsidRPr="00EA270F">
              <w:t>measurement of water ingress</w:t>
            </w:r>
          </w:p>
          <w:p w:rsidR="00000000" w:rsidRPr="00EA270F" w:rsidP="00EA270F">
            <w:pPr>
              <w:pStyle w:val="ListBullet"/>
            </w:pPr>
            <w:r w:rsidRPr="00EA270F">
              <w:t>monitoring distress frequencies</w:t>
            </w:r>
          </w:p>
          <w:p w:rsidR="00000000" w:rsidRPr="00EA270F" w:rsidP="00EA270F">
            <w:pPr>
              <w:pStyle w:val="ListBullet"/>
            </w:pPr>
            <w:r w:rsidRPr="00EA270F">
              <w:t>monitoring pati</w:t>
            </w:r>
            <w:r w:rsidRPr="00EA270F">
              <w:t>ent recovery</w:t>
            </w:r>
          </w:p>
        </w:tc>
      </w:tr>
    </w:tbl>
    <w:p w:rsidR="00847516" w:rsidP="00EA270F">
      <w:pPr>
        <w:pStyle w:val="BodyText"/>
      </w:pPr>
    </w:p>
    <w:p w:rsidR="00847516" w:rsidP="00EA270F">
      <w:pPr>
        <w:pStyle w:val="BodyText"/>
      </w:pPr>
    </w:p>
    <w:p w:rsidR="00000000" w:rsidRPr="00EA270F" w:rsidP="00EA270F">
      <w:pPr>
        <w:pStyle w:val="Heading1"/>
      </w:pPr>
      <w:bookmarkStart w:id="9" w:name="O_845322"/>
      <w:bookmarkEnd w:id="9"/>
      <w:r w:rsidRPr="00EA270F">
        <w:t>Unit Mapping Information</w:t>
      </w:r>
    </w:p>
    <w:p w:rsidR="00847516" w:rsidP="00847516">
      <w:pPr>
        <w:pStyle w:val="BodyText"/>
      </w:pPr>
      <w:r w:rsidRPr="00EA270F">
        <w:t>This unit replaces and is equivalent to MARF3001A Assist in an emergency response.</w:t>
      </w:r>
    </w:p>
    <w:p w:rsidR="00000000" w:rsidRPr="00EA270F" w:rsidP="00EA270F">
      <w:pPr>
        <w:pStyle w:val="Heading1"/>
      </w:pPr>
      <w:bookmarkStart w:id="10" w:name="O_845329"/>
      <w:bookmarkEnd w:id="10"/>
      <w:r w:rsidRPr="00EA270F">
        <w:t>Links</w:t>
      </w:r>
    </w:p>
    <w:p w:rsidR="00000000" w:rsidRPr="00EA270F" w:rsidP="00847516">
      <w:pPr>
        <w:pStyle w:val="BodyText"/>
      </w:pPr>
      <w:r w:rsidRPr="00EA27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A2CB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A270F" w:rsidP="00EA270F"/>
    <w:sectPr w:rsidSect="00EA27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0F" w:rsidRPr="00847516" w:rsidP="00847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16" w:rsidP="00EA2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516" w:rsidP="00EA2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7516" w:rsidP="00EA2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70F" w:rsidRPr="00847516" w:rsidP="00847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16" w:rsidRPr="002D2AF8" w:rsidP="00EA2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MARF018 Assist in an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47516" w:rsidP="00EA2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545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8027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70F"/>
  </w:style>
  <w:style w:type="character" w:customStyle="1" w:styleId="Heading1Char">
    <w:name w:val="Heading 1 Char"/>
    <w:basedOn w:val="DefaultParagraphFont"/>
    <w:link w:val="Heading1"/>
    <w:rsid w:val="00EA2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7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70F"/>
    <w:rPr>
      <w:b/>
      <w:spacing w:val="0"/>
    </w:rPr>
  </w:style>
  <w:style w:type="paragraph" w:customStyle="1" w:styleId="SuperHeading">
    <w:name w:val="SuperHeading"/>
    <w:basedOn w:val="Normal"/>
    <w:rsid w:val="00EA2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7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70F"/>
    <w:rPr>
      <w:i/>
    </w:rPr>
  </w:style>
  <w:style w:type="paragraph" w:styleId="Caption">
    <w:name w:val="caption"/>
    <w:basedOn w:val="BodyText"/>
    <w:next w:val="Normal"/>
    <w:qFormat/>
    <w:rsid w:val="00EA2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70F"/>
  </w:style>
  <w:style w:type="paragraph" w:styleId="TableofFigures">
    <w:name w:val="table of figures"/>
    <w:basedOn w:val="Normal"/>
    <w:next w:val="Normal"/>
    <w:semiHidden/>
    <w:rsid w:val="00EA2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7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270F"/>
    <w:rPr>
      <w:rFonts w:ascii="Wingdings" w:hAnsi="Wingdings"/>
    </w:rPr>
  </w:style>
  <w:style w:type="paragraph" w:customStyle="1" w:styleId="TableHeading">
    <w:name w:val="Table Heading"/>
    <w:basedOn w:val="HeadingBase"/>
    <w:rsid w:val="00EA2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70F"/>
    <w:rPr>
      <w:color w:val="0033CC"/>
      <w:u w:val="none"/>
    </w:rPr>
  </w:style>
  <w:style w:type="paragraph" w:customStyle="1" w:styleId="BodyTextRight">
    <w:name w:val="Body Text Right"/>
    <w:basedOn w:val="BodyText"/>
    <w:rsid w:val="00EA2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7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70F"/>
    <w:rPr>
      <w:sz w:val="32"/>
    </w:rPr>
  </w:style>
  <w:style w:type="paragraph" w:customStyle="1" w:styleId="HeadingProcedure">
    <w:name w:val="Heading Procedure"/>
    <w:basedOn w:val="HeadingBase"/>
    <w:next w:val="Normal"/>
    <w:rsid w:val="00EA2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70F"/>
    <w:pPr>
      <w:spacing w:before="60" w:after="60"/>
    </w:pPr>
  </w:style>
  <w:style w:type="paragraph" w:styleId="ListContinue">
    <w:name w:val="List Continue"/>
    <w:basedOn w:val="List"/>
    <w:rsid w:val="00EA270F"/>
    <w:pPr>
      <w:ind w:firstLine="0"/>
    </w:pPr>
  </w:style>
  <w:style w:type="paragraph" w:customStyle="1" w:styleId="ListNote">
    <w:name w:val="List Note"/>
    <w:basedOn w:val="List"/>
    <w:rsid w:val="00EA2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70F"/>
    <w:rPr>
      <w:rFonts w:ascii="Courier New" w:hAnsi="Courier New"/>
    </w:rPr>
  </w:style>
  <w:style w:type="paragraph" w:customStyle="1" w:styleId="NoteBullet">
    <w:name w:val="Note Bullet"/>
    <w:basedOn w:val="Note"/>
    <w:rsid w:val="00EA2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7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2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70F"/>
    <w:rPr>
      <w:b/>
      <w:smallCaps/>
    </w:rPr>
  </w:style>
  <w:style w:type="paragraph" w:customStyle="1" w:styleId="TableListNumber">
    <w:name w:val="Table List Number"/>
    <w:basedOn w:val="ListNumber"/>
    <w:rsid w:val="00EA2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70F"/>
    <w:pPr>
      <w:numPr>
        <w:numId w:val="8"/>
      </w:numPr>
    </w:pPr>
  </w:style>
  <w:style w:type="paragraph" w:customStyle="1" w:styleId="ListAlpha2">
    <w:name w:val="List Alpha 2"/>
    <w:basedOn w:val="List2"/>
    <w:rsid w:val="00EA270F"/>
    <w:pPr>
      <w:numPr>
        <w:numId w:val="7"/>
      </w:numPr>
    </w:pPr>
  </w:style>
  <w:style w:type="paragraph" w:styleId="List2">
    <w:name w:val="List 2"/>
    <w:basedOn w:val="BodyText"/>
    <w:rsid w:val="00EA2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7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7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70F"/>
    <w:pPr>
      <w:numPr>
        <w:numId w:val="3"/>
      </w:numPr>
    </w:pPr>
  </w:style>
  <w:style w:type="paragraph" w:styleId="ListContinue2">
    <w:name w:val="List Continue 2"/>
    <w:basedOn w:val="List2"/>
    <w:rsid w:val="00EA270F"/>
    <w:pPr>
      <w:ind w:firstLine="0"/>
    </w:pPr>
  </w:style>
  <w:style w:type="paragraph" w:styleId="ListContinue3">
    <w:name w:val="List Continue 3"/>
    <w:basedOn w:val="List3"/>
    <w:rsid w:val="00EA270F"/>
    <w:pPr>
      <w:ind w:left="1021" w:firstLine="0"/>
    </w:pPr>
  </w:style>
  <w:style w:type="paragraph" w:styleId="ListContinue4">
    <w:name w:val="List Continue 4"/>
    <w:basedOn w:val="List4"/>
    <w:rsid w:val="00EA270F"/>
    <w:pPr>
      <w:ind w:firstLine="0"/>
    </w:pPr>
  </w:style>
  <w:style w:type="paragraph" w:styleId="ListContinue5">
    <w:name w:val="List Continue 5"/>
    <w:basedOn w:val="List5"/>
    <w:rsid w:val="00EA270F"/>
    <w:pPr>
      <w:ind w:firstLine="0"/>
    </w:pPr>
  </w:style>
  <w:style w:type="paragraph" w:styleId="ListNumber3">
    <w:name w:val="List Number 3"/>
    <w:basedOn w:val="List3"/>
    <w:rsid w:val="00EA270F"/>
    <w:pPr>
      <w:numPr>
        <w:numId w:val="4"/>
      </w:numPr>
    </w:pPr>
  </w:style>
  <w:style w:type="paragraph" w:styleId="ListNumber4">
    <w:name w:val="List Number 4"/>
    <w:basedOn w:val="List4"/>
    <w:rsid w:val="00EA270F"/>
    <w:pPr>
      <w:numPr>
        <w:numId w:val="5"/>
      </w:numPr>
    </w:pPr>
  </w:style>
  <w:style w:type="paragraph" w:styleId="ListNumber5">
    <w:name w:val="List Number 5"/>
    <w:basedOn w:val="List5"/>
    <w:rsid w:val="00EA270F"/>
    <w:pPr>
      <w:numPr>
        <w:numId w:val="6"/>
      </w:numPr>
    </w:pPr>
  </w:style>
  <w:style w:type="paragraph" w:styleId="BlockText">
    <w:name w:val="Block Text"/>
    <w:basedOn w:val="Normal"/>
    <w:rsid w:val="00EA2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70F"/>
    <w:rPr>
      <w:sz w:val="16"/>
      <w:vertAlign w:val="superscript"/>
    </w:rPr>
  </w:style>
  <w:style w:type="character" w:customStyle="1" w:styleId="Symbols">
    <w:name w:val="Symbols"/>
    <w:basedOn w:val="DefaultParagraphFont"/>
    <w:rsid w:val="00EA270F"/>
    <w:rPr>
      <w:rFonts w:ascii="Symbol" w:hAnsi="Symbol"/>
    </w:rPr>
  </w:style>
  <w:style w:type="character" w:customStyle="1" w:styleId="MenuOptions">
    <w:name w:val="Menu Options"/>
    <w:basedOn w:val="DefaultParagraphFont"/>
    <w:rsid w:val="00EA2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70F"/>
    <w:rPr>
      <w:b/>
    </w:rPr>
  </w:style>
  <w:style w:type="character" w:customStyle="1" w:styleId="Underlined">
    <w:name w:val="Underlined"/>
    <w:basedOn w:val="DefaultParagraphFont"/>
    <w:rsid w:val="00EA270F"/>
    <w:rPr>
      <w:u w:val="single"/>
    </w:rPr>
  </w:style>
  <w:style w:type="paragraph" w:customStyle="1" w:styleId="TableBodyTextRight">
    <w:name w:val="Table Body Text Right"/>
    <w:basedOn w:val="TableBodyText"/>
    <w:rsid w:val="00EA2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70F"/>
    <w:rPr>
      <w:sz w:val="18"/>
    </w:rPr>
  </w:style>
  <w:style w:type="paragraph" w:customStyle="1" w:styleId="BodySmallRight">
    <w:name w:val="Body Small Right"/>
    <w:basedOn w:val="BodyTextRight"/>
    <w:rsid w:val="00EA270F"/>
    <w:rPr>
      <w:sz w:val="18"/>
      <w:szCs w:val="18"/>
    </w:rPr>
  </w:style>
  <w:style w:type="paragraph" w:customStyle="1" w:styleId="MarginEdition">
    <w:name w:val="Margin Edition"/>
    <w:basedOn w:val="MarginNote"/>
    <w:rsid w:val="00EA2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70F"/>
    <w:rPr>
      <w:sz w:val="2"/>
      <w:szCs w:val="2"/>
    </w:rPr>
  </w:style>
  <w:style w:type="character" w:customStyle="1" w:styleId="Small">
    <w:name w:val="Small"/>
    <w:basedOn w:val="DefaultParagraphFont"/>
    <w:rsid w:val="00EA270F"/>
    <w:rPr>
      <w:sz w:val="16"/>
    </w:rPr>
  </w:style>
  <w:style w:type="paragraph" w:customStyle="1" w:styleId="WideTable">
    <w:name w:val="Wide Table"/>
    <w:basedOn w:val="Normal"/>
    <w:rsid w:val="00EA2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70F"/>
  </w:style>
  <w:style w:type="paragraph" w:styleId="Quote">
    <w:name w:val="Quote"/>
    <w:basedOn w:val="Heading1"/>
    <w:link w:val="QuoteChar"/>
    <w:qFormat/>
    <w:rsid w:val="00EA2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70F"/>
    <w:pPr>
      <w:pageBreakBefore/>
    </w:pPr>
  </w:style>
  <w:style w:type="paragraph" w:customStyle="1" w:styleId="Border">
    <w:name w:val="Border"/>
    <w:basedOn w:val="Normal"/>
    <w:qFormat/>
    <w:rsid w:val="00EA2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70F"/>
    <w:rPr>
      <w:u w:val="single"/>
    </w:rPr>
  </w:style>
  <w:style w:type="character" w:customStyle="1" w:styleId="BoldandItalics">
    <w:name w:val="Bold and Italics"/>
    <w:qFormat/>
    <w:rsid w:val="00EA270F"/>
    <w:rPr>
      <w:b/>
      <w:i/>
      <w:u w:val="none"/>
    </w:rPr>
  </w:style>
  <w:style w:type="paragraph" w:styleId="BalloonText">
    <w:name w:val="Balloon Text"/>
    <w:basedOn w:val="Normal"/>
    <w:link w:val="BalloonTextChar"/>
    <w:rsid w:val="00EA2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70F"/>
    <w:pPr>
      <w:spacing w:before="0" w:after="0"/>
    </w:pPr>
  </w:style>
  <w:style w:type="paragraph" w:customStyle="1" w:styleId="BodyTextBold">
    <w:name w:val="Body Text Bold"/>
    <w:basedOn w:val="BodyText"/>
    <w:qFormat/>
    <w:rsid w:val="00EA270F"/>
    <w:rPr>
      <w:b/>
    </w:rPr>
  </w:style>
  <w:style w:type="character" w:styleId="Hyperlink">
    <w:name w:val="Hyperlink"/>
    <w:basedOn w:val="DefaultParagraphFont"/>
    <w:uiPriority w:val="99"/>
    <w:unhideWhenUsed/>
    <w:rsid w:val="00847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4177</Characters>
  <Application>Microsoft Office Word</Application>
  <DocSecurity>0</DocSecurity>
  <Lines>232</Lines>
  <Paragraphs>146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MARF018 Assist in an emergency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2020-10-27T00:46:00Z</dcterms:created>
  <dcterms:modified xsi:type="dcterms:W3CDTF">2020-10-27T00:46:00Z</dcterms:modified>
</cp:coreProperties>
</file>