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66E8" w:rsidP="00B266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MARD005 Manage operations and maintenance on vessels limited by tonnage or near coastal operations</w:t>
      </w:r>
      <w:r>
        <w:fldChar w:fldCharType="end"/>
      </w:r>
    </w:p>
    <w:p w:rsidR="00B266E8" w:rsidP="00B266E8">
      <w:pPr>
        <w:pStyle w:val="Version"/>
        <w:sectPr w:rsidSect="000050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050D6" w:rsidP="000050D6">
      <w:pPr>
        <w:pStyle w:val="SuperHeading"/>
      </w:pPr>
      <w:r w:rsidRPr="000050D6">
        <w:t>MARD005 Manage operations and maintenance on vessels limited by tonnage or near coastal operations</w:t>
      </w:r>
    </w:p>
    <w:p w:rsidR="00000000" w:rsidRPr="000050D6" w:rsidP="000050D6">
      <w:pPr>
        <w:pStyle w:val="Heading1"/>
      </w:pPr>
      <w:bookmarkStart w:id="1" w:name="O_1285180"/>
      <w:bookmarkEnd w:id="1"/>
      <w:r w:rsidRPr="000050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 w:rsidP="000050D6">
            <w:pPr>
              <w:pStyle w:val="BodyText"/>
            </w:pPr>
            <w:r w:rsidRPr="000050D6">
              <w:rPr>
                <w:rStyle w:val="SpecialBold"/>
              </w:rPr>
              <w:t>Release 2</w:t>
            </w:r>
            <w:r w:rsidRPr="000050D6">
              <w:t>. This is the second release of this unit of competency in the MAR Maritime Training Package.</w:t>
            </w:r>
          </w:p>
          <w:p w:rsidR="00000000" w:rsidP="000050D6">
            <w:pPr>
              <w:pStyle w:val="ListBullet"/>
              <w:rPr>
                <w:lang w:val="en-NZ"/>
              </w:rPr>
            </w:pPr>
            <w:r w:rsidRPr="000050D6">
              <w:t>Minor statement changes in unit Application.</w:t>
            </w:r>
          </w:p>
        </w:tc>
      </w:tr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 w:rsidP="000050D6">
            <w:pPr>
              <w:pStyle w:val="BodyText"/>
            </w:pPr>
            <w:r w:rsidRPr="000050D6">
              <w:rPr>
                <w:rStyle w:val="SpecialBold"/>
              </w:rPr>
              <w:t>Release 1</w:t>
            </w:r>
            <w:r w:rsidRPr="000050D6">
              <w:t>. This is the first release of this unit of competency in the MAR Maritime Training Package.</w:t>
            </w:r>
          </w:p>
        </w:tc>
      </w:tr>
    </w:tbl>
    <w:p w:rsidR="00000000" w:rsidRPr="000050D6" w:rsidP="000050D6">
      <w:pPr>
        <w:pStyle w:val="NoPaddingFontSize1"/>
      </w:pPr>
    </w:p>
    <w:p w:rsidR="00000000" w:rsidRPr="000050D6" w:rsidP="000050D6">
      <w:pPr>
        <w:pStyle w:val="AllowPageBreak"/>
      </w:pPr>
    </w:p>
    <w:p w:rsidR="00000000" w:rsidRPr="000050D6" w:rsidP="000050D6">
      <w:pPr>
        <w:pStyle w:val="Heading1"/>
      </w:pPr>
      <w:bookmarkStart w:id="2" w:name="O_1285179"/>
      <w:bookmarkEnd w:id="2"/>
      <w:r w:rsidRPr="000050D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 w:rsidP="000050D6">
            <w:pPr>
              <w:pStyle w:val="BodyText"/>
            </w:pPr>
            <w:r w:rsidRPr="000050D6">
              <w:t>This unit involves the skills and knowledge required to manage the operatio</w:t>
            </w:r>
            <w:r w:rsidRPr="000050D6">
              <w:t>ns of a commercial vessel limited by tonnage or near coastal operations.</w:t>
            </w:r>
          </w:p>
          <w:p w:rsidR="00000000" w:rsidRPr="000050D6" w:rsidP="000050D6">
            <w:pPr>
              <w:pStyle w:val="BodyText"/>
            </w:pPr>
            <w:r w:rsidRPr="000050D6">
              <w:t xml:space="preserve">It includes administration of vessel stability, cargo operations and planned maintenance system in compliance with Australian and international regulations and guidelines, protection </w:t>
            </w:r>
            <w:r w:rsidRPr="000050D6">
              <w:t>of the marine environment and the safety of the vessel and people on board.</w:t>
            </w:r>
          </w:p>
          <w:p w:rsidR="00000000" w:rsidRPr="000050D6" w:rsidP="000050D6">
            <w:pPr>
              <w:pStyle w:val="BodyText"/>
            </w:pPr>
            <w:r w:rsidRPr="000050D6">
              <w:t>This unit applies to people working in the maritime industry in the capacity of:</w:t>
            </w:r>
          </w:p>
          <w:p w:rsidR="00000000" w:rsidRPr="000050D6" w:rsidP="000050D6">
            <w:pPr>
              <w:pStyle w:val="ListBullet"/>
            </w:pPr>
            <w:r w:rsidRPr="000050D6">
              <w:t>Master up to 100 metres Near Coastal</w:t>
            </w:r>
          </w:p>
          <w:p w:rsidR="00000000" w:rsidRPr="000050D6" w:rsidP="000050D6">
            <w:pPr>
              <w:pStyle w:val="ListBullet"/>
            </w:pPr>
            <w:r w:rsidRPr="000050D6">
              <w:t>Master up to 500 gross tonnages (GT).</w:t>
            </w:r>
          </w:p>
          <w:p w:rsidR="00000000" w:rsidRPr="000050D6" w:rsidP="000050D6">
            <w:pPr>
              <w:pStyle w:val="BodyText"/>
            </w:pPr>
            <w:r w:rsidRPr="000050D6">
              <w:rPr>
                <w:rStyle w:val="SpecialBold"/>
              </w:rPr>
              <w:t>Licensing/Regulatory Information</w:t>
            </w:r>
          </w:p>
          <w:p w:rsidR="00000000" w:rsidRPr="000050D6" w:rsidP="000050D6">
            <w:pPr>
              <w:pStyle w:val="BodyText"/>
            </w:pPr>
            <w:r w:rsidRPr="000050D6">
              <w:t>Legislative and regulatory requirements are applicable to this unit.</w:t>
            </w:r>
          </w:p>
          <w:p w:rsidR="00000000" w:rsidRPr="000050D6" w:rsidP="000050D6">
            <w:pPr>
              <w:pStyle w:val="ListBullet"/>
            </w:pPr>
            <w:r w:rsidRPr="000050D6">
              <w:t>This unit is one of the requirements to obtain Australian Maritime Safety Authority (AMSA) certification as a Master up to 100 metres Near Coastal as spe</w:t>
            </w:r>
            <w:r w:rsidRPr="000050D6">
              <w:t>cified in Marine Order 505.</w:t>
            </w:r>
          </w:p>
          <w:p w:rsidR="00000000" w:rsidRPr="000050D6" w:rsidP="000050D6">
            <w:pPr>
              <w:pStyle w:val="BodyText"/>
            </w:pPr>
            <w:r w:rsidRPr="000050D6">
              <w:t>Seafarers seeking certification should check with AMSA.</w:t>
            </w:r>
          </w:p>
        </w:tc>
      </w:tr>
    </w:tbl>
    <w:p w:rsidR="00000000" w:rsidRPr="000050D6" w:rsidP="000050D6">
      <w:pPr>
        <w:pStyle w:val="NoPaddingFontSize1"/>
      </w:pPr>
    </w:p>
    <w:p w:rsidR="00000000" w:rsidRPr="000050D6" w:rsidP="000050D6">
      <w:pPr>
        <w:pStyle w:val="AllowPageBreak"/>
      </w:pPr>
    </w:p>
    <w:p w:rsidR="00000000" w:rsidRPr="000050D6" w:rsidP="000050D6">
      <w:pPr>
        <w:pStyle w:val="Heading1"/>
      </w:pPr>
      <w:bookmarkStart w:id="3" w:name="O_1285178"/>
      <w:bookmarkEnd w:id="3"/>
      <w:r w:rsidRPr="000050D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 w:rsidP="000050D6">
            <w:pPr>
              <w:pStyle w:val="BodyText"/>
            </w:pPr>
            <w:r w:rsidRPr="000050D6">
              <w:t>Not applicable.</w:t>
            </w:r>
          </w:p>
        </w:tc>
      </w:tr>
    </w:tbl>
    <w:p w:rsidR="00B266E8" w:rsidP="000050D6">
      <w:pPr>
        <w:pStyle w:val="NoPaddingFontSize1"/>
      </w:pPr>
    </w:p>
    <w:p w:rsidR="00B266E8" w:rsidP="000050D6">
      <w:pPr>
        <w:pStyle w:val="NoPaddingFontSize1"/>
      </w:pPr>
    </w:p>
    <w:p w:rsidR="00000000" w:rsidRPr="000050D6" w:rsidP="000050D6">
      <w:pPr>
        <w:pStyle w:val="Heading1"/>
      </w:pPr>
      <w:bookmarkStart w:id="4" w:name="O_1285177"/>
      <w:bookmarkEnd w:id="4"/>
      <w:r w:rsidRPr="000050D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 w:rsidP="000050D6">
            <w:pPr>
              <w:pStyle w:val="BodyText"/>
            </w:pPr>
            <w:r w:rsidRPr="000050D6">
              <w:t>D – Administration and Human Resources</w:t>
            </w:r>
          </w:p>
        </w:tc>
      </w:tr>
    </w:tbl>
    <w:p w:rsidR="00B266E8" w:rsidP="000050D6">
      <w:pPr>
        <w:pStyle w:val="NoPaddingFontSize1"/>
      </w:pPr>
    </w:p>
    <w:p w:rsidR="00B266E8" w:rsidP="000050D6">
      <w:pPr>
        <w:pStyle w:val="NoPaddingFontSize1"/>
      </w:pPr>
    </w:p>
    <w:p w:rsidR="00000000" w:rsidRPr="000050D6" w:rsidP="000050D6">
      <w:pPr>
        <w:pStyle w:val="Heading1"/>
      </w:pPr>
      <w:bookmarkStart w:id="5" w:name="O_1285176"/>
      <w:bookmarkEnd w:id="5"/>
      <w:r w:rsidRPr="000050D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 w:rsidP="000050D6">
            <w:pPr>
              <w:pStyle w:val="BodyText"/>
            </w:pPr>
            <w:r w:rsidRPr="000050D6">
              <w:t>Not applicable.</w:t>
            </w:r>
          </w:p>
        </w:tc>
      </w:tr>
    </w:tbl>
    <w:p w:rsidR="00B266E8" w:rsidP="000050D6">
      <w:pPr>
        <w:pStyle w:val="NoPaddingFontSize1"/>
      </w:pPr>
    </w:p>
    <w:p w:rsidR="00B266E8" w:rsidP="000050D6">
      <w:pPr>
        <w:pStyle w:val="NoPaddingFontSize1"/>
      </w:pPr>
    </w:p>
    <w:p w:rsidR="00000000" w:rsidRPr="000050D6" w:rsidP="000050D6">
      <w:pPr>
        <w:pStyle w:val="Heading1"/>
      </w:pPr>
      <w:bookmarkStart w:id="6" w:name="O_1285175"/>
      <w:bookmarkEnd w:id="6"/>
      <w:r w:rsidRPr="000050D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 w:rsidP="000050D6">
            <w:pPr>
              <w:pStyle w:val="BodyText"/>
            </w:pPr>
            <w:r w:rsidRPr="000050D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rPr>
                <w:rStyle w:val="SpecialBold"/>
              </w:rPr>
              <w:t>PERFORMANCE CRITERIA</w:t>
            </w:r>
          </w:p>
        </w:tc>
      </w:tr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t>Performance criteria describe the performance needed to demonstrate achievement of the element.</w:t>
            </w:r>
          </w:p>
        </w:tc>
      </w:tr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 w:rsidP="000050D6">
            <w:pPr>
              <w:pStyle w:val="BodyText"/>
            </w:pPr>
            <w:r w:rsidRPr="000050D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 w:rsidP="000050D6">
            <w:pPr>
              <w:pStyle w:val="BodyText"/>
            </w:pPr>
            <w:r w:rsidRPr="000050D6">
              <w:rPr>
                <w:rStyle w:val="SpecialBold"/>
              </w:rPr>
              <w:t>Manage maintenance of vessel stability and safety parameters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t>Vessel dynamic stability is interpreted and analysed</w:t>
            </w:r>
          </w:p>
        </w:tc>
      </w:tr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t>Vessel transverse and longitudinal stability is correctly maintained in normal and adverse operational conditions</w:t>
            </w:r>
          </w:p>
        </w:tc>
      </w:tr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t>Vessel safety parameters are correctly maintained within normal operational limits during cargo operations</w:t>
            </w:r>
          </w:p>
        </w:tc>
      </w:tr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 w:rsidP="000050D6">
            <w:pPr>
              <w:pStyle w:val="BodyText"/>
            </w:pPr>
            <w:r w:rsidRPr="000050D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 w:rsidP="000050D6">
            <w:pPr>
              <w:pStyle w:val="BodyText"/>
            </w:pPr>
            <w:r w:rsidRPr="000050D6">
              <w:rPr>
                <w:rStyle w:val="SpecialBold"/>
              </w:rPr>
              <w:t>Administer planning of cargo operations on vessel limited by tonnage or near coastal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t>Impact of cargo operations on vessel stability</w:t>
            </w:r>
            <w:r w:rsidRPr="000050D6">
              <w:t xml:space="preserve"> is identified and managed</w:t>
            </w:r>
          </w:p>
        </w:tc>
      </w:tr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t>Draft survey is conducted and the calculated results used</w:t>
            </w:r>
          </w:p>
        </w:tc>
      </w:tr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t>Appropriate procedures are administered for all cargo operations</w:t>
            </w:r>
          </w:p>
        </w:tc>
      </w:tr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 w:rsidP="000050D6">
            <w:pPr>
              <w:pStyle w:val="BodyText"/>
            </w:pPr>
            <w:r w:rsidRPr="000050D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 w:rsidP="000050D6">
            <w:pPr>
              <w:pStyle w:val="BodyText"/>
            </w:pPr>
            <w:r w:rsidRPr="000050D6">
              <w:rPr>
                <w:rStyle w:val="SpecialBold"/>
              </w:rPr>
              <w:t>Administer planned maintenance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t>Vessel routine preventative maintenance, testing and inspection plan is correctly interpreted and implemented</w:t>
            </w:r>
          </w:p>
        </w:tc>
      </w:tr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t>Arrangements are made for maintenance activities to be carried out at required times</w:t>
            </w:r>
          </w:p>
        </w:tc>
      </w:tr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t>Maintenance materials are obtained</w:t>
            </w:r>
          </w:p>
        </w:tc>
      </w:tr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t>Repai</w:t>
            </w:r>
            <w:r w:rsidRPr="000050D6">
              <w:t>rs to vessel hull or equipment and/or repair or replacement of equipment or components are organised according to procedures</w:t>
            </w:r>
          </w:p>
        </w:tc>
      </w:tr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 w:rsidP="000050D6">
            <w:pPr>
              <w:pStyle w:val="BodyText"/>
            </w:pPr>
            <w:r w:rsidRPr="000050D6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 w:rsidP="000050D6">
            <w:pPr>
              <w:pStyle w:val="BodyText"/>
            </w:pPr>
            <w:r w:rsidRPr="000050D6">
              <w:rPr>
                <w:rStyle w:val="SpecialBold"/>
              </w:rPr>
              <w:t>Dock or slip vessel limited by tonnage or near coastal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t>Type of slipway, dock or vessel lifting facility is identi</w:t>
            </w:r>
            <w:r w:rsidRPr="000050D6">
              <w:t>fied and suitability for type of hull assessed</w:t>
            </w:r>
          </w:p>
        </w:tc>
      </w:tr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t>Hull data is correctly interpreted and recorded</w:t>
            </w:r>
          </w:p>
        </w:tc>
      </w:tr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t xml:space="preserve">Appropriate </w:t>
            </w:r>
            <w:r w:rsidRPr="000050D6">
              <w:t>plan is prepared for procedures to be taken onboard vessel prior to, during and on completion of proposed slipping or docking operations</w:t>
            </w:r>
          </w:p>
        </w:tc>
      </w:tr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t>Cradle is correctly prepared prior to slipping of vessel</w:t>
            </w:r>
          </w:p>
        </w:tc>
      </w:tr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t>Appropriate precautions are taken prior to slipp</w:t>
            </w:r>
            <w:r w:rsidRPr="000050D6">
              <w:t>ing and refloating of vessel and when shoring/supporting vessel</w:t>
            </w:r>
          </w:p>
        </w:tc>
      </w:tr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t>Vessel is correctly refloated after slipping and maintenance operations</w:t>
            </w:r>
          </w:p>
        </w:tc>
      </w:tr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 w:rsidP="000050D6">
            <w:pPr>
              <w:pStyle w:val="BodyText"/>
            </w:pPr>
            <w:r w:rsidRPr="000050D6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 w:rsidP="000050D6">
            <w:pPr>
              <w:pStyle w:val="BodyText"/>
            </w:pPr>
            <w:r w:rsidRPr="000050D6">
              <w:rPr>
                <w:rStyle w:val="SpecialBold"/>
              </w:rPr>
              <w:t>Carry out inspection and maintenance procedures on vessel limited by tonnage or near coastal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t>Inspections of vessel hull, equipment and components are carried out according to company maintenance schedules and vessel manufacturer instructions</w:t>
            </w:r>
          </w:p>
        </w:tc>
      </w:tr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t xml:space="preserve">Deterioration of vessel structure and fittings are identified and appropriate maintenance action is </w:t>
            </w:r>
            <w:r w:rsidRPr="000050D6">
              <w:t>initiated according to work health and safety (WHS)/occupational health and safety (OHS) and pollution control requirements, company procedures and manufacturer instructions</w:t>
            </w:r>
          </w:p>
        </w:tc>
      </w:tr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t>Lubricants, marine preservatives or finishes are applied correctly using ap</w:t>
            </w:r>
            <w:r w:rsidRPr="000050D6">
              <w:t>propriate application equipment according to WHS/OHS requirements, company procedures and manufacturer instructions</w:t>
            </w:r>
          </w:p>
        </w:tc>
      </w:tr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t>Problems in application of lubricants, marine preservatives, finishes and ot</w:t>
            </w:r>
            <w:r w:rsidRPr="000050D6">
              <w:t>her maintenance materials and chemicals are identified and reported, and appropriate remedial action is initiated</w:t>
            </w:r>
          </w:p>
        </w:tc>
      </w:tr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t>Records of maintenance and lubrication work carried out are completed according to procedures</w:t>
            </w:r>
          </w:p>
        </w:tc>
      </w:tr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 w:rsidP="000050D6">
            <w:pPr>
              <w:pStyle w:val="BodyText"/>
            </w:pPr>
            <w:r w:rsidRPr="000050D6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 w:rsidP="000050D6">
            <w:pPr>
              <w:pStyle w:val="BodyText"/>
            </w:pPr>
            <w:r w:rsidRPr="000050D6">
              <w:rPr>
                <w:rStyle w:val="SpecialBold"/>
              </w:rPr>
              <w:t>Administer correct selection and use o</w:t>
            </w:r>
            <w:r w:rsidRPr="000050D6">
              <w:rPr>
                <w:rStyle w:val="SpecialBold"/>
              </w:rPr>
              <w:t>f maintenance equipment and materials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t>Tools and equipment are correctly identified and used according to WHS/OHS requirements</w:t>
            </w:r>
          </w:p>
        </w:tc>
      </w:tr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D6">
            <w:pPr>
              <w:pStyle w:val="BodyText"/>
              <w:rPr>
                <w:lang w:val="en-NZ"/>
              </w:rPr>
            </w:pPr>
            <w:r w:rsidRPr="000050D6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 w:rsidP="000050D6">
            <w:pPr>
              <w:pStyle w:val="BodyText"/>
            </w:pPr>
            <w:r w:rsidRPr="000050D6">
              <w:t>Defective equipment and materials are identified and reported</w:t>
            </w:r>
          </w:p>
        </w:tc>
      </w:tr>
    </w:tbl>
    <w:p w:rsidR="00B266E8" w:rsidP="000050D6">
      <w:pPr>
        <w:pStyle w:val="NoPaddingFontSize1"/>
      </w:pPr>
    </w:p>
    <w:p w:rsidR="00B266E8" w:rsidP="000050D6">
      <w:pPr>
        <w:pStyle w:val="NoPaddingFontSize1"/>
      </w:pPr>
    </w:p>
    <w:p w:rsidR="00000000" w:rsidRPr="000050D6" w:rsidP="000050D6">
      <w:pPr>
        <w:pStyle w:val="Heading1"/>
      </w:pPr>
      <w:bookmarkStart w:id="7" w:name="O_1285174"/>
      <w:bookmarkEnd w:id="7"/>
      <w:r w:rsidRPr="000050D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 w:rsidP="000050D6">
            <w:pPr>
              <w:pStyle w:val="BodyText"/>
            </w:pPr>
            <w:r w:rsidRPr="000050D6">
              <w:t>Foundation skills essential to performance are explicit in the performance criteria of this unit of competency.</w:t>
            </w:r>
          </w:p>
        </w:tc>
      </w:tr>
    </w:tbl>
    <w:p w:rsidR="00B266E8" w:rsidP="000050D6">
      <w:pPr>
        <w:pStyle w:val="NoPaddingFontSize1"/>
      </w:pPr>
    </w:p>
    <w:p w:rsidR="00B266E8" w:rsidP="000050D6">
      <w:pPr>
        <w:pStyle w:val="NoPaddingFontSize1"/>
      </w:pPr>
    </w:p>
    <w:p w:rsidR="00000000" w:rsidRPr="000050D6" w:rsidP="000050D6">
      <w:pPr>
        <w:pStyle w:val="Heading1"/>
      </w:pPr>
      <w:bookmarkStart w:id="8" w:name="O_1285173"/>
      <w:bookmarkEnd w:id="8"/>
      <w:r w:rsidRPr="000050D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 w:rsidP="000050D6">
            <w:pPr>
              <w:pStyle w:val="BodyText"/>
            </w:pPr>
            <w:r w:rsidRPr="000050D6">
              <w:t>Range is restricted to essential operating conditions and any other variables essential to the work en</w:t>
            </w:r>
            <w:r w:rsidRPr="000050D6">
              <w:t>vironment.</w:t>
            </w:r>
          </w:p>
        </w:tc>
      </w:tr>
    </w:tbl>
    <w:p w:rsidR="00B266E8" w:rsidP="000050D6">
      <w:pPr>
        <w:pStyle w:val="NoPaddingFontSize1"/>
      </w:pPr>
    </w:p>
    <w:p w:rsidR="00B266E8" w:rsidP="000050D6">
      <w:pPr>
        <w:pStyle w:val="NoPaddingFontSize1"/>
      </w:pPr>
    </w:p>
    <w:p w:rsidR="00000000" w:rsidRPr="000050D6" w:rsidP="000050D6">
      <w:pPr>
        <w:pStyle w:val="Heading1"/>
      </w:pPr>
      <w:bookmarkStart w:id="9" w:name="O_1285172"/>
      <w:bookmarkEnd w:id="9"/>
      <w:r w:rsidRPr="000050D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50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D6" w:rsidP="000050D6">
            <w:pPr>
              <w:pStyle w:val="BodyText"/>
            </w:pPr>
            <w:r w:rsidRPr="000050D6">
              <w:t>This unit replaces and is equivalent to MARD002 Manage operations and maintenance on vessels limited by tonnage or near coastal operations.</w:t>
            </w:r>
          </w:p>
        </w:tc>
      </w:tr>
    </w:tbl>
    <w:p w:rsidR="00B266E8" w:rsidP="000050D6">
      <w:pPr>
        <w:pStyle w:val="NoPaddingFontSize1"/>
      </w:pPr>
    </w:p>
    <w:p w:rsidR="00B266E8" w:rsidP="000050D6">
      <w:pPr>
        <w:pStyle w:val="NoPaddingFontSize1"/>
      </w:pPr>
    </w:p>
    <w:p w:rsidR="00000000" w:rsidRPr="000050D6" w:rsidP="000050D6">
      <w:pPr>
        <w:pStyle w:val="Heading1"/>
      </w:pPr>
      <w:bookmarkStart w:id="10" w:name="O_1285181"/>
      <w:bookmarkEnd w:id="10"/>
      <w:r w:rsidRPr="000050D6">
        <w:t>Links</w:t>
      </w:r>
    </w:p>
    <w:p w:rsidR="00000000" w:rsidRPr="000050D6" w:rsidP="00B266E8">
      <w:pPr>
        <w:pStyle w:val="BodyText"/>
      </w:pPr>
      <w:r w:rsidRPr="000050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744556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0050D6" w:rsidP="000050D6"/>
    <w:sectPr w:rsidSect="000050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0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0D6" w:rsidRPr="00B266E8" w:rsidP="00B266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0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6E8" w:rsidP="000050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66E8" w:rsidP="000050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266E8" w:rsidP="000050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0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6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0D6" w:rsidRPr="00B266E8" w:rsidP="00B266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0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6E8" w:rsidRPr="002D2AF8" w:rsidP="000050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MARD005 Manage operations and maintenance on vessels limited by tonnage or near coastal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B266E8" w:rsidP="000050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58E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344A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0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0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0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0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0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0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0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0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0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0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0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0D6"/>
  </w:style>
  <w:style w:type="character" w:customStyle="1" w:styleId="Heading1Char">
    <w:name w:val="Heading 1 Char"/>
    <w:basedOn w:val="DefaultParagraphFont"/>
    <w:link w:val="Heading1"/>
    <w:rsid w:val="000050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0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0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50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50D6"/>
    <w:rPr>
      <w:b/>
      <w:spacing w:val="0"/>
    </w:rPr>
  </w:style>
  <w:style w:type="paragraph" w:customStyle="1" w:styleId="SuperHeading">
    <w:name w:val="SuperHeading"/>
    <w:basedOn w:val="Normal"/>
    <w:rsid w:val="000050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50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050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0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0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0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0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0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0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0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0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0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0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0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0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0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0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0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0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0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50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50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50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0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0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50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50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0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0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0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0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0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0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0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0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50D6"/>
    <w:rPr>
      <w:i/>
    </w:rPr>
  </w:style>
  <w:style w:type="paragraph" w:styleId="Caption">
    <w:name w:val="caption"/>
    <w:basedOn w:val="BodyText"/>
    <w:next w:val="Normal"/>
    <w:qFormat/>
    <w:rsid w:val="000050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0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0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0D6"/>
  </w:style>
  <w:style w:type="paragraph" w:styleId="TableofFigures">
    <w:name w:val="table of figures"/>
    <w:basedOn w:val="Normal"/>
    <w:next w:val="Normal"/>
    <w:semiHidden/>
    <w:rsid w:val="000050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0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50D6"/>
    <w:rPr>
      <w:rFonts w:ascii="Wingdings" w:hAnsi="Wingdings"/>
    </w:rPr>
  </w:style>
  <w:style w:type="paragraph" w:customStyle="1" w:styleId="TableHeading">
    <w:name w:val="Table Heading"/>
    <w:basedOn w:val="HeadingBase"/>
    <w:rsid w:val="000050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50D6"/>
    <w:rPr>
      <w:color w:val="0033CC"/>
      <w:u w:val="none"/>
    </w:rPr>
  </w:style>
  <w:style w:type="paragraph" w:customStyle="1" w:styleId="BodyTextRight">
    <w:name w:val="Body Text Right"/>
    <w:basedOn w:val="BodyText"/>
    <w:rsid w:val="000050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0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0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0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0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0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0D6"/>
    <w:rPr>
      <w:sz w:val="32"/>
    </w:rPr>
  </w:style>
  <w:style w:type="paragraph" w:customStyle="1" w:styleId="HeadingProcedure">
    <w:name w:val="Heading Procedure"/>
    <w:basedOn w:val="HeadingBase"/>
    <w:next w:val="Normal"/>
    <w:rsid w:val="000050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0D6"/>
    <w:pPr>
      <w:spacing w:before="60" w:after="60"/>
    </w:pPr>
  </w:style>
  <w:style w:type="paragraph" w:styleId="ListContinue">
    <w:name w:val="List Continue"/>
    <w:basedOn w:val="List"/>
    <w:rsid w:val="000050D6"/>
    <w:pPr>
      <w:ind w:firstLine="0"/>
    </w:pPr>
  </w:style>
  <w:style w:type="paragraph" w:customStyle="1" w:styleId="ListNote">
    <w:name w:val="List Note"/>
    <w:basedOn w:val="List"/>
    <w:rsid w:val="000050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0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0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0D6"/>
    <w:rPr>
      <w:rFonts w:ascii="Courier New" w:hAnsi="Courier New"/>
    </w:rPr>
  </w:style>
  <w:style w:type="paragraph" w:customStyle="1" w:styleId="NoteBullet">
    <w:name w:val="Note Bullet"/>
    <w:basedOn w:val="Note"/>
    <w:rsid w:val="000050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0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0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0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0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50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0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0D6"/>
    <w:rPr>
      <w:b/>
      <w:smallCaps/>
    </w:rPr>
  </w:style>
  <w:style w:type="paragraph" w:customStyle="1" w:styleId="TableListNumber">
    <w:name w:val="Table List Number"/>
    <w:basedOn w:val="ListNumber"/>
    <w:rsid w:val="000050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0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0D6"/>
    <w:pPr>
      <w:numPr>
        <w:numId w:val="8"/>
      </w:numPr>
    </w:pPr>
  </w:style>
  <w:style w:type="paragraph" w:customStyle="1" w:styleId="ListAlpha2">
    <w:name w:val="List Alpha 2"/>
    <w:basedOn w:val="List2"/>
    <w:rsid w:val="000050D6"/>
    <w:pPr>
      <w:numPr>
        <w:numId w:val="7"/>
      </w:numPr>
    </w:pPr>
  </w:style>
  <w:style w:type="paragraph" w:styleId="List2">
    <w:name w:val="List 2"/>
    <w:basedOn w:val="BodyText"/>
    <w:rsid w:val="000050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0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0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0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0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0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50D6"/>
    <w:pPr>
      <w:numPr>
        <w:numId w:val="3"/>
      </w:numPr>
    </w:pPr>
  </w:style>
  <w:style w:type="paragraph" w:styleId="ListContinue2">
    <w:name w:val="List Continue 2"/>
    <w:basedOn w:val="List2"/>
    <w:rsid w:val="000050D6"/>
    <w:pPr>
      <w:ind w:firstLine="0"/>
    </w:pPr>
  </w:style>
  <w:style w:type="paragraph" w:styleId="ListContinue3">
    <w:name w:val="List Continue 3"/>
    <w:basedOn w:val="List3"/>
    <w:rsid w:val="000050D6"/>
    <w:pPr>
      <w:ind w:left="1021" w:firstLine="0"/>
    </w:pPr>
  </w:style>
  <w:style w:type="paragraph" w:styleId="ListContinue4">
    <w:name w:val="List Continue 4"/>
    <w:basedOn w:val="List4"/>
    <w:rsid w:val="000050D6"/>
    <w:pPr>
      <w:ind w:firstLine="0"/>
    </w:pPr>
  </w:style>
  <w:style w:type="paragraph" w:styleId="ListContinue5">
    <w:name w:val="List Continue 5"/>
    <w:basedOn w:val="List5"/>
    <w:rsid w:val="000050D6"/>
    <w:pPr>
      <w:ind w:firstLine="0"/>
    </w:pPr>
  </w:style>
  <w:style w:type="paragraph" w:styleId="ListNumber3">
    <w:name w:val="List Number 3"/>
    <w:basedOn w:val="List3"/>
    <w:rsid w:val="000050D6"/>
    <w:pPr>
      <w:numPr>
        <w:numId w:val="4"/>
      </w:numPr>
    </w:pPr>
  </w:style>
  <w:style w:type="paragraph" w:styleId="ListNumber4">
    <w:name w:val="List Number 4"/>
    <w:basedOn w:val="List4"/>
    <w:rsid w:val="000050D6"/>
    <w:pPr>
      <w:numPr>
        <w:numId w:val="5"/>
      </w:numPr>
    </w:pPr>
  </w:style>
  <w:style w:type="paragraph" w:styleId="ListNumber5">
    <w:name w:val="List Number 5"/>
    <w:basedOn w:val="List5"/>
    <w:rsid w:val="000050D6"/>
    <w:pPr>
      <w:numPr>
        <w:numId w:val="6"/>
      </w:numPr>
    </w:pPr>
  </w:style>
  <w:style w:type="paragraph" w:styleId="BlockText">
    <w:name w:val="Block Text"/>
    <w:basedOn w:val="Normal"/>
    <w:rsid w:val="000050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0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0D6"/>
    <w:rPr>
      <w:sz w:val="16"/>
      <w:vertAlign w:val="superscript"/>
    </w:rPr>
  </w:style>
  <w:style w:type="character" w:customStyle="1" w:styleId="Symbols">
    <w:name w:val="Symbols"/>
    <w:basedOn w:val="DefaultParagraphFont"/>
    <w:rsid w:val="000050D6"/>
    <w:rPr>
      <w:rFonts w:ascii="Symbol" w:hAnsi="Symbol"/>
    </w:rPr>
  </w:style>
  <w:style w:type="character" w:customStyle="1" w:styleId="MenuOptions">
    <w:name w:val="Menu Options"/>
    <w:basedOn w:val="DefaultParagraphFont"/>
    <w:rsid w:val="000050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0D6"/>
    <w:rPr>
      <w:b/>
    </w:rPr>
  </w:style>
  <w:style w:type="character" w:customStyle="1" w:styleId="Underlined">
    <w:name w:val="Underlined"/>
    <w:basedOn w:val="DefaultParagraphFont"/>
    <w:rsid w:val="000050D6"/>
    <w:rPr>
      <w:u w:val="single"/>
    </w:rPr>
  </w:style>
  <w:style w:type="paragraph" w:customStyle="1" w:styleId="TableBodyTextRight">
    <w:name w:val="Table Body Text Right"/>
    <w:basedOn w:val="TableBodyText"/>
    <w:rsid w:val="000050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0D6"/>
    <w:rPr>
      <w:sz w:val="18"/>
    </w:rPr>
  </w:style>
  <w:style w:type="paragraph" w:customStyle="1" w:styleId="BodySmallRight">
    <w:name w:val="Body Small Right"/>
    <w:basedOn w:val="BodyTextRight"/>
    <w:rsid w:val="000050D6"/>
    <w:rPr>
      <w:sz w:val="18"/>
      <w:szCs w:val="18"/>
    </w:rPr>
  </w:style>
  <w:style w:type="paragraph" w:customStyle="1" w:styleId="MarginEdition">
    <w:name w:val="Margin Edition"/>
    <w:basedOn w:val="MarginNote"/>
    <w:rsid w:val="000050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0D6"/>
    <w:rPr>
      <w:sz w:val="2"/>
      <w:szCs w:val="2"/>
    </w:rPr>
  </w:style>
  <w:style w:type="character" w:customStyle="1" w:styleId="Small">
    <w:name w:val="Small"/>
    <w:basedOn w:val="DefaultParagraphFont"/>
    <w:rsid w:val="000050D6"/>
    <w:rPr>
      <w:sz w:val="16"/>
    </w:rPr>
  </w:style>
  <w:style w:type="paragraph" w:customStyle="1" w:styleId="WideTable">
    <w:name w:val="Wide Table"/>
    <w:basedOn w:val="Normal"/>
    <w:rsid w:val="000050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0D6"/>
  </w:style>
  <w:style w:type="paragraph" w:styleId="Quote">
    <w:name w:val="Quote"/>
    <w:basedOn w:val="Heading1"/>
    <w:link w:val="QuoteChar"/>
    <w:qFormat/>
    <w:rsid w:val="000050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0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0D6"/>
    <w:pPr>
      <w:pageBreakBefore/>
    </w:pPr>
  </w:style>
  <w:style w:type="paragraph" w:customStyle="1" w:styleId="Border">
    <w:name w:val="Border"/>
    <w:basedOn w:val="Normal"/>
    <w:qFormat/>
    <w:rsid w:val="000050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0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0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0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0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0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0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0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0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0D6"/>
    <w:rPr>
      <w:u w:val="single"/>
    </w:rPr>
  </w:style>
  <w:style w:type="character" w:customStyle="1" w:styleId="BoldandItalics">
    <w:name w:val="Bold and Italics"/>
    <w:qFormat/>
    <w:rsid w:val="000050D6"/>
    <w:rPr>
      <w:b/>
      <w:i/>
      <w:u w:val="none"/>
    </w:rPr>
  </w:style>
  <w:style w:type="paragraph" w:styleId="BalloonText">
    <w:name w:val="Balloon Text"/>
    <w:basedOn w:val="Normal"/>
    <w:link w:val="BalloonTextChar"/>
    <w:rsid w:val="000050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0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0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0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0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0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0D6"/>
    <w:pPr>
      <w:spacing w:before="0" w:after="0"/>
    </w:pPr>
  </w:style>
  <w:style w:type="paragraph" w:customStyle="1" w:styleId="BodyTextBold">
    <w:name w:val="Body Text Bold"/>
    <w:basedOn w:val="BodyText"/>
    <w:qFormat/>
    <w:rsid w:val="000050D6"/>
    <w:rPr>
      <w:b/>
    </w:rPr>
  </w:style>
  <w:style w:type="character" w:styleId="Hyperlink">
    <w:name w:val="Hyperlink"/>
    <w:basedOn w:val="DefaultParagraphFont"/>
    <w:uiPriority w:val="99"/>
    <w:unhideWhenUsed/>
    <w:rsid w:val="00B266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769</Words>
  <Characters>4750</Characters>
  <Application>Microsoft Office Word</Application>
  <DocSecurity>0</DocSecurity>
  <Lines>226</Lines>
  <Paragraphs>112</Paragraphs>
  <ScaleCrop>false</ScaleCrop>
  <Company>Author-it Software Corporation Ltd.</Company>
  <LinksUpToDate>false</LinksUpToDate>
  <CharactersWithSpaces>5407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MARD005 Manage operations and maintenance on vessels limited by tonnage or near coastal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2024-11-25T10:56:00Z</dcterms:created>
  <dcterms:modified xsi:type="dcterms:W3CDTF">2024-11-25T10:56:00Z</dcterms:modified>
</cp:coreProperties>
</file>