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2FB" w:rsidP="002F72FB">
      <w:pPr>
        <w:pStyle w:val="Title"/>
      </w:pPr>
      <w:r>
        <w:fldChar w:fldCharType="begin"/>
      </w:r>
      <w:r>
        <w:instrText xml:space="preserve"> TITLE   \* MERGEFORMAT </w:instrText>
      </w:r>
      <w:r>
        <w:fldChar w:fldCharType="separate"/>
      </w:r>
      <w:r>
        <w:t>MARD001 Manage business and administration on vessels limited by tonnage or near coastal operations</w:t>
      </w:r>
      <w:r>
        <w:fldChar w:fldCharType="end"/>
      </w:r>
    </w:p>
    <w:p w:rsidR="002F72FB" w:rsidP="002F72FB">
      <w:pPr>
        <w:pStyle w:val="Version"/>
        <w:sectPr w:rsidSect="007E37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7D6" w:rsidP="007E37D6">
      <w:pPr>
        <w:pStyle w:val="SuperHeading"/>
      </w:pPr>
      <w:r w:rsidRPr="007E37D6">
        <w:t>MARD001 Manage business and administration on vessels limited by tonnage or near coastal operations</w:t>
      </w:r>
    </w:p>
    <w:p w:rsidR="00000000" w:rsidRPr="007E37D6" w:rsidP="007E37D6">
      <w:pPr>
        <w:pStyle w:val="Heading1"/>
      </w:pPr>
      <w:bookmarkStart w:id="1" w:name="O_597774"/>
      <w:bookmarkEnd w:id="1"/>
      <w:r w:rsidRPr="007E37D6">
        <w:t>Modification History</w:t>
      </w:r>
    </w:p>
    <w:p w:rsidR="00000000" w:rsidRPr="007E37D6" w:rsidP="002F72FB">
      <w:pPr>
        <w:pStyle w:val="BodyText"/>
      </w:pPr>
      <w:r w:rsidRPr="007E37D6">
        <w:t>Release 1. New unit of competency.</w:t>
      </w:r>
    </w:p>
    <w:p w:rsidR="00000000" w:rsidRPr="007E37D6" w:rsidP="007E37D6">
      <w:pPr>
        <w:pStyle w:val="Heading1"/>
      </w:pPr>
      <w:bookmarkStart w:id="2" w:name="O_597775"/>
      <w:bookmarkEnd w:id="2"/>
      <w:r w:rsidRPr="007E37D6">
        <w:t>Application</w:t>
      </w:r>
    </w:p>
    <w:p w:rsidR="00000000" w:rsidRPr="007E37D6" w:rsidP="002F72FB">
      <w:pPr>
        <w:pStyle w:val="BodyText"/>
      </w:pPr>
      <w:r w:rsidRPr="007E37D6">
        <w:t>This unit involves the skills and knowl</w:t>
      </w:r>
      <w:r w:rsidRPr="007E37D6">
        <w:t>edge required to manage the business and administration of a commercial ocean-going vessel and its personnel in compliance with Australian and international regulations and guidelines, and to ensure the protection of the marine environment and the safety o</w:t>
      </w:r>
      <w:r w:rsidRPr="007E37D6">
        <w:t>f the vessel and people on board.</w:t>
      </w:r>
    </w:p>
    <w:p w:rsidR="00000000" w:rsidRPr="007E37D6" w:rsidP="002F72FB">
      <w:pPr>
        <w:pStyle w:val="BodyText"/>
      </w:pPr>
      <w:r w:rsidRPr="007E37D6">
        <w:t>Managing vessel business operations and resources includes legal and commercial responsibilities, the safety management system (SMS), procedures to obtain a safety management certificate and subsequent audits, managing wo</w:t>
      </w:r>
      <w:r w:rsidRPr="007E37D6">
        <w:t xml:space="preserve">rk health and safety (WHS)/occupational health and safety (OHS) procedures and practices, monitoring and controlling expenditure, and analysing and preparing reports. </w:t>
      </w:r>
    </w:p>
    <w:p w:rsidR="00000000" w:rsidRPr="007E37D6" w:rsidP="002F72FB">
      <w:pPr>
        <w:pStyle w:val="BodyText"/>
      </w:pPr>
      <w:r w:rsidRPr="007E37D6">
        <w:t>It also involves organising and managing crew, and includes allocating duties, conducti</w:t>
      </w:r>
      <w:r w:rsidRPr="007E37D6">
        <w:t>ng required training, and assessing and maintaining expected standards of work and behaviour.</w:t>
      </w:r>
    </w:p>
    <w:p w:rsidR="00000000" w:rsidRPr="007E37D6" w:rsidP="002F72FB">
      <w:pPr>
        <w:pStyle w:val="BodyText"/>
      </w:pPr>
      <w:r w:rsidRPr="007E37D6">
        <w:t>This unit applies to people who work in the maritime industry as Master or Chief Mate on a vessel of up to 500 gross tonnage (GT) or as a Watchkeeper on a vessel</w:t>
      </w:r>
      <w:r w:rsidRPr="007E37D6">
        <w:t xml:space="preserve"> up to 3000 GT or as Master or Chief Mate on vessels up to 3000 GT operating in near coastal waters.</w:t>
      </w:r>
    </w:p>
    <w:p w:rsidR="00000000" w:rsidRPr="007E37D6" w:rsidP="002F72FB">
      <w:pPr>
        <w:pStyle w:val="BodyText"/>
      </w:pPr>
      <w:r w:rsidRPr="007E37D6">
        <w:t>The unit is consistent with the relevant sections of STCW 95 and Marine Orders under the Australian Navigation Act 2012.</w:t>
      </w:r>
    </w:p>
    <w:p w:rsidR="00000000" w:rsidRPr="007E37D6" w:rsidP="002F72FB">
      <w:pPr>
        <w:pStyle w:val="BodyText"/>
      </w:pPr>
      <w:r w:rsidRPr="007E37D6">
        <w:t>This unit has links to legislati</w:t>
      </w:r>
      <w:r w:rsidRPr="007E37D6">
        <w:t>ve and certification requirements.</w:t>
      </w:r>
    </w:p>
    <w:p w:rsidR="00000000" w:rsidRPr="007E37D6" w:rsidP="007E37D6">
      <w:pPr>
        <w:pStyle w:val="Heading1"/>
      </w:pPr>
      <w:bookmarkStart w:id="3" w:name="O_597776"/>
      <w:bookmarkEnd w:id="3"/>
      <w:r w:rsidRPr="007E37D6">
        <w:t>Pre-requisite Unit</w:t>
      </w:r>
    </w:p>
    <w:p w:rsidR="00000000" w:rsidRPr="007E37D6" w:rsidP="002F72FB">
      <w:pPr>
        <w:pStyle w:val="BodyText"/>
      </w:pPr>
      <w:r w:rsidRPr="007E37D6">
        <w:t>Not applicable.</w:t>
      </w:r>
    </w:p>
    <w:p w:rsidR="00000000" w:rsidRPr="007E37D6" w:rsidP="007E37D6">
      <w:pPr>
        <w:pStyle w:val="Heading1"/>
      </w:pPr>
      <w:bookmarkStart w:id="4" w:name="O_597777"/>
      <w:bookmarkEnd w:id="4"/>
      <w:r w:rsidRPr="007E37D6">
        <w:t>Competency Field</w:t>
      </w:r>
    </w:p>
    <w:p w:rsidR="00000000" w:rsidRPr="007E37D6" w:rsidP="002F72FB">
      <w:pPr>
        <w:pStyle w:val="BodyText"/>
      </w:pPr>
      <w:r w:rsidRPr="007E37D6">
        <w:t>D – Administration and Human Resources</w:t>
      </w:r>
    </w:p>
    <w:p w:rsidR="00000000" w:rsidRPr="007E37D6" w:rsidP="007E37D6">
      <w:pPr>
        <w:pStyle w:val="Heading1"/>
      </w:pPr>
      <w:bookmarkStart w:id="5" w:name="O_597778"/>
      <w:bookmarkEnd w:id="5"/>
      <w:r w:rsidRPr="007E37D6">
        <w:t>Unit Sector</w:t>
      </w:r>
    </w:p>
    <w:p w:rsidR="00000000" w:rsidRPr="007E37D6" w:rsidP="002F72FB">
      <w:pPr>
        <w:pStyle w:val="BodyText"/>
      </w:pPr>
      <w:r w:rsidRPr="007E37D6">
        <w:t>Not applicable.</w:t>
      </w:r>
    </w:p>
    <w:p w:rsidR="00000000" w:rsidRPr="007E37D6" w:rsidP="007E37D6">
      <w:pPr>
        <w:pStyle w:val="Heading1"/>
      </w:pPr>
      <w:bookmarkStart w:id="6" w:name="O_597779"/>
      <w:bookmarkEnd w:id="6"/>
      <w:r w:rsidRPr="007E37D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F72F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Performance criteria describe the performance needed to demonstrate achievement of the element.</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Develop plans for general and specific vessel operations</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operation goals and objectives are identified according to company procedures, operational orders, regulatory requirements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General and specific vessel operations plans are drawn up according to compa</w:t>
            </w:r>
            <w:r w:rsidRPr="007E37D6">
              <w:t>ny procedures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Correct procedures for emergency response on board a vessel are developed according to company procedures, operational orders, regulatory requirements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1.4</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Appropriate validation measures and standards are devised to monitor progress in operations against plans, and appropriate contingency plans are developed for any discrepancies or variations that may occur during operations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1.5</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Service procedures and sy</w:t>
            </w:r>
            <w:r w:rsidRPr="007E37D6">
              <w:t>stems improvement opportunities are identified and appropriate measures are taken to act on these opportunities according to company procedures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1.6</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Plans, goals, objectives and instructions for general and spec</w:t>
            </w:r>
            <w:r w:rsidRPr="007E37D6">
              <w:t>ific vessel operations and emergency and contingency procedures are distributed to relevant personnel according to company procedures and established marine management practice</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Ensure legal requirements are fulfilled</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Legal basis under which a commercial vessel operates is interpreted and followed, and shipmaster safety, legal and commercial obligations are identified and carried out in a relevant range of operational circumstances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National and international conv</w:t>
            </w:r>
            <w:r w:rsidRPr="007E37D6">
              <w:t>entions, laws and regulations pertaining to vessel operations and contingencies are implemented</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 xml:space="preserve">Entries are made into vessel log books as required and carriage of all required vessel certification is confirmed and </w:t>
            </w:r>
            <w:r w:rsidRPr="007E37D6">
              <w:t xml:space="preserve">ensured </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2.4</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Appropriate arrangements are made for preparing vessel for statutory survey and certification</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2.5</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 xml:space="preserve">Relevant code of conduct and industrial agreements are applied to vessel operations and management, and shipmaster responsibilities as they relate to crew </w:t>
            </w:r>
            <w:r w:rsidRPr="007E37D6">
              <w:t>health and safety are implemented</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2.6</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security procedures are consistent with International Maritime Organization (IMO) International Ship and Port Facility Security Code (ISPS Code)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2.7</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Procedures and requirements relating to state port contr</w:t>
            </w:r>
            <w:r w:rsidRPr="007E37D6">
              <w:t>ol are implemented</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2.8</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Procedures and requirements relating to customs, quarantine and immigration clearances are implemented</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Ensure commercial and business requirements are fulfilled</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3.1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Contracts of carriage and bills of lading under which vessel owners and cargo owners operate are interpreted and adhered to according to company procedures, legal requirements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3.2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Commercial and legal aspects o</w:t>
            </w:r>
            <w:r w:rsidRPr="007E37D6">
              <w:t>f general average, salvage and towage are identified, interpreted and implemented according to company procedures, legal requirements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3.3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Commercial and legal aspects of marine hull and cargo insurance are iden</w:t>
            </w:r>
            <w:r w:rsidRPr="007E37D6">
              <w:t>tified, interpreted and implemented according to company procedures, legal requirements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3.4</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Accident and incident investigation processes are identified and implemented according to company procedures, legal requirements and established marine management practice</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Monitor and control vessel expenditure</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4.1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Accrual accounting procedures are corr</w:t>
            </w:r>
            <w:r w:rsidRPr="007E37D6">
              <w:t>ectly used to monitor and control vessel expenditure and where relevant, vessel budget is prepared according to established vessel financial procedures and established accounting practice, with relevance to commercial market in which a vessel operates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4</w:t>
            </w:r>
            <w:r w:rsidRPr="007E37D6">
              <w:t>.2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Plans and appropriate contingency procedures are developed to correct any variation from vessel budget and identified expenditure, and records are maintained according to established vessel financial procedures and established accounting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4.3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Appropriate action is taken when expenditure varies from vessel budget according to contingency plans, company procedures and established accounting practice</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Develop and implement vessel safety management system</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5.1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SMS is developed according to</w:t>
            </w:r>
            <w:r w:rsidRPr="007E37D6">
              <w:t xml:space="preserve"> relevant maritime regulations and company procedures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5.2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SMS safety procedures and related documentation are developed in collaboration with relevant vessel personnel</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5.3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SMS documentation structure and content is maintained according to requirements, and appropriate action is taken to ensure correct procedures are followed to obtain a safety management certificate according to maritime regulatory requirements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5.4</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Approp</w:t>
            </w:r>
            <w:r w:rsidRPr="007E37D6">
              <w:t>riate measures are taken to ensure all personnel on board vessel are familiar with SMS documentation, that familiarisation arrangements for new crew members are carried out, and that all personnel apply SMS procedures relevant to their functions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5.5</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Cor</w:t>
            </w:r>
            <w:r w:rsidRPr="007E37D6">
              <w:t>rect procedures are followed to obtain a safety management certificate according to maritime regulatory requirements</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Monitor and control vessel physical resources</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6.1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inventory of plant, equipment and other physical resources is maintained accord</w:t>
            </w:r>
            <w:r w:rsidRPr="007E37D6">
              <w:t>ance to company procedures, vessel survey requirements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6.2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 xml:space="preserve">Reports on status of vessel physical resources are prepared and submitted to relevant personnel within company and regulatory authorities according </w:t>
            </w:r>
            <w:r w:rsidRPr="007E37D6">
              <w:t>to company procedures, vessel survey requirements and established practice</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Analyse and compile operational and voyage data</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7.1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Operational and voyage data is collected and compiled according to company practice, regulatory requirements and established m</w:t>
            </w:r>
            <w:r w:rsidRPr="007E37D6">
              <w:t>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7.2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Voyage report is prepared and validated according to company procedures, vessel survey requirements and established marine management practice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7.3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Voyage report is submitted to designated personnel according to company procedures, vessel survey requirements and established practice</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Provide leadership to officers and crew</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8.1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Feedback and support are provided to crew on achievements and performance</w:t>
            </w:r>
            <w:r w:rsidRPr="007E37D6">
              <w:t xml:space="preserve"> in their day-to-day work</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8.2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Crew are treated fairly, equitably, effectively and honestly in matters related to their day-to-day work</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8.3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Appropriate action is taken to prevent harassment and where it has occurred, harassment is dealt with promptly, effectively and fairly</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8.4</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Crew suggestions for work improvements are listened to, acted upon and credit for achievements is shared with crew</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8.5</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Good example is provided of a responsible, fair, sympathetic, equitable and diligent member of shipboard team</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Allocate duties and maintain set standards of work on board vessel</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9.1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Work requirements and crew competencies required for work duties</w:t>
            </w:r>
            <w:r w:rsidRPr="007E37D6">
              <w:t xml:space="preserve"> are identified and clarified</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9.2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Crew member competencies are assessed and confirmed, and duties are assigned to crew according to crew competencies and capabilities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9.3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Competency deficiencies in personnel are identified and remedial action is initiated through counselling and training</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9.4</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Crew members are advised of rostered duties and required performance standards are set in conjunction with crew members according t</w:t>
            </w:r>
            <w:r w:rsidRPr="007E37D6">
              <w:t>o company procedures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9.5</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Crew members are motivated to achieve set standards of work performance using appropriate methods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9.6</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Pe</w:t>
            </w:r>
            <w:r w:rsidRPr="007E37D6">
              <w:t>rformance of crew members is monitored as required using appropriate methods according to company procedures, performance assessments are discussed with relevant crew members and agreement is reached on appropriate action to be taken where performance is b</w:t>
            </w:r>
            <w:r w:rsidRPr="007E37D6">
              <w:t>elow set standards</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Resolve conflict</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10.1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Conflict situations are recognised and issues are clarified with personnel involved</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10.2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Solutions to conflict are negotiated using appropriate mediation and conflict resolution techniques</w:t>
            </w:r>
          </w:p>
        </w:tc>
      </w:tr>
      <w:tr w:rsidTr="002F72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rPr>
                <w:rStyle w:val="SpecialBold"/>
              </w:rPr>
              <w:t>Plan, organise, promote and evaluate shipboard training and assessment</w:t>
            </w: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11.1</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Workplace trainer and assessor requirements are identified and appropriate staff are trained and assigned as required</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11.2</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Work related training opportunities are planned and or</w:t>
            </w:r>
            <w:r w:rsidRPr="007E37D6">
              <w:t>ganised for crew according to identified needs and company policy</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11.3</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Shipboard drills are organised according to regulations and company procedures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11.4</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Assessment of crew members during and after training activities and shipboard drills is carried out to confirm required competencies and related knowledge have been acquired</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11.5</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Crew members are debriefed after training, drill and assessment activities</w:t>
            </w:r>
            <w:r w:rsidRPr="007E37D6">
              <w:t xml:space="preserve"> using appropriate methods and efficacy of training, drill and assessment activities is evaluated based on feedback from participating crew members and other relevant evidence</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11.6</w:t>
            </w:r>
          </w:p>
        </w:tc>
        <w:tc>
          <w:tcPr>
            <w:tcW w:w="604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Outcomes of evaluations of training and assessment are discussed with tr</w:t>
            </w:r>
            <w:r w:rsidRPr="007E37D6">
              <w:t>ainers and assessors, and appropriate action is taken to make required improvements</w:t>
            </w:r>
          </w:p>
        </w:tc>
      </w:tr>
      <w:tr w:rsidTr="002F72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11.7</w:t>
            </w:r>
          </w:p>
        </w:tc>
        <w:tc>
          <w:tcPr>
            <w:tcW w:w="6045" w:type="dxa"/>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t>Reports on training and assessment are evaluated and resultant action is maintained and/or entered into vessel log as required</w:t>
            </w:r>
          </w:p>
        </w:tc>
      </w:tr>
    </w:tbl>
    <w:p w:rsidR="00000000" w:rsidRPr="007E37D6" w:rsidP="007E37D6">
      <w:pPr>
        <w:pStyle w:val="BodyText"/>
      </w:pPr>
    </w:p>
    <w:p w:rsidR="00000000" w:rsidRPr="007E37D6" w:rsidP="007E37D6">
      <w:pPr>
        <w:pStyle w:val="AllowPageBreak"/>
      </w:pPr>
    </w:p>
    <w:p w:rsidR="00000000" w:rsidRPr="007E37D6" w:rsidP="007E37D6">
      <w:pPr>
        <w:pStyle w:val="Heading1"/>
      </w:pPr>
      <w:bookmarkStart w:id="7" w:name="O_597780"/>
      <w:bookmarkEnd w:id="7"/>
      <w:r w:rsidRPr="007E37D6">
        <w:t>Foundation Skills</w:t>
      </w:r>
    </w:p>
    <w:tbl>
      <w:tblPr>
        <w:tblW w:w="9498" w:type="dxa"/>
        <w:tblLayout w:type="fixed"/>
        <w:tblCellMar>
          <w:left w:w="62" w:type="dxa"/>
          <w:right w:w="62" w:type="dxa"/>
        </w:tblCellMar>
        <w:tblLook w:val="0000"/>
      </w:tblPr>
      <w:tblGrid>
        <w:gridCol w:w="9498"/>
      </w:tblGrid>
      <w:tr w:rsidTr="007E37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This section describes those language, literacy, numeracy and employment skills that are essential to performance.</w:t>
            </w:r>
          </w:p>
        </w:tc>
      </w:tr>
      <w:tr w:rsidTr="007E37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t>Foundation skills essential to performance are explicit in the performance criteria of this unit of competency.</w:t>
            </w:r>
          </w:p>
        </w:tc>
      </w:tr>
    </w:tbl>
    <w:p w:rsidR="00000000" w:rsidRPr="007E37D6" w:rsidP="007E37D6">
      <w:pPr>
        <w:pStyle w:val="BodyText"/>
      </w:pPr>
    </w:p>
    <w:p w:rsidR="00000000" w:rsidRPr="007E37D6" w:rsidP="007E37D6">
      <w:pPr>
        <w:pStyle w:val="AllowPageBreak"/>
      </w:pPr>
    </w:p>
    <w:p w:rsidR="00000000" w:rsidRPr="007E37D6" w:rsidP="007E37D6">
      <w:pPr>
        <w:pStyle w:val="Heading1"/>
      </w:pPr>
      <w:bookmarkStart w:id="8" w:name="O_597781"/>
      <w:bookmarkEnd w:id="8"/>
      <w:r w:rsidRPr="007E37D6">
        <w:t xml:space="preserve">Range of </w:t>
      </w:r>
      <w:r w:rsidRPr="007E37D6">
        <w:t>Conditions</w:t>
      </w:r>
    </w:p>
    <w:tbl>
      <w:tblPr>
        <w:tblW w:w="9498" w:type="dxa"/>
        <w:tblLayout w:type="fixed"/>
        <w:tblCellMar>
          <w:left w:w="62" w:type="dxa"/>
          <w:right w:w="62" w:type="dxa"/>
        </w:tblCellMar>
        <w:tblLook w:val="0000"/>
      </w:tblPr>
      <w:tblGrid>
        <w:gridCol w:w="2735"/>
        <w:gridCol w:w="6763"/>
      </w:tblGrid>
      <w:tr w:rsidTr="002F72F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7E37D6" w:rsidP="007E37D6">
            <w:pPr>
              <w:pStyle w:val="BodyText"/>
            </w:pPr>
            <w:r w:rsidRPr="007E37D6">
              <w:t>Specifies different work environments and conditions that may affect performance. Essential operating conditions that may be present (depending on the work situation, needs of the candidate, accessibility of the item, and local industry and regi</w:t>
            </w:r>
            <w:r w:rsidRPr="007E37D6">
              <w:t>onal contexts) are included.</w:t>
            </w:r>
          </w:p>
          <w:p w:rsidR="00000000" w:rsidRPr="007E37D6" w:rsidP="007E37D6">
            <w:pPr>
              <w:pStyle w:val="BodyText"/>
            </w:pPr>
          </w:p>
          <w:p w:rsidR="00000000" w:rsidP="007E37D6">
            <w:pPr>
              <w:pStyle w:val="BodyText"/>
              <w:rPr>
                <w:lang w:val="en-NZ"/>
              </w:rPr>
            </w:pPr>
            <w:r w:rsidRPr="007E37D6">
              <w:t>Range is restricted to essential operating conditions and any other variables essential to the work environment.</w:t>
            </w: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E37D6" w:rsidP="007E37D6">
            <w:pPr>
              <w:pStyle w:val="ListBullet"/>
            </w:pPr>
            <w:r w:rsidRPr="007E37D6">
              <w:t>vessels up to 500 GT (in the case of a Master or Chief Mate)</w:t>
            </w:r>
          </w:p>
          <w:p w:rsidR="00000000" w:rsidRPr="007E37D6" w:rsidP="007E37D6">
            <w:pPr>
              <w:pStyle w:val="ListBullet"/>
            </w:pPr>
            <w:r w:rsidRPr="007E37D6">
              <w:t>vessels up to 3000 GT (in the case of a Watchkeeper)</w:t>
            </w:r>
          </w:p>
          <w:p w:rsidR="00000000" w:rsidP="007E37D6">
            <w:pPr>
              <w:pStyle w:val="ListBullet"/>
              <w:rPr>
                <w:lang w:val="en-NZ"/>
              </w:rPr>
            </w:pPr>
            <w:r w:rsidRPr="007E37D6">
              <w:t>vessels up to 3000 GT (in the case of a Master or Chief Mate) operating in near coastal operations</w:t>
            </w: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operations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E37D6" w:rsidP="007E37D6">
            <w:pPr>
              <w:pStyle w:val="ListBullet"/>
            </w:pPr>
            <w:r w:rsidRPr="007E37D6">
              <w:t>berthing and unberthing</w:t>
            </w:r>
          </w:p>
          <w:p w:rsidR="00000000" w:rsidRPr="007E37D6" w:rsidP="007E37D6">
            <w:pPr>
              <w:pStyle w:val="ListBullet"/>
            </w:pPr>
            <w:r w:rsidRPr="007E37D6">
              <w:t>bridge operations</w:t>
            </w:r>
          </w:p>
          <w:p w:rsidR="00000000" w:rsidRPr="007E37D6" w:rsidP="007E37D6">
            <w:pPr>
              <w:pStyle w:val="ListBullet"/>
            </w:pPr>
            <w:r w:rsidRPr="007E37D6">
              <w:t>cargo handling and care</w:t>
            </w:r>
          </w:p>
          <w:p w:rsidR="00000000" w:rsidRPr="007E37D6" w:rsidP="007E37D6">
            <w:pPr>
              <w:pStyle w:val="ListBullet"/>
            </w:pPr>
            <w:r w:rsidRPr="007E37D6">
              <w:t>catering operations</w:t>
            </w:r>
          </w:p>
          <w:p w:rsidR="00000000" w:rsidRPr="007E37D6" w:rsidP="007E37D6">
            <w:pPr>
              <w:pStyle w:val="ListBullet"/>
            </w:pPr>
            <w:r w:rsidRPr="007E37D6">
              <w:t>commercial operations (Australian and international regulations and conventions)</w:t>
            </w:r>
          </w:p>
          <w:p w:rsidR="00000000" w:rsidRPr="007E37D6" w:rsidP="007E37D6">
            <w:pPr>
              <w:pStyle w:val="ListBullet"/>
            </w:pPr>
            <w:r w:rsidRPr="007E37D6">
              <w:t>deck operations and maintenance</w:t>
            </w:r>
          </w:p>
          <w:p w:rsidR="00000000" w:rsidRPr="007E37D6" w:rsidP="007E37D6">
            <w:pPr>
              <w:pStyle w:val="ListBullet"/>
            </w:pPr>
            <w:r w:rsidRPr="007E37D6">
              <w:t>emergency and damage control operations</w:t>
            </w:r>
          </w:p>
          <w:p w:rsidR="00000000" w:rsidRPr="007E37D6" w:rsidP="007E37D6">
            <w:pPr>
              <w:pStyle w:val="ListBullet"/>
            </w:pPr>
            <w:r w:rsidRPr="007E37D6">
              <w:t>engine room operations and maintenance</w:t>
            </w:r>
          </w:p>
          <w:p w:rsidR="00000000" w:rsidRPr="007E37D6" w:rsidP="007E37D6">
            <w:pPr>
              <w:pStyle w:val="ListBullet"/>
            </w:pPr>
            <w:r w:rsidRPr="007E37D6">
              <w:t>mooring operations</w:t>
            </w:r>
          </w:p>
          <w:p w:rsidR="00000000" w:rsidRPr="007E37D6" w:rsidP="007E37D6">
            <w:pPr>
              <w:pStyle w:val="ListBullet"/>
            </w:pPr>
            <w:r w:rsidRPr="007E37D6">
              <w:t>n</w:t>
            </w:r>
            <w:r w:rsidRPr="007E37D6">
              <w:t>avigation</w:t>
            </w:r>
          </w:p>
          <w:p w:rsidR="00000000" w:rsidRPr="007E37D6" w:rsidP="007E37D6">
            <w:pPr>
              <w:pStyle w:val="ListBullet"/>
            </w:pPr>
            <w:r w:rsidRPr="007E37D6">
              <w:t>passenger service operations</w:t>
            </w:r>
          </w:p>
          <w:p w:rsidR="00000000" w:rsidRPr="007E37D6" w:rsidP="007E37D6">
            <w:pPr>
              <w:pStyle w:val="ListBullet"/>
            </w:pPr>
            <w:r w:rsidRPr="007E37D6">
              <w:t xml:space="preserve">personnel training </w:t>
            </w:r>
          </w:p>
          <w:p w:rsidR="00000000" w:rsidRPr="007E37D6" w:rsidP="007E37D6">
            <w:pPr>
              <w:pStyle w:val="ListBullet"/>
            </w:pPr>
            <w:r w:rsidRPr="007E37D6">
              <w:t>pollution control operations</w:t>
            </w:r>
          </w:p>
          <w:p w:rsidR="00000000" w:rsidRPr="007E37D6" w:rsidP="007E37D6">
            <w:pPr>
              <w:pStyle w:val="ListBullet"/>
            </w:pPr>
            <w:r w:rsidRPr="007E37D6">
              <w:t>radio operations</w:t>
            </w:r>
          </w:p>
          <w:p w:rsidR="00000000" w:rsidRPr="007E37D6" w:rsidP="007E37D6">
            <w:pPr>
              <w:pStyle w:val="ListBullet"/>
            </w:pPr>
            <w:r w:rsidRPr="007E37D6">
              <w:t>safety/emergency drills</w:t>
            </w:r>
          </w:p>
          <w:p w:rsidR="00000000" w:rsidRPr="007E37D6" w:rsidP="007E37D6">
            <w:pPr>
              <w:pStyle w:val="ListBullet"/>
            </w:pPr>
            <w:r w:rsidRPr="007E37D6">
              <w:t>slipping operations</w:t>
            </w:r>
          </w:p>
          <w:p w:rsidR="00000000" w:rsidP="007E37D6">
            <w:pPr>
              <w:pStyle w:val="ListBullet"/>
              <w:rPr>
                <w:lang w:val="en-NZ"/>
              </w:rPr>
            </w:pPr>
            <w:r w:rsidRPr="007E37D6">
              <w:t>state port control</w:t>
            </w: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Laws and regulations pertaining to ves</w:t>
            </w:r>
            <w:r w:rsidRPr="007E37D6">
              <w:t>sel operations and contingencies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E37D6" w:rsidP="007E37D6">
            <w:pPr>
              <w:pStyle w:val="ListBullet"/>
            </w:pPr>
            <w:r w:rsidRPr="007E37D6">
              <w:t>agency</w:t>
            </w:r>
          </w:p>
          <w:p w:rsidR="00000000" w:rsidRPr="007E37D6" w:rsidP="007E37D6">
            <w:pPr>
              <w:pStyle w:val="ListBullet"/>
            </w:pPr>
            <w:r w:rsidRPr="007E37D6">
              <w:t>customs and quarantine</w:t>
            </w:r>
          </w:p>
          <w:p w:rsidR="00000000" w:rsidRPr="007E37D6" w:rsidP="007E37D6">
            <w:pPr>
              <w:pStyle w:val="ListBullet"/>
            </w:pPr>
            <w:r w:rsidRPr="007E37D6">
              <w:t>deaths and disappearances</w:t>
            </w:r>
          </w:p>
          <w:p w:rsidR="00000000" w:rsidRPr="007E37D6" w:rsidP="007E37D6">
            <w:pPr>
              <w:pStyle w:val="ListBullet"/>
            </w:pPr>
            <w:r w:rsidRPr="007E37D6">
              <w:t>drugs</w:t>
            </w:r>
          </w:p>
          <w:p w:rsidR="00000000" w:rsidRPr="007E37D6" w:rsidP="007E37D6">
            <w:pPr>
              <w:pStyle w:val="ListBullet"/>
            </w:pPr>
            <w:r w:rsidRPr="007E37D6">
              <w:t>immigration</w:t>
            </w:r>
          </w:p>
          <w:p w:rsidR="00000000" w:rsidRPr="007E37D6" w:rsidP="007E37D6">
            <w:pPr>
              <w:pStyle w:val="ListBullet"/>
            </w:pPr>
            <w:r w:rsidRPr="007E37D6">
              <w:t>marine pollution (Australian laws and IMO conventions)</w:t>
            </w:r>
          </w:p>
          <w:p w:rsidR="00000000" w:rsidRPr="007E37D6" w:rsidP="007E37D6">
            <w:pPr>
              <w:pStyle w:val="ListBullet"/>
            </w:pPr>
            <w:r w:rsidRPr="007E37D6">
              <w:t>operational safety (Australian regulations and IMO conventions)</w:t>
            </w:r>
          </w:p>
          <w:p w:rsidR="00000000" w:rsidRPr="007E37D6" w:rsidP="007E37D6">
            <w:pPr>
              <w:pStyle w:val="ListBullet"/>
            </w:pPr>
            <w:r w:rsidRPr="007E37D6">
              <w:t xml:space="preserve">security and anti-terrorism </w:t>
            </w:r>
          </w:p>
          <w:p w:rsidR="00000000" w:rsidRPr="007E37D6" w:rsidP="007E37D6">
            <w:pPr>
              <w:pStyle w:val="ListBullet"/>
            </w:pPr>
            <w:r w:rsidRPr="007E37D6">
              <w:t>smuggling and piracy</w:t>
            </w:r>
          </w:p>
          <w:p w:rsidR="00000000" w:rsidRPr="007E37D6" w:rsidP="007E37D6">
            <w:pPr>
              <w:pStyle w:val="ListBullet"/>
            </w:pPr>
            <w:r w:rsidRPr="007E37D6">
              <w:t>stowaways and refugees</w:t>
            </w:r>
          </w:p>
          <w:p w:rsidR="00000000" w:rsidP="007E37D6">
            <w:pPr>
              <w:pStyle w:val="ListBullet"/>
              <w:rPr>
                <w:lang w:val="en-NZ"/>
              </w:rPr>
            </w:pPr>
            <w:r w:rsidRPr="007E37D6">
              <w:t>wrecks, salvage and towage</w:t>
            </w: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inventory of plant, equipment and other physical resources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E37D6" w:rsidP="007E37D6">
            <w:pPr>
              <w:pStyle w:val="ListBullet"/>
            </w:pPr>
            <w:r w:rsidRPr="007E37D6">
              <w:t>recording resources that are:</w:t>
            </w:r>
          </w:p>
          <w:p w:rsidR="00000000" w:rsidRPr="007E37D6" w:rsidP="007E37D6">
            <w:pPr>
              <w:pStyle w:val="ListBullet2"/>
            </w:pPr>
            <w:r w:rsidRPr="007E37D6">
              <w:t>faulty</w:t>
            </w:r>
          </w:p>
          <w:p w:rsidR="00000000" w:rsidRPr="007E37D6" w:rsidP="007E37D6">
            <w:pPr>
              <w:pStyle w:val="ListBullet2"/>
            </w:pPr>
            <w:r w:rsidRPr="007E37D6">
              <w:t xml:space="preserve">worn </w:t>
            </w:r>
          </w:p>
          <w:p w:rsidR="00000000" w:rsidP="007E37D6">
            <w:pPr>
              <w:pStyle w:val="ListBullet2"/>
              <w:rPr>
                <w:lang w:val="en-NZ"/>
              </w:rPr>
            </w:pPr>
            <w:r w:rsidRPr="007E37D6">
              <w:t>damaged</w:t>
            </w: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Vessel physical resources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E37D6" w:rsidP="007E37D6">
            <w:pPr>
              <w:pStyle w:val="ListBullet"/>
            </w:pPr>
            <w:r w:rsidRPr="007E37D6">
              <w:t>accommodation equipment and facilities</w:t>
            </w:r>
          </w:p>
          <w:p w:rsidR="00000000" w:rsidRPr="007E37D6" w:rsidP="007E37D6">
            <w:pPr>
              <w:pStyle w:val="ListBullet"/>
            </w:pPr>
            <w:r w:rsidRPr="007E37D6">
              <w:t>bridge equipment and resources</w:t>
            </w:r>
          </w:p>
          <w:p w:rsidR="00000000" w:rsidRPr="007E37D6" w:rsidP="007E37D6">
            <w:pPr>
              <w:pStyle w:val="ListBullet"/>
            </w:pPr>
            <w:r w:rsidRPr="007E37D6">
              <w:t>catering equipment and facilities</w:t>
            </w:r>
          </w:p>
          <w:p w:rsidR="00000000" w:rsidRPr="007E37D6" w:rsidP="007E37D6">
            <w:pPr>
              <w:pStyle w:val="ListBullet"/>
            </w:pPr>
            <w:r w:rsidRPr="007E37D6">
              <w:t>documents and certification</w:t>
            </w:r>
          </w:p>
          <w:p w:rsidR="00000000" w:rsidRPr="007E37D6" w:rsidP="007E37D6">
            <w:pPr>
              <w:pStyle w:val="ListBullet"/>
            </w:pPr>
            <w:r w:rsidRPr="007E37D6">
              <w:t>engine room propulsion plant and equipment and related auxiliary systems</w:t>
            </w:r>
          </w:p>
          <w:p w:rsidR="00000000" w:rsidRPr="007E37D6" w:rsidP="007E37D6">
            <w:pPr>
              <w:pStyle w:val="ListBullet"/>
            </w:pPr>
            <w:r w:rsidRPr="007E37D6">
              <w:t>navigation charts, marine publications, manufacture</w:t>
            </w:r>
            <w:r w:rsidRPr="007E37D6">
              <w:t>r manuals and other reference documentation</w:t>
            </w:r>
          </w:p>
          <w:p w:rsidR="00000000" w:rsidRPr="007E37D6" w:rsidP="007E37D6">
            <w:pPr>
              <w:pStyle w:val="ListBullet"/>
            </w:pPr>
            <w:r w:rsidRPr="007E37D6">
              <w:t>radio equipment and facilities</w:t>
            </w:r>
          </w:p>
          <w:p w:rsidR="00000000" w:rsidRPr="007E37D6" w:rsidP="007E37D6">
            <w:pPr>
              <w:pStyle w:val="ListBullet"/>
            </w:pPr>
            <w:r w:rsidRPr="007E37D6">
              <w:t>tools and maintenance equipment</w:t>
            </w:r>
          </w:p>
          <w:p w:rsidR="00000000" w:rsidRPr="007E37D6" w:rsidP="007E37D6">
            <w:pPr>
              <w:pStyle w:val="ListBullet"/>
            </w:pPr>
            <w:r w:rsidRPr="007E37D6">
              <w:t>vessel deck equipment, fittings and related systems</w:t>
            </w:r>
          </w:p>
          <w:p w:rsidR="00000000" w:rsidP="007E37D6">
            <w:pPr>
              <w:pStyle w:val="ListBullet"/>
              <w:rPr>
                <w:lang w:val="en-NZ"/>
              </w:rPr>
            </w:pPr>
            <w:r w:rsidRPr="007E37D6">
              <w:t>vessel structures and fittings</w:t>
            </w: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p>
        </w:tc>
      </w:tr>
      <w:tr w:rsidTr="002F72F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E37D6">
            <w:pPr>
              <w:pStyle w:val="BodyText"/>
              <w:rPr>
                <w:lang w:val="en-NZ"/>
              </w:rPr>
            </w:pPr>
            <w:r w:rsidRPr="007E37D6">
              <w:t>Training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7E37D6" w:rsidP="007E37D6">
            <w:pPr>
              <w:pStyle w:val="ListBullet"/>
            </w:pPr>
            <w:r w:rsidRPr="007E37D6">
              <w:t>distance learning for shipboard personnel</w:t>
            </w:r>
          </w:p>
          <w:p w:rsidR="00000000" w:rsidRPr="007E37D6" w:rsidP="007E37D6">
            <w:pPr>
              <w:pStyle w:val="ListBullet"/>
            </w:pPr>
            <w:r w:rsidRPr="007E37D6">
              <w:t>onboard:</w:t>
            </w:r>
          </w:p>
          <w:p w:rsidR="00000000" w:rsidRPr="007E37D6" w:rsidP="007E37D6">
            <w:pPr>
              <w:pStyle w:val="ListBullet2"/>
            </w:pPr>
            <w:r w:rsidRPr="007E37D6">
              <w:t>group training activities</w:t>
            </w:r>
          </w:p>
          <w:p w:rsidR="00000000" w:rsidRPr="007E37D6" w:rsidP="007E37D6">
            <w:pPr>
              <w:pStyle w:val="ListBullet2"/>
            </w:pPr>
            <w:r w:rsidRPr="007E37D6">
              <w:t>individual instruction</w:t>
            </w:r>
          </w:p>
          <w:p w:rsidR="00000000" w:rsidRPr="007E37D6" w:rsidP="007E37D6">
            <w:pPr>
              <w:pStyle w:val="ListBullet"/>
            </w:pPr>
            <w:r w:rsidRPr="007E37D6">
              <w:t>shipboard drills required by regulations or company policies</w:t>
            </w:r>
          </w:p>
          <w:p w:rsidR="00000000" w:rsidRPr="007E37D6" w:rsidP="007E37D6">
            <w:pPr>
              <w:pStyle w:val="ListBullet"/>
            </w:pPr>
            <w:r w:rsidRPr="007E37D6">
              <w:t>shore-based training for shipboard personnel</w:t>
            </w:r>
          </w:p>
        </w:tc>
      </w:tr>
    </w:tbl>
    <w:p w:rsidR="00000000" w:rsidRPr="007E37D6" w:rsidP="007E37D6">
      <w:pPr>
        <w:pStyle w:val="BodyText"/>
      </w:pPr>
    </w:p>
    <w:p w:rsidR="00000000" w:rsidRPr="007E37D6" w:rsidP="007E37D6">
      <w:pPr>
        <w:pStyle w:val="AllowPageBreak"/>
      </w:pPr>
    </w:p>
    <w:p w:rsidR="00000000" w:rsidRPr="007E37D6" w:rsidP="007E37D6">
      <w:pPr>
        <w:pStyle w:val="Heading1"/>
      </w:pPr>
      <w:bookmarkStart w:id="9" w:name="O_597782"/>
      <w:bookmarkEnd w:id="9"/>
      <w:r w:rsidRPr="007E37D6">
        <w:t>Unit Mapping Information</w:t>
      </w:r>
    </w:p>
    <w:p w:rsidR="00000000" w:rsidRPr="007E37D6" w:rsidP="002F72FB">
      <w:pPr>
        <w:pStyle w:val="BodyText"/>
      </w:pPr>
      <w:r w:rsidRPr="007E37D6">
        <w:t>This is a new unit. This unit is equivalent to MARD5001A Manage business and administration on vessels limited by tonnage or near coastal operations.</w:t>
      </w:r>
    </w:p>
    <w:p w:rsidR="00000000" w:rsidRPr="007E37D6" w:rsidP="007E37D6">
      <w:pPr>
        <w:pStyle w:val="Heading1"/>
      </w:pPr>
      <w:bookmarkStart w:id="10" w:name="O_597789"/>
      <w:bookmarkEnd w:id="10"/>
      <w:r w:rsidRPr="007E37D6">
        <w:t>Links</w:t>
      </w:r>
    </w:p>
    <w:p w:rsidR="00000000" w:rsidRPr="007E37D6" w:rsidP="002F72FB">
      <w:pPr>
        <w:pStyle w:val="BodyText"/>
      </w:pPr>
      <w:r w:rsidRPr="007E37D6">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429A6">
        <w:rPr>
          <w:rStyle w:val="Hyperlink"/>
        </w:rPr>
        <w:t>https://vetnet.gov.au/Pages/TrainingDocs.aspx?q=772efb7b-4cce-47fe-9bbd-ee3b1d1eb4c2</w:t>
      </w:r>
      <w:r>
        <w:fldChar w:fldCharType="end"/>
      </w:r>
    </w:p>
    <w:p w:rsidR="00000000" w:rsidRPr="007E37D6" w:rsidP="007E37D6"/>
    <w:sectPr w:rsidSect="007E37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D6" w:rsidRPr="002F72FB" w:rsidP="002F7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FB" w:rsidP="007E37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F72FB" w:rsidP="007E37D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72FB" w:rsidP="007E37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37D6" w:rsidRPr="002F72FB" w:rsidP="002F7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7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2FB" w:rsidRPr="002D2AF8" w:rsidP="007E37D6">
    <w:pPr>
      <w:pStyle w:val="Header"/>
      <w:framePr w:wrap="around"/>
    </w:pPr>
    <w:r>
      <w:fldChar w:fldCharType="begin"/>
    </w:r>
    <w:r>
      <w:instrText xml:space="preserve"> TITLE   \* MERGEFORMAT </w:instrText>
    </w:r>
    <w:r>
      <w:fldChar w:fldCharType="separate"/>
    </w:r>
    <w:r>
      <w:t>MARD001 Manage business and administration on vessels limited by tonnage or near coastal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F72FB" w:rsidP="007E37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A48F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3E1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2D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7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37D6"/>
    <w:pPr>
      <w:spacing w:before="360" w:after="60"/>
      <w:outlineLvl w:val="0"/>
    </w:pPr>
    <w:rPr>
      <w:sz w:val="32"/>
    </w:rPr>
  </w:style>
  <w:style w:type="paragraph" w:styleId="Heading2">
    <w:name w:val="heading 2"/>
    <w:basedOn w:val="HeadingBase"/>
    <w:next w:val="BodyText"/>
    <w:link w:val="Heading2Char"/>
    <w:qFormat/>
    <w:rsid w:val="007E37D6"/>
    <w:pPr>
      <w:keepLines/>
      <w:spacing w:before="240" w:after="120"/>
      <w:outlineLvl w:val="1"/>
    </w:pPr>
    <w:rPr>
      <w:sz w:val="28"/>
      <w:szCs w:val="40"/>
    </w:rPr>
  </w:style>
  <w:style w:type="paragraph" w:styleId="Heading3">
    <w:name w:val="heading 3"/>
    <w:basedOn w:val="HeadingBase"/>
    <w:next w:val="BodyText"/>
    <w:link w:val="Heading3Char"/>
    <w:qFormat/>
    <w:rsid w:val="007E37D6"/>
    <w:pPr>
      <w:spacing w:before="180" w:after="120"/>
      <w:outlineLvl w:val="2"/>
    </w:pPr>
    <w:rPr>
      <w:spacing w:val="-10"/>
      <w:kern w:val="32"/>
    </w:rPr>
  </w:style>
  <w:style w:type="paragraph" w:styleId="Heading4">
    <w:name w:val="heading 4"/>
    <w:basedOn w:val="HeadingBase"/>
    <w:next w:val="BodyText"/>
    <w:link w:val="Heading4Char"/>
    <w:qFormat/>
    <w:rsid w:val="007E37D6"/>
    <w:pPr>
      <w:spacing w:before="160" w:after="120"/>
      <w:outlineLvl w:val="3"/>
    </w:pPr>
    <w:rPr>
      <w:sz w:val="22"/>
    </w:rPr>
  </w:style>
  <w:style w:type="paragraph" w:styleId="Heading5">
    <w:name w:val="heading 5"/>
    <w:basedOn w:val="HeadingBase"/>
    <w:next w:val="Normal"/>
    <w:link w:val="Heading5Char"/>
    <w:qFormat/>
    <w:rsid w:val="007E37D6"/>
    <w:pPr>
      <w:spacing w:before="80"/>
      <w:outlineLvl w:val="4"/>
    </w:pPr>
    <w:rPr>
      <w:color w:val="918585"/>
      <w:sz w:val="20"/>
    </w:rPr>
  </w:style>
  <w:style w:type="paragraph" w:styleId="Heading6">
    <w:name w:val="heading 6"/>
    <w:basedOn w:val="HeadingBase"/>
    <w:next w:val="Normal"/>
    <w:link w:val="Heading6Char"/>
    <w:qFormat/>
    <w:rsid w:val="007E37D6"/>
    <w:pPr>
      <w:spacing w:before="60"/>
      <w:outlineLvl w:val="5"/>
    </w:pPr>
    <w:rPr>
      <w:color w:val="918585"/>
      <w:sz w:val="20"/>
    </w:rPr>
  </w:style>
  <w:style w:type="paragraph" w:styleId="Heading7">
    <w:name w:val="heading 7"/>
    <w:basedOn w:val="Normal"/>
    <w:next w:val="Normal"/>
    <w:link w:val="Heading7Char"/>
    <w:qFormat/>
    <w:rsid w:val="007E37D6"/>
    <w:pPr>
      <w:ind w:left="720"/>
      <w:outlineLvl w:val="6"/>
    </w:pPr>
    <w:rPr>
      <w:i/>
    </w:rPr>
  </w:style>
  <w:style w:type="paragraph" w:styleId="Heading8">
    <w:name w:val="heading 8"/>
    <w:basedOn w:val="Normal"/>
    <w:next w:val="Normal"/>
    <w:link w:val="Heading8Char"/>
    <w:qFormat/>
    <w:rsid w:val="007E37D6"/>
    <w:pPr>
      <w:ind w:left="720"/>
      <w:outlineLvl w:val="7"/>
    </w:pPr>
    <w:rPr>
      <w:i/>
    </w:rPr>
  </w:style>
  <w:style w:type="paragraph" w:styleId="Heading9">
    <w:name w:val="heading 9"/>
    <w:basedOn w:val="Normal"/>
    <w:next w:val="Normal"/>
    <w:link w:val="Heading9Char"/>
    <w:qFormat/>
    <w:rsid w:val="007E37D6"/>
    <w:pPr>
      <w:ind w:left="720"/>
      <w:outlineLvl w:val="8"/>
    </w:pPr>
    <w:rPr>
      <w:i/>
    </w:rPr>
  </w:style>
  <w:style w:type="character" w:default="1" w:styleId="DefaultParagraphFont">
    <w:name w:val="Default Paragraph Font"/>
    <w:uiPriority w:val="1"/>
    <w:unhideWhenUsed/>
    <w:rsid w:val="007E37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7D6"/>
  </w:style>
  <w:style w:type="character" w:customStyle="1" w:styleId="Heading1Char">
    <w:name w:val="Heading 1 Char"/>
    <w:basedOn w:val="DefaultParagraphFont"/>
    <w:link w:val="Heading1"/>
    <w:rsid w:val="007E37D6"/>
    <w:rPr>
      <w:rFonts w:ascii="Times New Roman" w:eastAsia="Times New Roman" w:hAnsi="Times New Roman" w:cs="Times New Roman"/>
      <w:b/>
      <w:sz w:val="32"/>
      <w:szCs w:val="20"/>
      <w:lang w:eastAsia="en-US"/>
    </w:rPr>
  </w:style>
  <w:style w:type="paragraph" w:styleId="BodyText">
    <w:name w:val="Body Text"/>
    <w:basedOn w:val="Normal"/>
    <w:link w:val="BodyTextChar"/>
    <w:rsid w:val="007E37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37D6"/>
    <w:rPr>
      <w:rFonts w:ascii="Times New Roman" w:eastAsia="Times New Roman" w:hAnsi="Times New Roman" w:cs="Times New Roman"/>
      <w:sz w:val="24"/>
      <w:lang w:eastAsia="en-US"/>
    </w:rPr>
  </w:style>
  <w:style w:type="paragraph" w:styleId="ListBullet">
    <w:name w:val="List Bullet"/>
    <w:basedOn w:val="List"/>
    <w:rsid w:val="007E37D6"/>
    <w:pPr>
      <w:numPr>
        <w:numId w:val="12"/>
      </w:numPr>
      <w:tabs>
        <w:tab w:val="clear" w:pos="340"/>
      </w:tabs>
      <w:spacing w:before="40" w:after="40"/>
    </w:pPr>
  </w:style>
  <w:style w:type="character" w:customStyle="1" w:styleId="SpecialBold">
    <w:name w:val="Special Bold"/>
    <w:basedOn w:val="DefaultParagraphFont"/>
    <w:rsid w:val="007E37D6"/>
    <w:rPr>
      <w:b/>
      <w:spacing w:val="0"/>
    </w:rPr>
  </w:style>
  <w:style w:type="paragraph" w:styleId="ListBullet2">
    <w:name w:val="List Bullet 2"/>
    <w:basedOn w:val="List2"/>
    <w:rsid w:val="007E37D6"/>
    <w:pPr>
      <w:numPr>
        <w:numId w:val="13"/>
      </w:numPr>
      <w:tabs>
        <w:tab w:val="clear" w:pos="680"/>
      </w:tabs>
    </w:pPr>
  </w:style>
  <w:style w:type="paragraph" w:customStyle="1" w:styleId="SuperHeading">
    <w:name w:val="SuperHeading"/>
    <w:basedOn w:val="Normal"/>
    <w:rsid w:val="007E37D6"/>
    <w:pPr>
      <w:spacing w:before="240" w:after="120"/>
      <w:outlineLvl w:val="0"/>
    </w:pPr>
    <w:rPr>
      <w:rFonts w:ascii="Times New Roman" w:hAnsi="Times New Roman"/>
      <w:b/>
      <w:sz w:val="32"/>
    </w:rPr>
  </w:style>
  <w:style w:type="paragraph" w:customStyle="1" w:styleId="AllowPageBreak">
    <w:name w:val="AllowPageBreak"/>
    <w:rsid w:val="007E37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37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37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37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37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37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7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37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37D6"/>
    <w:rPr>
      <w:rFonts w:ascii="Courier New" w:eastAsia="Times New Roman" w:hAnsi="Courier New" w:cs="Times New Roman"/>
      <w:i/>
      <w:szCs w:val="20"/>
      <w:lang w:eastAsia="en-US"/>
    </w:rPr>
  </w:style>
  <w:style w:type="paragraph" w:customStyle="1" w:styleId="HeadingBase">
    <w:name w:val="Heading Base"/>
    <w:rsid w:val="007E37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7D6"/>
    <w:pPr>
      <w:tabs>
        <w:tab w:val="right" w:leader="dot" w:pos="9072"/>
      </w:tabs>
      <w:ind w:left="567"/>
    </w:pPr>
    <w:rPr>
      <w:szCs w:val="22"/>
    </w:rPr>
  </w:style>
  <w:style w:type="paragraph" w:customStyle="1" w:styleId="TOCBase">
    <w:name w:val="TOC Base"/>
    <w:rsid w:val="007E37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7D6"/>
    <w:pPr>
      <w:tabs>
        <w:tab w:val="right" w:leader="dot" w:pos="9072"/>
      </w:tabs>
      <w:spacing w:before="40" w:after="40"/>
      <w:ind w:left="284"/>
    </w:pPr>
    <w:rPr>
      <w:rFonts w:ascii="Times New Roman" w:hAnsi="Times New Roman"/>
    </w:rPr>
  </w:style>
  <w:style w:type="paragraph" w:styleId="TOC1">
    <w:name w:val="toc 1"/>
    <w:basedOn w:val="TOCBase"/>
    <w:next w:val="Normal"/>
    <w:rsid w:val="007E37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37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37D6"/>
    <w:rPr>
      <w:rFonts w:ascii="Times New Roman" w:eastAsia="Times New Roman" w:hAnsi="Times New Roman" w:cs="Times New Roman"/>
      <w:sz w:val="16"/>
      <w:lang w:eastAsia="en-US"/>
    </w:rPr>
  </w:style>
  <w:style w:type="paragraph" w:styleId="Title">
    <w:name w:val="Title"/>
    <w:basedOn w:val="HeadingBase"/>
    <w:link w:val="TitleChar"/>
    <w:qFormat/>
    <w:rsid w:val="007E37D6"/>
    <w:pPr>
      <w:spacing w:before="5040"/>
      <w:jc w:val="center"/>
    </w:pPr>
    <w:rPr>
      <w:sz w:val="48"/>
      <w:szCs w:val="72"/>
      <w:lang w:val="en-US"/>
    </w:rPr>
  </w:style>
  <w:style w:type="character" w:customStyle="1" w:styleId="TitleChar">
    <w:name w:val="Title Char"/>
    <w:basedOn w:val="DefaultParagraphFont"/>
    <w:link w:val="Title"/>
    <w:rsid w:val="007E37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7D6"/>
    <w:pPr>
      <w:tabs>
        <w:tab w:val="left" w:pos="3600"/>
        <w:tab w:val="left" w:pos="3958"/>
      </w:tabs>
    </w:pPr>
  </w:style>
  <w:style w:type="paragraph" w:styleId="List">
    <w:name w:val="List"/>
    <w:basedOn w:val="BodyText"/>
    <w:next w:val="BodyText"/>
    <w:rsid w:val="007E37D6"/>
    <w:pPr>
      <w:tabs>
        <w:tab w:val="left" w:pos="340"/>
      </w:tabs>
      <w:spacing w:before="60" w:after="60"/>
      <w:ind w:left="340" w:hanging="340"/>
    </w:pPr>
  </w:style>
  <w:style w:type="paragraph" w:customStyle="1" w:styleId="Note">
    <w:name w:val="Note"/>
    <w:basedOn w:val="BodyText"/>
    <w:rsid w:val="007E37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7D6"/>
    <w:pPr>
      <w:framePr w:wrap="auto" w:hAnchor="text" w:y="6049"/>
    </w:pPr>
    <w:rPr>
      <w:color w:val="000000"/>
      <w:sz w:val="40"/>
    </w:rPr>
  </w:style>
  <w:style w:type="paragraph" w:customStyle="1" w:styleId="TOCTitle">
    <w:name w:val="TOCTitle"/>
    <w:basedOn w:val="Heading1"/>
    <w:rsid w:val="007E37D6"/>
    <w:pPr>
      <w:spacing w:after="240"/>
      <w:jc w:val="center"/>
      <w:outlineLvl w:val="9"/>
    </w:pPr>
    <w:rPr>
      <w:caps/>
    </w:rPr>
  </w:style>
  <w:style w:type="paragraph" w:customStyle="1" w:styleId="Version">
    <w:name w:val="Version"/>
    <w:rsid w:val="007E37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37D6"/>
    <w:pPr>
      <w:keepNext w:val="0"/>
      <w:tabs>
        <w:tab w:val="right" w:pos="4176"/>
      </w:tabs>
      <w:ind w:left="198" w:hanging="198"/>
    </w:pPr>
    <w:rPr>
      <w:rFonts w:ascii="Garamond" w:hAnsi="Garamond"/>
    </w:rPr>
  </w:style>
  <w:style w:type="paragraph" w:styleId="IndexHeading">
    <w:name w:val="index heading"/>
    <w:basedOn w:val="Normal"/>
    <w:next w:val="Index1"/>
    <w:semiHidden/>
    <w:rsid w:val="007E37D6"/>
    <w:pPr>
      <w:spacing w:before="120" w:after="120"/>
    </w:pPr>
    <w:rPr>
      <w:rFonts w:ascii="Arial" w:hAnsi="Arial"/>
      <w:b/>
      <w:color w:val="918585"/>
      <w:sz w:val="24"/>
    </w:rPr>
  </w:style>
  <w:style w:type="paragraph" w:styleId="Header">
    <w:name w:val="header"/>
    <w:basedOn w:val="Normal"/>
    <w:link w:val="HeaderChar"/>
    <w:rsid w:val="007E37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37D6"/>
    <w:rPr>
      <w:rFonts w:ascii="Times New Roman" w:eastAsia="Times New Roman" w:hAnsi="Times New Roman" w:cs="Times New Roman"/>
      <w:sz w:val="16"/>
      <w:szCs w:val="20"/>
      <w:lang w:val="en-GB" w:eastAsia="en-US"/>
    </w:rPr>
  </w:style>
  <w:style w:type="paragraph" w:customStyle="1" w:styleId="Chapter">
    <w:name w:val="Chapter"/>
    <w:basedOn w:val="Normal"/>
    <w:rsid w:val="007E37D6"/>
    <w:pPr>
      <w:spacing w:before="240"/>
    </w:pPr>
    <w:rPr>
      <w:rFonts w:ascii="Times New Roman" w:hAnsi="Times New Roman"/>
      <w:smallCaps/>
      <w:spacing w:val="80"/>
      <w:sz w:val="28"/>
    </w:rPr>
  </w:style>
  <w:style w:type="paragraph" w:customStyle="1" w:styleId="InChapter">
    <w:name w:val="InChapter"/>
    <w:basedOn w:val="Heading3"/>
    <w:rsid w:val="007E37D6"/>
    <w:pPr>
      <w:spacing w:after="240"/>
      <w:outlineLvl w:val="9"/>
    </w:pPr>
    <w:rPr>
      <w:noProof/>
    </w:rPr>
  </w:style>
  <w:style w:type="paragraph" w:styleId="Index2">
    <w:name w:val="index 2"/>
    <w:basedOn w:val="Normal"/>
    <w:next w:val="Normal"/>
    <w:semiHidden/>
    <w:rsid w:val="007E37D6"/>
    <w:pPr>
      <w:tabs>
        <w:tab w:val="right" w:pos="4176"/>
      </w:tabs>
      <w:ind w:left="568" w:hanging="284"/>
    </w:pPr>
    <w:rPr>
      <w:rFonts w:ascii="Garamond" w:hAnsi="Garamond"/>
    </w:rPr>
  </w:style>
  <w:style w:type="paragraph" w:customStyle="1" w:styleId="Byline">
    <w:name w:val="Byline"/>
    <w:rsid w:val="007E37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7D6"/>
    <w:pPr>
      <w:tabs>
        <w:tab w:val="clear" w:pos="3600"/>
        <w:tab w:val="clear" w:pos="3958"/>
      </w:tabs>
      <w:jc w:val="right"/>
    </w:pPr>
  </w:style>
  <w:style w:type="character" w:styleId="Emphasis">
    <w:name w:val="Emphasis"/>
    <w:basedOn w:val="DefaultParagraphFont"/>
    <w:qFormat/>
    <w:rsid w:val="007E37D6"/>
    <w:rPr>
      <w:i/>
    </w:rPr>
  </w:style>
  <w:style w:type="paragraph" w:styleId="Caption">
    <w:name w:val="caption"/>
    <w:basedOn w:val="BodyText"/>
    <w:next w:val="Normal"/>
    <w:qFormat/>
    <w:rsid w:val="007E37D6"/>
    <w:pPr>
      <w:framePr w:w="2268" w:hSpace="181" w:vSpace="181" w:wrap="around" w:vAnchor="text" w:hAnchor="page" w:x="1135" w:y="285" w:anchorLock="1"/>
    </w:pPr>
    <w:rPr>
      <w:i/>
    </w:rPr>
  </w:style>
  <w:style w:type="paragraph" w:customStyle="1" w:styleId="MiniTOCTitle">
    <w:name w:val="MiniTOCTitle"/>
    <w:basedOn w:val="Heading4"/>
    <w:rsid w:val="007E37D6"/>
    <w:pPr>
      <w:spacing w:before="240"/>
      <w:outlineLvl w:val="9"/>
    </w:pPr>
    <w:rPr>
      <w:noProof/>
      <w:sz w:val="24"/>
    </w:rPr>
  </w:style>
  <w:style w:type="paragraph" w:customStyle="1" w:styleId="MiniTOCItem">
    <w:name w:val="MiniTOCItem"/>
    <w:basedOn w:val="ListBullet"/>
    <w:rsid w:val="007E37D6"/>
    <w:pPr>
      <w:numPr>
        <w:numId w:val="0"/>
      </w:numPr>
      <w:tabs>
        <w:tab w:val="right" w:leader="dot" w:pos="6521"/>
      </w:tabs>
      <w:spacing w:before="0" w:after="0"/>
    </w:pPr>
  </w:style>
  <w:style w:type="paragraph" w:customStyle="1" w:styleId="TOFTitle">
    <w:name w:val="TOFTitle"/>
    <w:basedOn w:val="TOCTitle"/>
    <w:rsid w:val="007E37D6"/>
  </w:style>
  <w:style w:type="paragraph" w:styleId="TableofFigures">
    <w:name w:val="table of figures"/>
    <w:basedOn w:val="Normal"/>
    <w:next w:val="Normal"/>
    <w:semiHidden/>
    <w:rsid w:val="007E37D6"/>
    <w:pPr>
      <w:tabs>
        <w:tab w:val="right" w:leader="dot" w:pos="9072"/>
      </w:tabs>
      <w:ind w:left="970" w:hanging="403"/>
    </w:pPr>
    <w:rPr>
      <w:rFonts w:ascii="Times New Roman" w:hAnsi="Times New Roman"/>
      <w:b/>
    </w:rPr>
  </w:style>
  <w:style w:type="paragraph" w:styleId="ListNumber">
    <w:name w:val="List Number"/>
    <w:basedOn w:val="List"/>
    <w:rsid w:val="007E37D6"/>
    <w:pPr>
      <w:numPr>
        <w:numId w:val="15"/>
      </w:numPr>
      <w:tabs>
        <w:tab w:val="clear" w:pos="340"/>
      </w:tabs>
    </w:pPr>
  </w:style>
  <w:style w:type="character" w:customStyle="1" w:styleId="WingdingSymbols">
    <w:name w:val="Wingding Symbols"/>
    <w:rsid w:val="007E37D6"/>
    <w:rPr>
      <w:rFonts w:ascii="Wingdings" w:hAnsi="Wingdings"/>
    </w:rPr>
  </w:style>
  <w:style w:type="paragraph" w:customStyle="1" w:styleId="TableHeading">
    <w:name w:val="Table Heading"/>
    <w:basedOn w:val="HeadingBase"/>
    <w:rsid w:val="007E37D6"/>
    <w:pPr>
      <w:keepLines/>
      <w:pBdr>
        <w:bottom w:val="single" w:sz="6" w:space="1" w:color="918585"/>
      </w:pBdr>
      <w:spacing w:before="240"/>
    </w:pPr>
  </w:style>
  <w:style w:type="character" w:customStyle="1" w:styleId="HotSpot">
    <w:name w:val="HotSpot"/>
    <w:rsid w:val="007E37D6"/>
    <w:rPr>
      <w:color w:val="0033CC"/>
      <w:u w:val="none"/>
    </w:rPr>
  </w:style>
  <w:style w:type="paragraph" w:customStyle="1" w:styleId="BodyTextRight">
    <w:name w:val="Body Text Right"/>
    <w:basedOn w:val="BodyText"/>
    <w:rsid w:val="007E37D6"/>
    <w:pPr>
      <w:spacing w:before="0" w:after="0"/>
      <w:jc w:val="right"/>
    </w:pPr>
  </w:style>
  <w:style w:type="paragraph" w:styleId="Index3">
    <w:name w:val="index 3"/>
    <w:basedOn w:val="ListNumber2"/>
    <w:next w:val="Normal"/>
    <w:semiHidden/>
    <w:rsid w:val="007E37D6"/>
    <w:pPr>
      <w:numPr>
        <w:numId w:val="0"/>
      </w:numPr>
      <w:tabs>
        <w:tab w:val="right" w:leader="dot" w:pos="4176"/>
      </w:tabs>
    </w:pPr>
  </w:style>
  <w:style w:type="paragraph" w:styleId="ListNumber2">
    <w:name w:val="List Number 2"/>
    <w:basedOn w:val="List2"/>
    <w:rsid w:val="007E37D6"/>
    <w:pPr>
      <w:numPr>
        <w:numId w:val="10"/>
      </w:numPr>
      <w:tabs>
        <w:tab w:val="clear" w:pos="1060"/>
      </w:tabs>
    </w:pPr>
  </w:style>
  <w:style w:type="paragraph" w:customStyle="1" w:styleId="MarginNote">
    <w:name w:val="Margin Note"/>
    <w:basedOn w:val="BodyText"/>
    <w:rsid w:val="007E37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7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37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37D6"/>
    <w:rPr>
      <w:sz w:val="32"/>
    </w:rPr>
  </w:style>
  <w:style w:type="paragraph" w:customStyle="1" w:styleId="HeadingProcedure">
    <w:name w:val="Heading Procedure"/>
    <w:basedOn w:val="HeadingBase"/>
    <w:next w:val="Normal"/>
    <w:rsid w:val="007E37D6"/>
    <w:pPr>
      <w:tabs>
        <w:tab w:val="left" w:pos="0"/>
      </w:tabs>
      <w:spacing w:before="120" w:after="60"/>
    </w:pPr>
    <w:rPr>
      <w:i/>
      <w:color w:val="918585"/>
      <w:sz w:val="22"/>
    </w:rPr>
  </w:style>
  <w:style w:type="paragraph" w:customStyle="1" w:styleId="TableBodyText">
    <w:name w:val="Table Body Text"/>
    <w:basedOn w:val="BodyText"/>
    <w:rsid w:val="007E37D6"/>
    <w:pPr>
      <w:spacing w:before="60" w:after="60"/>
    </w:pPr>
  </w:style>
  <w:style w:type="paragraph" w:styleId="ListContinue">
    <w:name w:val="List Continue"/>
    <w:basedOn w:val="List"/>
    <w:rsid w:val="007E37D6"/>
    <w:pPr>
      <w:ind w:firstLine="0"/>
    </w:pPr>
  </w:style>
  <w:style w:type="paragraph" w:customStyle="1" w:styleId="ListNote">
    <w:name w:val="List Note"/>
    <w:basedOn w:val="List"/>
    <w:rsid w:val="007E37D6"/>
    <w:pPr>
      <w:pBdr>
        <w:top w:val="single" w:sz="6" w:space="2" w:color="918585"/>
        <w:bottom w:val="single" w:sz="6" w:space="2" w:color="918585"/>
      </w:pBdr>
      <w:tabs>
        <w:tab w:val="left" w:pos="1021"/>
      </w:tabs>
      <w:ind w:firstLine="0"/>
    </w:pPr>
  </w:style>
  <w:style w:type="paragraph" w:customStyle="1" w:styleId="Warning">
    <w:name w:val="Warning"/>
    <w:basedOn w:val="BodyText"/>
    <w:rsid w:val="007E37D6"/>
    <w:pPr>
      <w:shd w:val="clear" w:color="auto" w:fill="D9D9D9"/>
      <w:tabs>
        <w:tab w:val="left" w:pos="992"/>
      </w:tabs>
      <w:ind w:left="119" w:right="119"/>
    </w:pPr>
    <w:rPr>
      <w:sz w:val="20"/>
    </w:rPr>
  </w:style>
  <w:style w:type="paragraph" w:customStyle="1" w:styleId="MarginIcons">
    <w:name w:val="Margin Icons"/>
    <w:basedOn w:val="BodyText"/>
    <w:rsid w:val="007E37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37D6"/>
    <w:rPr>
      <w:rFonts w:ascii="Courier New" w:hAnsi="Courier New"/>
    </w:rPr>
  </w:style>
  <w:style w:type="paragraph" w:customStyle="1" w:styleId="NoteBullet">
    <w:name w:val="Note Bullet"/>
    <w:basedOn w:val="Note"/>
    <w:rsid w:val="007E37D6"/>
    <w:pPr>
      <w:tabs>
        <w:tab w:val="clear" w:pos="680"/>
      </w:tabs>
      <w:spacing w:before="60" w:after="60"/>
    </w:pPr>
  </w:style>
  <w:style w:type="paragraph" w:customStyle="1" w:styleId="SubHeading2">
    <w:name w:val="SubHeading2"/>
    <w:basedOn w:val="HeadingBase"/>
    <w:rsid w:val="007E37D6"/>
    <w:pPr>
      <w:spacing w:before="240" w:after="60"/>
    </w:pPr>
    <w:rPr>
      <w:sz w:val="20"/>
    </w:rPr>
  </w:style>
  <w:style w:type="paragraph" w:customStyle="1" w:styleId="SubHeading1">
    <w:name w:val="SubHeading1"/>
    <w:basedOn w:val="HeadingBase"/>
    <w:rsid w:val="007E37D6"/>
    <w:pPr>
      <w:spacing w:before="240" w:after="60"/>
    </w:pPr>
    <w:rPr>
      <w:color w:val="918585"/>
      <w:sz w:val="22"/>
    </w:rPr>
  </w:style>
  <w:style w:type="paragraph" w:customStyle="1" w:styleId="SideHeading">
    <w:name w:val="Side Heading"/>
    <w:basedOn w:val="HeadingBase"/>
    <w:rsid w:val="007E37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7D6"/>
    <w:pPr>
      <w:tabs>
        <w:tab w:val="num" w:pos="360"/>
      </w:tabs>
    </w:pPr>
  </w:style>
  <w:style w:type="paragraph" w:styleId="PlainText">
    <w:name w:val="Plain Text"/>
    <w:basedOn w:val="Normal"/>
    <w:link w:val="PlainTextChar"/>
    <w:rsid w:val="007E37D6"/>
    <w:rPr>
      <w:sz w:val="20"/>
    </w:rPr>
  </w:style>
  <w:style w:type="character" w:customStyle="1" w:styleId="PlainTextChar">
    <w:name w:val="Plain Text Char"/>
    <w:basedOn w:val="DefaultParagraphFont"/>
    <w:link w:val="PlainText"/>
    <w:rsid w:val="007E37D6"/>
    <w:rPr>
      <w:rFonts w:ascii="Courier New" w:eastAsia="Times New Roman" w:hAnsi="Courier New" w:cs="Times New Roman"/>
      <w:sz w:val="20"/>
      <w:szCs w:val="20"/>
      <w:lang w:eastAsia="en-US"/>
    </w:rPr>
  </w:style>
  <w:style w:type="character" w:customStyle="1" w:styleId="MenuOption">
    <w:name w:val="Menu Option"/>
    <w:basedOn w:val="DefaultParagraphFont"/>
    <w:rsid w:val="007E37D6"/>
    <w:rPr>
      <w:b/>
      <w:smallCaps/>
    </w:rPr>
  </w:style>
  <w:style w:type="paragraph" w:customStyle="1" w:styleId="TableListNumber">
    <w:name w:val="Table List Number"/>
    <w:basedOn w:val="ListNumber"/>
    <w:rsid w:val="007E37D6"/>
    <w:pPr>
      <w:numPr>
        <w:numId w:val="0"/>
      </w:numPr>
    </w:pPr>
  </w:style>
  <w:style w:type="paragraph" w:styleId="TOC4">
    <w:name w:val="toc 4"/>
    <w:basedOn w:val="TOCBase"/>
    <w:next w:val="Normal"/>
    <w:semiHidden/>
    <w:rsid w:val="007E37D6"/>
    <w:pPr>
      <w:tabs>
        <w:tab w:val="right" w:leader="dot" w:pos="9071"/>
      </w:tabs>
      <w:ind w:left="1701"/>
    </w:pPr>
  </w:style>
  <w:style w:type="paragraph" w:customStyle="1" w:styleId="ListAlpha">
    <w:name w:val="List Alpha"/>
    <w:basedOn w:val="List"/>
    <w:rsid w:val="007E37D6"/>
    <w:pPr>
      <w:numPr>
        <w:numId w:val="9"/>
      </w:numPr>
    </w:pPr>
  </w:style>
  <w:style w:type="paragraph" w:customStyle="1" w:styleId="ListAlpha2">
    <w:name w:val="List Alpha 2"/>
    <w:basedOn w:val="List2"/>
    <w:rsid w:val="007E37D6"/>
    <w:pPr>
      <w:numPr>
        <w:numId w:val="8"/>
      </w:numPr>
    </w:pPr>
  </w:style>
  <w:style w:type="paragraph" w:styleId="List2">
    <w:name w:val="List 2"/>
    <w:basedOn w:val="BodyText"/>
    <w:rsid w:val="007E37D6"/>
    <w:pPr>
      <w:tabs>
        <w:tab w:val="left" w:pos="680"/>
      </w:tabs>
      <w:spacing w:before="60" w:after="60"/>
      <w:ind w:left="680" w:hanging="340"/>
    </w:pPr>
  </w:style>
  <w:style w:type="paragraph" w:styleId="List3">
    <w:name w:val="List 3"/>
    <w:basedOn w:val="BodyText"/>
    <w:rsid w:val="007E37D6"/>
    <w:pPr>
      <w:tabs>
        <w:tab w:val="left" w:pos="1021"/>
      </w:tabs>
      <w:spacing w:before="60" w:after="60"/>
      <w:ind w:left="1020" w:hanging="340"/>
    </w:pPr>
  </w:style>
  <w:style w:type="paragraph" w:styleId="List4">
    <w:name w:val="List 4"/>
    <w:basedOn w:val="BodyText"/>
    <w:rsid w:val="007E37D6"/>
    <w:pPr>
      <w:tabs>
        <w:tab w:val="left" w:pos="1361"/>
      </w:tabs>
      <w:spacing w:before="60" w:after="60"/>
      <w:ind w:left="1361" w:hanging="340"/>
    </w:pPr>
  </w:style>
  <w:style w:type="paragraph" w:styleId="List5">
    <w:name w:val="List 5"/>
    <w:basedOn w:val="BodyText"/>
    <w:rsid w:val="007E37D6"/>
    <w:pPr>
      <w:tabs>
        <w:tab w:val="left" w:pos="1701"/>
      </w:tabs>
      <w:spacing w:before="60" w:after="60"/>
      <w:ind w:left="1701" w:hanging="340"/>
    </w:pPr>
  </w:style>
  <w:style w:type="paragraph" w:styleId="ListBullet3">
    <w:name w:val="List Bullet 3"/>
    <w:basedOn w:val="List3"/>
    <w:rsid w:val="007E37D6"/>
    <w:pPr>
      <w:numPr>
        <w:numId w:val="14"/>
      </w:numPr>
      <w:tabs>
        <w:tab w:val="clear" w:pos="1021"/>
      </w:tabs>
      <w:ind w:left="1037" w:hanging="357"/>
    </w:pPr>
  </w:style>
  <w:style w:type="paragraph" w:styleId="ListBullet4">
    <w:name w:val="List Bullet 4"/>
    <w:basedOn w:val="List4"/>
    <w:rsid w:val="007E37D6"/>
    <w:pPr>
      <w:numPr>
        <w:numId w:val="3"/>
      </w:numPr>
      <w:tabs>
        <w:tab w:val="clear" w:pos="1361"/>
      </w:tabs>
    </w:pPr>
  </w:style>
  <w:style w:type="paragraph" w:styleId="ListBullet5">
    <w:name w:val="List Bullet 5"/>
    <w:basedOn w:val="List5"/>
    <w:rsid w:val="007E37D6"/>
    <w:pPr>
      <w:numPr>
        <w:numId w:val="4"/>
      </w:numPr>
    </w:pPr>
  </w:style>
  <w:style w:type="paragraph" w:styleId="ListContinue2">
    <w:name w:val="List Continue 2"/>
    <w:basedOn w:val="List2"/>
    <w:rsid w:val="007E37D6"/>
    <w:pPr>
      <w:ind w:firstLine="0"/>
    </w:pPr>
  </w:style>
  <w:style w:type="paragraph" w:styleId="ListContinue3">
    <w:name w:val="List Continue 3"/>
    <w:basedOn w:val="List3"/>
    <w:rsid w:val="007E37D6"/>
    <w:pPr>
      <w:ind w:left="1021" w:firstLine="0"/>
    </w:pPr>
  </w:style>
  <w:style w:type="paragraph" w:styleId="ListContinue4">
    <w:name w:val="List Continue 4"/>
    <w:basedOn w:val="List4"/>
    <w:rsid w:val="007E37D6"/>
    <w:pPr>
      <w:ind w:firstLine="0"/>
    </w:pPr>
  </w:style>
  <w:style w:type="paragraph" w:styleId="ListContinue5">
    <w:name w:val="List Continue 5"/>
    <w:basedOn w:val="List5"/>
    <w:rsid w:val="007E37D6"/>
    <w:pPr>
      <w:ind w:firstLine="0"/>
    </w:pPr>
  </w:style>
  <w:style w:type="paragraph" w:styleId="ListNumber3">
    <w:name w:val="List Number 3"/>
    <w:basedOn w:val="List3"/>
    <w:rsid w:val="007E37D6"/>
    <w:pPr>
      <w:numPr>
        <w:numId w:val="5"/>
      </w:numPr>
    </w:pPr>
  </w:style>
  <w:style w:type="paragraph" w:styleId="ListNumber4">
    <w:name w:val="List Number 4"/>
    <w:basedOn w:val="List4"/>
    <w:rsid w:val="007E37D6"/>
    <w:pPr>
      <w:numPr>
        <w:numId w:val="6"/>
      </w:numPr>
    </w:pPr>
  </w:style>
  <w:style w:type="paragraph" w:styleId="ListNumber5">
    <w:name w:val="List Number 5"/>
    <w:basedOn w:val="List5"/>
    <w:rsid w:val="007E37D6"/>
    <w:pPr>
      <w:numPr>
        <w:numId w:val="7"/>
      </w:numPr>
    </w:pPr>
  </w:style>
  <w:style w:type="paragraph" w:styleId="BlockText">
    <w:name w:val="Block Text"/>
    <w:basedOn w:val="Normal"/>
    <w:rsid w:val="007E37D6"/>
    <w:pPr>
      <w:spacing w:after="120"/>
      <w:ind w:left="1440" w:right="1440"/>
    </w:pPr>
  </w:style>
  <w:style w:type="character" w:customStyle="1" w:styleId="Subscript">
    <w:name w:val="Subscript"/>
    <w:basedOn w:val="DefaultParagraphFont"/>
    <w:rsid w:val="007E37D6"/>
    <w:rPr>
      <w:sz w:val="16"/>
      <w:vertAlign w:val="subscript"/>
    </w:rPr>
  </w:style>
  <w:style w:type="character" w:customStyle="1" w:styleId="Superscript">
    <w:name w:val="Superscript"/>
    <w:basedOn w:val="DefaultParagraphFont"/>
    <w:rsid w:val="007E37D6"/>
    <w:rPr>
      <w:sz w:val="16"/>
      <w:vertAlign w:val="superscript"/>
    </w:rPr>
  </w:style>
  <w:style w:type="character" w:customStyle="1" w:styleId="Symbols">
    <w:name w:val="Symbols"/>
    <w:basedOn w:val="DefaultParagraphFont"/>
    <w:rsid w:val="007E37D6"/>
    <w:rPr>
      <w:rFonts w:ascii="Symbol" w:hAnsi="Symbol"/>
    </w:rPr>
  </w:style>
  <w:style w:type="character" w:customStyle="1" w:styleId="MenuOptions">
    <w:name w:val="Menu Options"/>
    <w:basedOn w:val="DefaultParagraphFont"/>
    <w:rsid w:val="007E37D6"/>
    <w:rPr>
      <w:rFonts w:ascii="Arial Narrow" w:hAnsi="Arial Narrow"/>
      <w:smallCaps/>
    </w:rPr>
  </w:style>
  <w:style w:type="character" w:customStyle="1" w:styleId="Buttons">
    <w:name w:val="Buttons"/>
    <w:basedOn w:val="DefaultParagraphFont"/>
    <w:rsid w:val="007E37D6"/>
    <w:rPr>
      <w:b/>
    </w:rPr>
  </w:style>
  <w:style w:type="character" w:customStyle="1" w:styleId="Underlined">
    <w:name w:val="Underlined"/>
    <w:basedOn w:val="DefaultParagraphFont"/>
    <w:rsid w:val="007E37D6"/>
    <w:rPr>
      <w:u w:val="single"/>
    </w:rPr>
  </w:style>
  <w:style w:type="paragraph" w:customStyle="1" w:styleId="TableBodyTextRight">
    <w:name w:val="Table Body Text Right"/>
    <w:basedOn w:val="TableBodyText"/>
    <w:rsid w:val="007E37D6"/>
    <w:pPr>
      <w:widowControl w:val="0"/>
      <w:autoSpaceDE w:val="0"/>
      <w:autoSpaceDN w:val="0"/>
      <w:adjustRightInd w:val="0"/>
      <w:jc w:val="right"/>
    </w:pPr>
    <w:rPr>
      <w:rFonts w:cs="Arial"/>
      <w:szCs w:val="18"/>
    </w:rPr>
  </w:style>
  <w:style w:type="paragraph" w:customStyle="1" w:styleId="CopyrightText">
    <w:name w:val="Copyright Text"/>
    <w:basedOn w:val="BodyText"/>
    <w:rsid w:val="007E37D6"/>
    <w:rPr>
      <w:sz w:val="18"/>
    </w:rPr>
  </w:style>
  <w:style w:type="paragraph" w:customStyle="1" w:styleId="BodySmallRight">
    <w:name w:val="Body Small Right"/>
    <w:basedOn w:val="BodyTextRight"/>
    <w:rsid w:val="007E37D6"/>
    <w:rPr>
      <w:sz w:val="18"/>
      <w:szCs w:val="18"/>
    </w:rPr>
  </w:style>
  <w:style w:type="paragraph" w:customStyle="1" w:styleId="MarginEdition">
    <w:name w:val="Margin Edition"/>
    <w:basedOn w:val="MarginNote"/>
    <w:rsid w:val="007E37D6"/>
    <w:pPr>
      <w:spacing w:before="0" w:after="0"/>
    </w:pPr>
    <w:rPr>
      <w:rFonts w:ascii="Times New Roman" w:hAnsi="Times New Roman"/>
      <w:color w:val="999999"/>
    </w:rPr>
  </w:style>
  <w:style w:type="paragraph" w:customStyle="1" w:styleId="Spacer">
    <w:name w:val="Spacer"/>
    <w:basedOn w:val="Normal"/>
    <w:rsid w:val="007E37D6"/>
    <w:rPr>
      <w:sz w:val="2"/>
      <w:szCs w:val="2"/>
    </w:rPr>
  </w:style>
  <w:style w:type="character" w:customStyle="1" w:styleId="Small">
    <w:name w:val="Small"/>
    <w:basedOn w:val="DefaultParagraphFont"/>
    <w:rsid w:val="007E37D6"/>
    <w:rPr>
      <w:sz w:val="16"/>
    </w:rPr>
  </w:style>
  <w:style w:type="paragraph" w:customStyle="1" w:styleId="WideTable">
    <w:name w:val="Wide Table"/>
    <w:basedOn w:val="Normal"/>
    <w:rsid w:val="007E37D6"/>
    <w:pPr>
      <w:ind w:left="-1418"/>
    </w:pPr>
    <w:rPr>
      <w:sz w:val="2"/>
      <w:szCs w:val="2"/>
    </w:rPr>
  </w:style>
  <w:style w:type="character" w:styleId="PageNumber">
    <w:name w:val="page number"/>
    <w:basedOn w:val="DefaultParagraphFont"/>
    <w:rsid w:val="007E37D6"/>
  </w:style>
  <w:style w:type="paragraph" w:styleId="Quote">
    <w:name w:val="Quote"/>
    <w:basedOn w:val="Heading1"/>
    <w:link w:val="QuoteChar"/>
    <w:qFormat/>
    <w:rsid w:val="007E37D6"/>
    <w:rPr>
      <w:b w:val="0"/>
      <w:sz w:val="72"/>
      <w:szCs w:val="72"/>
      <w:lang w:val="en-NZ"/>
    </w:rPr>
  </w:style>
  <w:style w:type="character" w:customStyle="1" w:styleId="QuoteChar">
    <w:name w:val="Quote Char"/>
    <w:basedOn w:val="DefaultParagraphFont"/>
    <w:link w:val="Quote"/>
    <w:rsid w:val="007E37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7D6"/>
    <w:pPr>
      <w:pageBreakBefore/>
    </w:pPr>
  </w:style>
  <w:style w:type="paragraph" w:customStyle="1" w:styleId="Border">
    <w:name w:val="Border"/>
    <w:basedOn w:val="Normal"/>
    <w:qFormat/>
    <w:rsid w:val="007E37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37D6"/>
    <w:rPr>
      <w:b/>
      <w:bCs/>
      <w:i/>
      <w:iCs/>
      <w:color w:val="auto"/>
    </w:rPr>
  </w:style>
  <w:style w:type="paragraph" w:styleId="IntenseQuote">
    <w:name w:val="Intense Quote"/>
    <w:basedOn w:val="Normal"/>
    <w:next w:val="Normal"/>
    <w:link w:val="IntenseQuoteChar"/>
    <w:uiPriority w:val="30"/>
    <w:qFormat/>
    <w:rsid w:val="007E37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37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37D6"/>
    <w:rPr>
      <w:smallCaps/>
      <w:color w:val="auto"/>
      <w:u w:val="single"/>
    </w:rPr>
  </w:style>
  <w:style w:type="character" w:styleId="IntenseReference">
    <w:name w:val="Intense Reference"/>
    <w:basedOn w:val="DefaultParagraphFont"/>
    <w:uiPriority w:val="32"/>
    <w:qFormat/>
    <w:rsid w:val="007E37D6"/>
    <w:rPr>
      <w:b/>
      <w:bCs/>
      <w:smallCaps/>
      <w:color w:val="auto"/>
      <w:spacing w:val="5"/>
      <w:u w:val="single"/>
    </w:rPr>
  </w:style>
  <w:style w:type="paragraph" w:customStyle="1" w:styleId="2ColumnHeading">
    <w:name w:val="2Column Heading"/>
    <w:basedOn w:val="BodyText"/>
    <w:qFormat/>
    <w:rsid w:val="007E37D6"/>
    <w:pPr>
      <w:spacing w:after="60"/>
      <w:ind w:left="-2268"/>
    </w:pPr>
    <w:rPr>
      <w:b/>
    </w:rPr>
  </w:style>
  <w:style w:type="paragraph" w:customStyle="1" w:styleId="Heading1TOC">
    <w:name w:val="Heading1 TOC"/>
    <w:basedOn w:val="Normal"/>
    <w:qFormat/>
    <w:rsid w:val="007E37D6"/>
    <w:pPr>
      <w:spacing w:before="240" w:after="120"/>
    </w:pPr>
    <w:rPr>
      <w:rFonts w:ascii="Times New Roman" w:hAnsi="Times New Roman"/>
      <w:b/>
      <w:sz w:val="32"/>
    </w:rPr>
  </w:style>
  <w:style w:type="paragraph" w:customStyle="1" w:styleId="Heading2TOC">
    <w:name w:val="Heading2 TOC"/>
    <w:basedOn w:val="Normal"/>
    <w:qFormat/>
    <w:rsid w:val="007E37D6"/>
    <w:pPr>
      <w:spacing w:before="240" w:after="60"/>
    </w:pPr>
    <w:rPr>
      <w:rFonts w:ascii="Times New Roman" w:hAnsi="Times New Roman"/>
      <w:b/>
      <w:sz w:val="28"/>
    </w:rPr>
  </w:style>
  <w:style w:type="character" w:customStyle="1" w:styleId="Underline">
    <w:name w:val="Underline"/>
    <w:basedOn w:val="DefaultParagraphFont"/>
    <w:qFormat/>
    <w:rsid w:val="007E37D6"/>
    <w:rPr>
      <w:u w:val="single"/>
    </w:rPr>
  </w:style>
  <w:style w:type="character" w:customStyle="1" w:styleId="BoldandItalics">
    <w:name w:val="Bold and Italics"/>
    <w:qFormat/>
    <w:rsid w:val="007E37D6"/>
    <w:rPr>
      <w:b/>
      <w:i/>
      <w:u w:val="none"/>
    </w:rPr>
  </w:style>
  <w:style w:type="paragraph" w:styleId="BalloonText">
    <w:name w:val="Balloon Text"/>
    <w:basedOn w:val="Normal"/>
    <w:link w:val="BalloonTextChar"/>
    <w:rsid w:val="007E37D6"/>
    <w:rPr>
      <w:rFonts w:ascii="Tahoma" w:hAnsi="Tahoma" w:cs="Tahoma"/>
      <w:sz w:val="16"/>
      <w:szCs w:val="16"/>
    </w:rPr>
  </w:style>
  <w:style w:type="character" w:customStyle="1" w:styleId="BalloonTextChar">
    <w:name w:val="Balloon Text Char"/>
    <w:basedOn w:val="DefaultParagraphFont"/>
    <w:link w:val="BalloonText"/>
    <w:rsid w:val="007E37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37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37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37D6"/>
    <w:rPr>
      <w:b/>
      <w:color w:val="660033"/>
      <w:spacing w:val="0"/>
    </w:rPr>
  </w:style>
  <w:style w:type="paragraph" w:customStyle="1" w:styleId="Nameditemlist">
    <w:name w:val="Named item list"/>
    <w:basedOn w:val="BodyText"/>
    <w:qFormat/>
    <w:rsid w:val="007E37D6"/>
    <w:pPr>
      <w:tabs>
        <w:tab w:val="left" w:pos="2835"/>
      </w:tabs>
      <w:ind w:left="2835" w:hanging="2835"/>
    </w:pPr>
  </w:style>
  <w:style w:type="paragraph" w:customStyle="1" w:styleId="BodyTextnopadding">
    <w:name w:val="Body Text no padding"/>
    <w:basedOn w:val="BodyText"/>
    <w:qFormat/>
    <w:rsid w:val="007E37D6"/>
    <w:pPr>
      <w:spacing w:before="0" w:after="0"/>
    </w:pPr>
  </w:style>
  <w:style w:type="paragraph" w:customStyle="1" w:styleId="BodyTextBold">
    <w:name w:val="Body Text Bold"/>
    <w:basedOn w:val="BodyText"/>
    <w:qFormat/>
    <w:rsid w:val="007E37D6"/>
    <w:rPr>
      <w:b/>
    </w:rPr>
  </w:style>
  <w:style w:type="character" w:styleId="Hyperlink">
    <w:name w:val="Hyperlink"/>
    <w:basedOn w:val="DefaultParagraphFont"/>
    <w:uiPriority w:val="99"/>
    <w:unhideWhenUsed/>
    <w:rsid w:val="002F7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1939</Words>
  <Characters>12178</Characters>
  <Application>Microsoft Office Word</Application>
  <DocSecurity>0</DocSecurity>
  <Lines>507</Lines>
  <Paragraphs>247</Paragraphs>
  <ScaleCrop>false</ScaleCrop>
  <Company>Author-it Software Corporation Ltd.</Company>
  <LinksUpToDate>false</LinksUpToDate>
  <CharactersWithSpaces>13870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MARD001 Manage business and administration on vessels limited by tonnage or near coastal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2020-10-27T01:20:00Z</dcterms:created>
  <dcterms:modified xsi:type="dcterms:W3CDTF">2020-10-27T01:20:00Z</dcterms:modified>
</cp:coreProperties>
</file>