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24C" w:rsidP="000E524C">
      <w:pPr>
        <w:pStyle w:val="Title"/>
      </w:pPr>
      <w:r>
        <w:fldChar w:fldCharType="begin"/>
      </w:r>
      <w:r>
        <w:instrText xml:space="preserve"> TITLE   \* MERGEFORMAT </w:instrText>
      </w:r>
      <w:r>
        <w:fldChar w:fldCharType="separate"/>
      </w:r>
      <w:r>
        <w:t>Assessment Requirements for MARC059 Transmit and receive information by marine VHF radio within Australian Territorial Waters</w:t>
      </w:r>
      <w:r>
        <w:fldChar w:fldCharType="end"/>
      </w:r>
    </w:p>
    <w:p w:rsidR="000E524C" w:rsidP="000E524C">
      <w:pPr>
        <w:pStyle w:val="Version"/>
        <w:sectPr w:rsidSect="00175A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5A0C" w:rsidP="00175A0C">
      <w:pPr>
        <w:pStyle w:val="SuperHeading"/>
      </w:pPr>
      <w:r w:rsidRPr="00175A0C">
        <w:t>Assessment Requirements for MARC059 Transmit and receive information by marine VHF radio within Australian Territorial Waters</w:t>
      </w:r>
    </w:p>
    <w:p w:rsidR="00000000" w:rsidRPr="00175A0C" w:rsidP="00175A0C">
      <w:pPr>
        <w:pStyle w:val="Heading1"/>
      </w:pPr>
      <w:bookmarkStart w:id="1" w:name="O_1285152"/>
      <w:bookmarkEnd w:id="1"/>
      <w:r w:rsidRPr="00175A0C">
        <w:t>Modification History</w:t>
      </w:r>
    </w:p>
    <w:tbl>
      <w:tblPr>
        <w:tblW w:w="9497" w:type="dxa"/>
        <w:tblLayout w:type="fixed"/>
        <w:tblCellMar>
          <w:left w:w="62" w:type="dxa"/>
          <w:right w:w="62" w:type="dxa"/>
        </w:tblCellMar>
        <w:tblLook w:val="0000"/>
      </w:tblPr>
      <w:tblGrid>
        <w:gridCol w:w="9497"/>
      </w:tblGrid>
      <w:tr w:rsidTr="00175A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A0C" w:rsidP="00175A0C">
            <w:pPr>
              <w:pStyle w:val="BodyText"/>
            </w:pPr>
            <w:r w:rsidRPr="00175A0C">
              <w:rPr>
                <w:rStyle w:val="SpecialBold"/>
              </w:rPr>
              <w:t>Release 2</w:t>
            </w:r>
            <w:r w:rsidRPr="00175A0C">
              <w:t>. This is the second release of this unit of competency in the MAR Maritime Training Package.</w:t>
            </w:r>
          </w:p>
          <w:p w:rsidR="00000000" w:rsidRPr="00175A0C" w:rsidP="00175A0C">
            <w:pPr>
              <w:pStyle w:val="ListBullet"/>
            </w:pPr>
            <w:r w:rsidRPr="00175A0C">
              <w:t>Minor statement changes in unit Application</w:t>
            </w:r>
          </w:p>
          <w:p w:rsidR="00000000" w:rsidRPr="00175A0C" w:rsidP="00175A0C">
            <w:pPr>
              <w:pStyle w:val="ListBullet"/>
            </w:pPr>
            <w:r w:rsidRPr="00175A0C">
              <w:t>Minor changes in Performance Evidence</w:t>
            </w:r>
          </w:p>
          <w:p w:rsidR="00000000" w:rsidP="00175A0C">
            <w:pPr>
              <w:pStyle w:val="ListBullet"/>
              <w:rPr>
                <w:lang w:val="en-NZ"/>
              </w:rPr>
            </w:pPr>
            <w:r w:rsidRPr="00175A0C">
              <w:t>Minor statement changes in Assessment Conditions.</w:t>
            </w:r>
          </w:p>
        </w:tc>
      </w:tr>
      <w:tr w:rsidTr="00175A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A0C" w:rsidP="00175A0C">
            <w:pPr>
              <w:pStyle w:val="BodyText"/>
            </w:pPr>
            <w:r w:rsidRPr="00175A0C">
              <w:rPr>
                <w:rStyle w:val="SpecialBold"/>
              </w:rPr>
              <w:t>Release 1</w:t>
            </w:r>
            <w:r w:rsidRPr="00175A0C">
              <w:t>. This is the first</w:t>
            </w:r>
            <w:r w:rsidRPr="00175A0C">
              <w:t xml:space="preserve"> release of this unit of competency in the MAR Maritime Training Package.</w:t>
            </w:r>
          </w:p>
        </w:tc>
      </w:tr>
    </w:tbl>
    <w:p w:rsidR="00000000" w:rsidRPr="00175A0C" w:rsidP="00175A0C">
      <w:pPr>
        <w:pStyle w:val="NoPaddingFontSize1"/>
      </w:pPr>
    </w:p>
    <w:p w:rsidR="00000000" w:rsidRPr="00175A0C" w:rsidP="00175A0C">
      <w:pPr>
        <w:pStyle w:val="AllowPageBreak"/>
      </w:pPr>
    </w:p>
    <w:p w:rsidR="00000000" w:rsidRPr="00175A0C" w:rsidP="00175A0C">
      <w:pPr>
        <w:pStyle w:val="Heading1"/>
      </w:pPr>
      <w:bookmarkStart w:id="2" w:name="O_1285151"/>
      <w:bookmarkEnd w:id="2"/>
      <w:r w:rsidRPr="00175A0C">
        <w:t>Performance Evidence</w:t>
      </w:r>
    </w:p>
    <w:tbl>
      <w:tblPr>
        <w:tblW w:w="9497" w:type="dxa"/>
        <w:tblLayout w:type="fixed"/>
        <w:tblCellMar>
          <w:left w:w="62" w:type="dxa"/>
          <w:right w:w="62" w:type="dxa"/>
        </w:tblCellMar>
        <w:tblLook w:val="0000"/>
      </w:tblPr>
      <w:tblGrid>
        <w:gridCol w:w="9497"/>
      </w:tblGrid>
      <w:tr w:rsidTr="00175A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A0C" w:rsidP="00175A0C">
            <w:pPr>
              <w:pStyle w:val="BodyText"/>
            </w:pPr>
            <w:r w:rsidRPr="00175A0C">
              <w:t>Evidence required to demonstrate competence in this unit must be relevant to and satisfy all of the requirements of the elements and perform</w:t>
            </w:r>
            <w:r w:rsidRPr="00175A0C">
              <w:t>ance criteria on at least one occasion and include:</w:t>
            </w:r>
          </w:p>
          <w:p w:rsidR="00000000" w:rsidRPr="00175A0C" w:rsidP="00175A0C">
            <w:pPr>
              <w:pStyle w:val="ListBullet"/>
            </w:pPr>
            <w:r w:rsidRPr="00175A0C">
              <w:t>applying the principles of marine radio and digital selective calling (DSC) to accurately transmit and receive messages, including distress calls</w:t>
            </w:r>
          </w:p>
          <w:p w:rsidR="00000000" w:rsidRPr="00175A0C" w:rsidP="00175A0C">
            <w:pPr>
              <w:pStyle w:val="ListBullet"/>
            </w:pPr>
            <w:r w:rsidRPr="00175A0C">
              <w:t>cancelling an inadvertent distress alert or call</w:t>
            </w:r>
          </w:p>
          <w:p w:rsidR="00000000" w:rsidRPr="00175A0C" w:rsidP="00175A0C">
            <w:pPr>
              <w:pStyle w:val="ListBullet"/>
            </w:pPr>
            <w:r w:rsidRPr="00175A0C">
              <w:t>carrying out radio communications in compliance with the relevant sections of the maritime provisions of the Radio Regulations adopted by the World Radiocommunication Conference (as amended), including Chapters VII and IX</w:t>
            </w:r>
          </w:p>
          <w:p w:rsidR="00000000" w:rsidRPr="00175A0C" w:rsidP="00175A0C">
            <w:pPr>
              <w:pStyle w:val="ListBullet"/>
            </w:pPr>
            <w:r w:rsidRPr="00175A0C">
              <w:t>communicating effectively with oth</w:t>
            </w:r>
            <w:r w:rsidRPr="00175A0C">
              <w:t>er stations by using standard voice procedures, the phonetic alphabet, push to talk (PTT) switch and common radio terminology</w:t>
            </w:r>
          </w:p>
          <w:p w:rsidR="00000000" w:rsidRPr="00175A0C" w:rsidP="00175A0C">
            <w:pPr>
              <w:pStyle w:val="ListBullet"/>
            </w:pPr>
            <w:r w:rsidRPr="00175A0C">
              <w:t>deploying an emergency position indicating radio beacon (EPIRB)</w:t>
            </w:r>
          </w:p>
          <w:p w:rsidR="00000000" w:rsidRPr="00175A0C" w:rsidP="00175A0C">
            <w:pPr>
              <w:pStyle w:val="ListBullet"/>
            </w:pPr>
            <w:r w:rsidRPr="00175A0C">
              <w:t>documenting communication problems</w:t>
            </w:r>
          </w:p>
          <w:p w:rsidR="00000000" w:rsidRPr="00175A0C" w:rsidP="00175A0C">
            <w:pPr>
              <w:pStyle w:val="ListBullet"/>
            </w:pPr>
            <w:r w:rsidRPr="00175A0C">
              <w:t>ensuring proper housing, securi</w:t>
            </w:r>
            <w:r w:rsidRPr="00175A0C">
              <w:t>ng and automatic release of float-free EPIRB</w:t>
            </w:r>
          </w:p>
          <w:p w:rsidR="00000000" w:rsidRPr="00175A0C" w:rsidP="00175A0C">
            <w:pPr>
              <w:pStyle w:val="ListBullet"/>
            </w:pPr>
            <w:r w:rsidRPr="00175A0C">
              <w:t>reading and interpreting regulations and procedures</w:t>
            </w:r>
          </w:p>
          <w:p w:rsidR="00000000" w:rsidRPr="00175A0C" w:rsidP="00175A0C">
            <w:pPr>
              <w:pStyle w:val="ListBullet"/>
            </w:pPr>
            <w:r w:rsidRPr="00175A0C">
              <w:t>sending and receiving distress alerts, and urgency and safety announcements by DSC</w:t>
            </w:r>
          </w:p>
          <w:p w:rsidR="00000000" w:rsidRPr="00175A0C" w:rsidP="00175A0C">
            <w:pPr>
              <w:pStyle w:val="ListBullet"/>
            </w:pPr>
            <w:r w:rsidRPr="00175A0C">
              <w:t>sending, acknowledging and relaying distress, urgency and safety communicati</w:t>
            </w:r>
            <w:r w:rsidRPr="00175A0C">
              <w:t>ons by voice using recognised format</w:t>
            </w:r>
          </w:p>
          <w:p w:rsidR="00000000" w:rsidRPr="00175A0C" w:rsidP="00175A0C">
            <w:pPr>
              <w:pStyle w:val="ListBullet"/>
            </w:pPr>
            <w:r w:rsidRPr="00175A0C">
              <w:t>setting up VHF equipment for use, including selecting the channel, adjusting transmitter power level, adjusting squelch and using dual watch facility</w:t>
            </w:r>
          </w:p>
          <w:p w:rsidR="00000000" w:rsidRPr="00175A0C" w:rsidP="00175A0C">
            <w:pPr>
              <w:pStyle w:val="ListBullet"/>
            </w:pPr>
            <w:r w:rsidRPr="00175A0C">
              <w:t>using correct procedures for transmitting and receiving signals using</w:t>
            </w:r>
            <w:r w:rsidRPr="00175A0C">
              <w:t xml:space="preserve"> VHF equipment</w:t>
            </w:r>
          </w:p>
          <w:p w:rsidR="00000000" w:rsidRPr="00175A0C" w:rsidP="00175A0C">
            <w:pPr>
              <w:pStyle w:val="ListBullet"/>
            </w:pPr>
            <w:r w:rsidRPr="00175A0C">
              <w:t>using very high frequency (VHF) equipment, accurately and consistently, to send and receive messages and signals under normal and emergency situations according to international and national VHF radio regulations/standards.</w:t>
            </w:r>
          </w:p>
        </w:tc>
      </w:tr>
    </w:tbl>
    <w:p w:rsidR="00000000" w:rsidRPr="00175A0C" w:rsidP="00175A0C">
      <w:pPr>
        <w:pStyle w:val="NoPaddingFontSize1"/>
      </w:pPr>
    </w:p>
    <w:p w:rsidR="00000000" w:rsidRPr="00175A0C" w:rsidP="00175A0C">
      <w:pPr>
        <w:pStyle w:val="AllowPageBreak"/>
      </w:pPr>
    </w:p>
    <w:p w:rsidR="00000000" w:rsidRPr="00175A0C" w:rsidP="00175A0C">
      <w:pPr>
        <w:pStyle w:val="Heading1"/>
      </w:pPr>
      <w:bookmarkStart w:id="3" w:name="O_1285150"/>
      <w:bookmarkEnd w:id="3"/>
      <w:r w:rsidRPr="00175A0C">
        <w:t>Knowledge Evidence</w:t>
      </w:r>
    </w:p>
    <w:tbl>
      <w:tblPr>
        <w:tblW w:w="9497" w:type="dxa"/>
        <w:tblLayout w:type="fixed"/>
        <w:tblCellMar>
          <w:left w:w="62" w:type="dxa"/>
          <w:right w:w="62" w:type="dxa"/>
        </w:tblCellMar>
        <w:tblLook w:val="0000"/>
      </w:tblPr>
      <w:tblGrid>
        <w:gridCol w:w="9497"/>
      </w:tblGrid>
      <w:tr w:rsidTr="00175A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A0C" w:rsidP="00175A0C">
            <w:pPr>
              <w:pStyle w:val="BodyText"/>
            </w:pPr>
            <w:r w:rsidRPr="00175A0C">
              <w:t>Evidence required to demonstrate competence in this unit must be relevant to and satisfy all of the requirements of the elements and performance criteria and include knowledge of:</w:t>
            </w:r>
          </w:p>
          <w:p w:rsidR="00000000" w:rsidRPr="00175A0C" w:rsidP="00175A0C">
            <w:pPr>
              <w:pStyle w:val="ListBullet"/>
            </w:pPr>
            <w:r w:rsidRPr="00175A0C">
              <w:t>Australian maritime search and rescue (SAR) system, including satellite distress beacons</w:t>
            </w:r>
          </w:p>
          <w:p w:rsidR="00000000" w:rsidRPr="00175A0C" w:rsidP="00175A0C">
            <w:pPr>
              <w:pStyle w:val="ListBullet"/>
            </w:pPr>
            <w:r w:rsidRPr="00175A0C">
              <w:t>available radio services including:</w:t>
            </w:r>
          </w:p>
          <w:p w:rsidR="00000000" w:rsidRPr="00175A0C" w:rsidP="00175A0C">
            <w:pPr>
              <w:pStyle w:val="ListBullet2"/>
            </w:pPr>
            <w:r w:rsidRPr="00175A0C">
              <w:t>automated weather stations</w:t>
            </w:r>
          </w:p>
          <w:p w:rsidR="00000000" w:rsidRPr="00175A0C" w:rsidP="00175A0C">
            <w:pPr>
              <w:pStyle w:val="ListBullet2"/>
            </w:pPr>
            <w:r w:rsidRPr="00175A0C">
              <w:t>DSC</w:t>
            </w:r>
          </w:p>
          <w:p w:rsidR="00000000" w:rsidRPr="00175A0C" w:rsidP="00175A0C">
            <w:pPr>
              <w:pStyle w:val="ListBullet2"/>
            </w:pPr>
            <w:r w:rsidRPr="00175A0C">
              <w:t>public communications</w:t>
            </w:r>
          </w:p>
          <w:p w:rsidR="00000000" w:rsidRPr="00175A0C" w:rsidP="00175A0C">
            <w:pPr>
              <w:pStyle w:val="ListBullet2"/>
            </w:pPr>
            <w:r w:rsidRPr="00175A0C">
              <w:t>scheduled broadcasts (skeds)</w:t>
            </w:r>
          </w:p>
          <w:p w:rsidR="00000000" w:rsidRPr="00175A0C" w:rsidP="00175A0C">
            <w:pPr>
              <w:pStyle w:val="ListBullet2"/>
            </w:pPr>
            <w:r w:rsidRPr="00175A0C">
              <w:t>SAR</w:t>
            </w:r>
          </w:p>
          <w:p w:rsidR="00000000" w:rsidRPr="00175A0C" w:rsidP="00175A0C">
            <w:pPr>
              <w:pStyle w:val="ListBullet"/>
            </w:pPr>
            <w:r w:rsidRPr="00175A0C">
              <w:t>EPIRB frequencies:</w:t>
            </w:r>
          </w:p>
          <w:p w:rsidR="00000000" w:rsidRPr="00175A0C" w:rsidP="00175A0C">
            <w:pPr>
              <w:pStyle w:val="ListBullet2"/>
            </w:pPr>
            <w:r w:rsidRPr="00175A0C">
              <w:t>406 MHz</w:t>
            </w:r>
          </w:p>
          <w:p w:rsidR="00000000" w:rsidRPr="00175A0C" w:rsidP="00175A0C">
            <w:pPr>
              <w:pStyle w:val="ListBullet2"/>
            </w:pPr>
            <w:r w:rsidRPr="00175A0C">
              <w:t>121.5/MHz (homi</w:t>
            </w:r>
            <w:r w:rsidRPr="00175A0C">
              <w:t>ng)</w:t>
            </w:r>
          </w:p>
          <w:p w:rsidR="00000000" w:rsidRPr="00175A0C" w:rsidP="00175A0C">
            <w:pPr>
              <w:pStyle w:val="ListBullet"/>
            </w:pPr>
            <w:r w:rsidRPr="00175A0C">
              <w:t>marine VHF repeater stations</w:t>
            </w:r>
          </w:p>
          <w:p w:rsidR="00000000" w:rsidRPr="00175A0C" w:rsidP="00175A0C">
            <w:pPr>
              <w:pStyle w:val="ListBullet"/>
            </w:pPr>
            <w:r w:rsidRPr="00175A0C">
              <w:t>methods of communicating vessel position</w:t>
            </w:r>
          </w:p>
          <w:p w:rsidR="00000000" w:rsidRPr="00175A0C" w:rsidP="00175A0C">
            <w:pPr>
              <w:pStyle w:val="ListBullet"/>
            </w:pPr>
            <w:r w:rsidRPr="00175A0C">
              <w:t>organisations with which radio communication may be conducted including:</w:t>
            </w:r>
          </w:p>
          <w:p w:rsidR="00000000" w:rsidRPr="00175A0C" w:rsidP="00175A0C">
            <w:pPr>
              <w:pStyle w:val="ListBullet2"/>
            </w:pPr>
            <w:r w:rsidRPr="00175A0C">
              <w:t>coast stations</w:t>
            </w:r>
          </w:p>
          <w:p w:rsidR="00000000" w:rsidRPr="00175A0C" w:rsidP="00175A0C">
            <w:pPr>
              <w:pStyle w:val="ListBullet2"/>
            </w:pPr>
            <w:r w:rsidRPr="00175A0C">
              <w:t>fishing organisations and co-operatives</w:t>
            </w:r>
          </w:p>
          <w:p w:rsidR="00000000" w:rsidRPr="00175A0C" w:rsidP="00175A0C">
            <w:pPr>
              <w:pStyle w:val="ListBullet2"/>
            </w:pPr>
            <w:r w:rsidRPr="00175A0C">
              <w:t>limited coast stations</w:t>
            </w:r>
          </w:p>
          <w:p w:rsidR="00000000" w:rsidRPr="00175A0C" w:rsidP="00175A0C">
            <w:pPr>
              <w:pStyle w:val="ListBullet2"/>
            </w:pPr>
            <w:r w:rsidRPr="00175A0C">
              <w:t>private shore stations, including boating clubs</w:t>
            </w:r>
          </w:p>
          <w:p w:rsidR="00000000" w:rsidRPr="00175A0C" w:rsidP="00175A0C">
            <w:pPr>
              <w:pStyle w:val="ListBullet2"/>
            </w:pPr>
            <w:r w:rsidRPr="00175A0C">
              <w:t>state/territory police forces</w:t>
            </w:r>
          </w:p>
          <w:p w:rsidR="00000000" w:rsidRPr="00175A0C" w:rsidP="00175A0C">
            <w:pPr>
              <w:pStyle w:val="ListBullet"/>
            </w:pPr>
            <w:r w:rsidRPr="00175A0C">
              <w:t>principles of, and procedures for, marine VHF radio communications</w:t>
            </w:r>
          </w:p>
          <w:p w:rsidR="00000000" w:rsidRPr="00175A0C" w:rsidP="00175A0C">
            <w:pPr>
              <w:pStyle w:val="ListBullet"/>
            </w:pPr>
            <w:r w:rsidRPr="00175A0C">
              <w:t>procedures for transmitting and decoding the phonetic alphabet</w:t>
            </w:r>
          </w:p>
          <w:p w:rsidR="00000000" w:rsidRPr="00175A0C" w:rsidP="00175A0C">
            <w:pPr>
              <w:pStyle w:val="ListBullet"/>
            </w:pPr>
            <w:r w:rsidRPr="00175A0C">
              <w:t>purpose of monitoring the VHF Channel 70 used f</w:t>
            </w:r>
            <w:r w:rsidRPr="00175A0C">
              <w:t>or DSC, including an awareness of the procedures used in making a DSC distress alert, urgency and safety announcement</w:t>
            </w:r>
          </w:p>
          <w:p w:rsidR="00000000" w:rsidRPr="00175A0C" w:rsidP="00175A0C">
            <w:pPr>
              <w:pStyle w:val="ListBullet"/>
            </w:pPr>
            <w:r w:rsidRPr="00175A0C">
              <w:t>radio communication including:</w:t>
            </w:r>
          </w:p>
          <w:p w:rsidR="00000000" w:rsidRPr="00175A0C" w:rsidP="00175A0C">
            <w:pPr>
              <w:pStyle w:val="ListBullet2"/>
            </w:pPr>
            <w:r w:rsidRPr="00175A0C">
              <w:t>distress, urgency and safety communications</w:t>
            </w:r>
          </w:p>
          <w:p w:rsidR="00000000" w:rsidRPr="00175A0C" w:rsidP="00175A0C">
            <w:pPr>
              <w:pStyle w:val="ListBullet2"/>
            </w:pPr>
            <w:r w:rsidRPr="00175A0C">
              <w:t>normal vessel-to-shore service (ship-to-shore)</w:t>
            </w:r>
          </w:p>
          <w:p w:rsidR="00000000" w:rsidRPr="00175A0C" w:rsidP="00175A0C">
            <w:pPr>
              <w:pStyle w:val="ListBullet2"/>
            </w:pPr>
            <w:r w:rsidRPr="00175A0C">
              <w:t>normal vessel-t</w:t>
            </w:r>
            <w:r w:rsidRPr="00175A0C">
              <w:t>o-vessel service (ship-to-ship)</w:t>
            </w:r>
          </w:p>
          <w:p w:rsidR="00000000" w:rsidRPr="00175A0C" w:rsidP="00175A0C">
            <w:pPr>
              <w:pStyle w:val="ListBullet"/>
            </w:pPr>
            <w:r w:rsidRPr="00175A0C">
              <w:t>sections of relevant regulations related to marine VHF radio communications</w:t>
            </w:r>
          </w:p>
          <w:p w:rsidR="00000000" w:rsidRPr="00175A0C" w:rsidP="00175A0C">
            <w:pPr>
              <w:pStyle w:val="ListBullet"/>
            </w:pPr>
            <w:r w:rsidRPr="00175A0C">
              <w:t>VHF radio calling, replying and relaying procedures.</w:t>
            </w:r>
          </w:p>
        </w:tc>
      </w:tr>
    </w:tbl>
    <w:p w:rsidR="00000000" w:rsidRPr="00175A0C" w:rsidP="00175A0C">
      <w:pPr>
        <w:pStyle w:val="NoPaddingFontSize1"/>
      </w:pPr>
    </w:p>
    <w:p w:rsidR="00000000" w:rsidRPr="00175A0C" w:rsidP="00175A0C">
      <w:pPr>
        <w:pStyle w:val="AllowPageBreak"/>
      </w:pPr>
    </w:p>
    <w:p w:rsidR="00000000" w:rsidRPr="00175A0C" w:rsidP="00175A0C">
      <w:pPr>
        <w:pStyle w:val="Heading1"/>
      </w:pPr>
      <w:bookmarkStart w:id="4" w:name="O_1285149"/>
      <w:bookmarkEnd w:id="4"/>
      <w:r w:rsidRPr="00175A0C">
        <w:t>Assessment Conditions</w:t>
      </w:r>
    </w:p>
    <w:tbl>
      <w:tblPr>
        <w:tblW w:w="9497" w:type="dxa"/>
        <w:tblLayout w:type="fixed"/>
        <w:tblCellMar>
          <w:left w:w="62" w:type="dxa"/>
          <w:right w:w="62" w:type="dxa"/>
        </w:tblCellMar>
        <w:tblLook w:val="0000"/>
      </w:tblPr>
      <w:tblGrid>
        <w:gridCol w:w="9497"/>
      </w:tblGrid>
      <w:tr w:rsidTr="00175A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A0C" w:rsidP="00175A0C">
            <w:pPr>
              <w:pStyle w:val="BodyText"/>
            </w:pPr>
            <w:r w:rsidRPr="00175A0C">
              <w:t>Assessors must hold credentials specified within the Standards for Registered Training Organisations current at the time of assessment.</w:t>
            </w:r>
          </w:p>
          <w:p w:rsidR="00000000" w:rsidRPr="00175A0C" w:rsidP="00175A0C">
            <w:pPr>
              <w:pStyle w:val="BodyText"/>
            </w:pPr>
            <w:r w:rsidRPr="00175A0C">
              <w:t>Assessment must satisfy the Principles of Assessment and Rules of Evidence and all regulatory requirements included with</w:t>
            </w:r>
            <w:r w:rsidRPr="00175A0C">
              <w:t>in the Standards for Registered Training current at the time of assessment.</w:t>
            </w:r>
          </w:p>
          <w:p w:rsidR="00000000" w:rsidRPr="00175A0C" w:rsidP="00175A0C">
            <w:pPr>
              <w:pStyle w:val="BodyText"/>
            </w:pPr>
            <w:r w:rsidRPr="00175A0C">
              <w:t xml:space="preserve">Assessment processes and techniques must be appropriate to the language, literacy and numeracy </w:t>
            </w:r>
            <w:r w:rsidRPr="00175A0C">
              <w:t>requirements of the work being performed and the needs of the candidate.</w:t>
            </w:r>
          </w:p>
          <w:p w:rsidR="00000000" w:rsidRPr="00175A0C" w:rsidP="00175A0C">
            <w:pPr>
              <w:pStyle w:val="BodyText"/>
            </w:pPr>
            <w:r w:rsidRPr="00175A0C">
              <w:t>Practical as</w:t>
            </w:r>
            <w:r w:rsidRPr="00175A0C">
              <w:t xml:space="preserve">sessment must occur in a workplace, or assessment must occur via an online radio simulator or simulated VHF radio communications activities and exercises covering a range of normal and emergency communication situations that are typically experienced on a </w:t>
            </w:r>
            <w:r w:rsidRPr="00175A0C">
              <w:t xml:space="preserve">vessel. </w:t>
            </w:r>
          </w:p>
          <w:p w:rsidR="00000000" w:rsidRPr="00175A0C" w:rsidP="00175A0C">
            <w:pPr>
              <w:pStyle w:val="BodyText"/>
            </w:pPr>
            <w:r w:rsidRPr="00175A0C">
              <w:t>Simulations and scenarios may be used where situations cannot be provided in the workplace or may occur only rarely, in particular for situations relating to emergency procedures and adverse weather conditions where assessment would be unsafe, imp</w:t>
            </w:r>
            <w:r w:rsidRPr="00175A0C">
              <w:t>ractical or may lead to environmental damage.</w:t>
            </w:r>
          </w:p>
          <w:p w:rsidR="00000000" w:rsidRPr="00175A0C" w:rsidP="00175A0C">
            <w:pPr>
              <w:pStyle w:val="BodyText"/>
            </w:pPr>
            <w:r w:rsidRPr="00175A0C">
              <w:t>Resources for assessment must include access to:</w:t>
            </w:r>
          </w:p>
          <w:p w:rsidR="00000000" w:rsidRPr="00175A0C" w:rsidP="00175A0C">
            <w:pPr>
              <w:pStyle w:val="ListBullet"/>
            </w:pPr>
            <w:r w:rsidRPr="00175A0C">
              <w:t>a range of relevant exercises, case studies and/or simulations</w:t>
            </w:r>
          </w:p>
          <w:p w:rsidR="00000000" w:rsidRPr="00175A0C" w:rsidP="00175A0C">
            <w:pPr>
              <w:pStyle w:val="ListBullet"/>
            </w:pPr>
            <w:r w:rsidRPr="00175A0C">
              <w:t>documentation, such as legislation, regulations, codes of practice, workplace procedures and oper</w:t>
            </w:r>
            <w:r w:rsidRPr="00175A0C">
              <w:t>ational manuals, including:</w:t>
            </w:r>
          </w:p>
          <w:p w:rsidR="00000000" w:rsidRPr="00175A0C" w:rsidP="00175A0C">
            <w:pPr>
              <w:pStyle w:val="ListBullet2"/>
            </w:pPr>
            <w:r w:rsidRPr="00175A0C">
              <w:t>Marine Radio Operators VHF Handbook</w:t>
            </w:r>
          </w:p>
          <w:p w:rsidR="00000000" w:rsidRPr="00175A0C" w:rsidP="00175A0C">
            <w:pPr>
              <w:pStyle w:val="ListBullet2"/>
            </w:pPr>
            <w:r w:rsidRPr="00175A0C">
              <w:t>Radiocommunications (Maritime Ship Station – 27 MHz and VHF) Class Licence 2001</w:t>
            </w:r>
          </w:p>
          <w:p w:rsidR="00000000" w:rsidRPr="00175A0C" w:rsidP="00175A0C">
            <w:pPr>
              <w:pStyle w:val="ListBullet2"/>
            </w:pPr>
            <w:r w:rsidRPr="00175A0C">
              <w:t xml:space="preserve">Radiocommunications Act 1992 </w:t>
            </w:r>
          </w:p>
          <w:p w:rsidR="00000000" w:rsidRPr="00175A0C" w:rsidP="00175A0C">
            <w:pPr>
              <w:pStyle w:val="ListBullet2"/>
            </w:pPr>
            <w:r w:rsidRPr="00175A0C">
              <w:t>relevant state/territory legislation – for carriage requirements</w:t>
            </w:r>
          </w:p>
          <w:p w:rsidR="00000000" w:rsidRPr="00175A0C" w:rsidP="00175A0C">
            <w:pPr>
              <w:pStyle w:val="ListBullet"/>
            </w:pPr>
            <w:r w:rsidRPr="00175A0C">
              <w:t>VHF transceiver equipment – either fixed or handheld, or approved personal computer (PC)-based simulator, which includes a DSC facility.</w:t>
            </w:r>
          </w:p>
        </w:tc>
      </w:tr>
    </w:tbl>
    <w:p w:rsidR="00000000" w:rsidRPr="00175A0C" w:rsidP="00175A0C">
      <w:pPr>
        <w:pStyle w:val="NoPaddingFontSize1"/>
      </w:pPr>
    </w:p>
    <w:p w:rsidR="00000000" w:rsidRPr="00175A0C" w:rsidP="00175A0C">
      <w:pPr>
        <w:pStyle w:val="AllowPageBreak"/>
      </w:pPr>
    </w:p>
    <w:p w:rsidR="00000000" w:rsidRPr="00175A0C" w:rsidP="00175A0C">
      <w:pPr>
        <w:pStyle w:val="Heading1"/>
      </w:pPr>
      <w:bookmarkStart w:id="5" w:name="O_1285164"/>
      <w:bookmarkEnd w:id="5"/>
      <w:r w:rsidRPr="00175A0C">
        <w:t>Links</w:t>
      </w:r>
    </w:p>
    <w:p w:rsidR="00000000" w:rsidRPr="00175A0C" w:rsidP="000E524C">
      <w:pPr>
        <w:pStyle w:val="BodyText"/>
      </w:pPr>
      <w:r w:rsidRPr="00175A0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F4DF1">
        <w:rPr>
          <w:rStyle w:val="Hyperlink"/>
        </w:rPr>
        <w:t>https://vetnet.gov.au/Pages/TrainingDocs.aspx?q=772efb7b-4cce-47fe-9bbd-ee3b1d1eb4c2</w:t>
      </w:r>
      <w:r>
        <w:fldChar w:fldCharType="end"/>
      </w:r>
    </w:p>
    <w:p w:rsidR="00000000" w:rsidRPr="00175A0C" w:rsidP="00175A0C"/>
    <w:sectPr w:rsidSect="00175A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0C" w:rsidRPr="000E524C" w:rsidP="000E5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4C" w:rsidP="00175A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524C" w:rsidP="00175A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E524C" w:rsidP="00175A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A0C" w:rsidRPr="000E524C" w:rsidP="000E5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4C" w:rsidRPr="002D2AF8" w:rsidP="00175A0C">
    <w:pPr>
      <w:pStyle w:val="Header"/>
      <w:framePr w:wrap="around"/>
    </w:pPr>
    <w:r>
      <w:fldChar w:fldCharType="begin"/>
    </w:r>
    <w:r>
      <w:instrText xml:space="preserve"> TITLE   \* MERGEFORMAT </w:instrText>
    </w:r>
    <w:r>
      <w:fldChar w:fldCharType="separate"/>
    </w:r>
    <w:r>
      <w:t>Assessment Requirements for MARC059 Transmit and receive information by marine VHF radio within Australian Territorial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0E524C" w:rsidP="00175A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7EB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AA7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A4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A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A0C"/>
    <w:pPr>
      <w:spacing w:before="360" w:after="60"/>
      <w:outlineLvl w:val="0"/>
    </w:pPr>
    <w:rPr>
      <w:sz w:val="32"/>
    </w:rPr>
  </w:style>
  <w:style w:type="paragraph" w:styleId="Heading2">
    <w:name w:val="heading 2"/>
    <w:basedOn w:val="HeadingBase"/>
    <w:next w:val="BodyText"/>
    <w:link w:val="Heading2Char"/>
    <w:qFormat/>
    <w:rsid w:val="00175A0C"/>
    <w:pPr>
      <w:keepLines/>
      <w:spacing w:before="240" w:after="120"/>
      <w:outlineLvl w:val="1"/>
    </w:pPr>
    <w:rPr>
      <w:sz w:val="28"/>
      <w:szCs w:val="40"/>
    </w:rPr>
  </w:style>
  <w:style w:type="paragraph" w:styleId="Heading3">
    <w:name w:val="heading 3"/>
    <w:basedOn w:val="HeadingBase"/>
    <w:next w:val="BodyText"/>
    <w:link w:val="Heading3Char"/>
    <w:qFormat/>
    <w:rsid w:val="00175A0C"/>
    <w:pPr>
      <w:spacing w:before="180" w:after="120"/>
      <w:outlineLvl w:val="2"/>
    </w:pPr>
    <w:rPr>
      <w:spacing w:val="-10"/>
      <w:kern w:val="32"/>
    </w:rPr>
  </w:style>
  <w:style w:type="paragraph" w:styleId="Heading4">
    <w:name w:val="heading 4"/>
    <w:basedOn w:val="HeadingBase"/>
    <w:next w:val="BodyText"/>
    <w:link w:val="Heading4Char"/>
    <w:qFormat/>
    <w:rsid w:val="00175A0C"/>
    <w:pPr>
      <w:spacing w:before="160" w:after="120"/>
      <w:outlineLvl w:val="3"/>
    </w:pPr>
    <w:rPr>
      <w:sz w:val="22"/>
    </w:rPr>
  </w:style>
  <w:style w:type="paragraph" w:styleId="Heading5">
    <w:name w:val="heading 5"/>
    <w:basedOn w:val="HeadingBase"/>
    <w:next w:val="Normal"/>
    <w:link w:val="Heading5Char"/>
    <w:qFormat/>
    <w:rsid w:val="00175A0C"/>
    <w:pPr>
      <w:spacing w:before="80"/>
      <w:outlineLvl w:val="4"/>
    </w:pPr>
    <w:rPr>
      <w:color w:val="918585"/>
      <w:sz w:val="20"/>
    </w:rPr>
  </w:style>
  <w:style w:type="paragraph" w:styleId="Heading6">
    <w:name w:val="heading 6"/>
    <w:basedOn w:val="HeadingBase"/>
    <w:next w:val="Normal"/>
    <w:link w:val="Heading6Char"/>
    <w:qFormat/>
    <w:rsid w:val="00175A0C"/>
    <w:pPr>
      <w:spacing w:before="60"/>
      <w:outlineLvl w:val="5"/>
    </w:pPr>
    <w:rPr>
      <w:color w:val="918585"/>
      <w:sz w:val="20"/>
    </w:rPr>
  </w:style>
  <w:style w:type="paragraph" w:styleId="Heading7">
    <w:name w:val="heading 7"/>
    <w:basedOn w:val="Normal"/>
    <w:next w:val="Normal"/>
    <w:link w:val="Heading7Char"/>
    <w:qFormat/>
    <w:rsid w:val="00175A0C"/>
    <w:pPr>
      <w:ind w:left="720"/>
      <w:outlineLvl w:val="6"/>
    </w:pPr>
    <w:rPr>
      <w:i/>
    </w:rPr>
  </w:style>
  <w:style w:type="paragraph" w:styleId="Heading8">
    <w:name w:val="heading 8"/>
    <w:basedOn w:val="Normal"/>
    <w:next w:val="Normal"/>
    <w:link w:val="Heading8Char"/>
    <w:qFormat/>
    <w:rsid w:val="00175A0C"/>
    <w:pPr>
      <w:ind w:left="720"/>
      <w:outlineLvl w:val="7"/>
    </w:pPr>
    <w:rPr>
      <w:i/>
    </w:rPr>
  </w:style>
  <w:style w:type="paragraph" w:styleId="Heading9">
    <w:name w:val="heading 9"/>
    <w:basedOn w:val="Normal"/>
    <w:next w:val="Normal"/>
    <w:link w:val="Heading9Char"/>
    <w:qFormat/>
    <w:rsid w:val="00175A0C"/>
    <w:pPr>
      <w:ind w:left="720"/>
      <w:outlineLvl w:val="8"/>
    </w:pPr>
    <w:rPr>
      <w:i/>
    </w:rPr>
  </w:style>
  <w:style w:type="character" w:default="1" w:styleId="DefaultParagraphFont">
    <w:name w:val="Default Paragraph Font"/>
    <w:uiPriority w:val="1"/>
    <w:unhideWhenUsed/>
    <w:rsid w:val="00175A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A0C"/>
  </w:style>
  <w:style w:type="character" w:customStyle="1" w:styleId="Heading1Char">
    <w:name w:val="Heading 1 Char"/>
    <w:basedOn w:val="DefaultParagraphFont"/>
    <w:link w:val="Heading1"/>
    <w:rsid w:val="00175A0C"/>
    <w:rPr>
      <w:rFonts w:ascii="Times New Roman" w:eastAsia="Times New Roman" w:hAnsi="Times New Roman" w:cs="Times New Roman"/>
      <w:b/>
      <w:sz w:val="32"/>
      <w:szCs w:val="20"/>
      <w:lang w:eastAsia="en-US"/>
    </w:rPr>
  </w:style>
  <w:style w:type="paragraph" w:styleId="BodyText">
    <w:name w:val="Body Text"/>
    <w:basedOn w:val="Normal"/>
    <w:link w:val="BodyTextChar"/>
    <w:rsid w:val="00175A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A0C"/>
    <w:rPr>
      <w:rFonts w:ascii="Times New Roman" w:eastAsia="Times New Roman" w:hAnsi="Times New Roman" w:cs="Times New Roman"/>
      <w:sz w:val="24"/>
      <w:lang w:eastAsia="en-US"/>
    </w:rPr>
  </w:style>
  <w:style w:type="paragraph" w:styleId="ListBullet">
    <w:name w:val="List Bullet"/>
    <w:basedOn w:val="List"/>
    <w:rsid w:val="00175A0C"/>
    <w:pPr>
      <w:numPr>
        <w:numId w:val="12"/>
      </w:numPr>
      <w:tabs>
        <w:tab w:val="clear" w:pos="340"/>
      </w:tabs>
      <w:spacing w:before="40" w:after="40"/>
    </w:pPr>
  </w:style>
  <w:style w:type="character" w:customStyle="1" w:styleId="SpecialBold">
    <w:name w:val="Special Bold"/>
    <w:basedOn w:val="DefaultParagraphFont"/>
    <w:rsid w:val="00175A0C"/>
    <w:rPr>
      <w:b/>
      <w:spacing w:val="0"/>
    </w:rPr>
  </w:style>
  <w:style w:type="paragraph" w:styleId="ListBullet2">
    <w:name w:val="List Bullet 2"/>
    <w:basedOn w:val="List2"/>
    <w:rsid w:val="00175A0C"/>
    <w:pPr>
      <w:numPr>
        <w:numId w:val="13"/>
      </w:numPr>
      <w:tabs>
        <w:tab w:val="clear" w:pos="680"/>
      </w:tabs>
    </w:pPr>
  </w:style>
  <w:style w:type="paragraph" w:customStyle="1" w:styleId="SuperHeading">
    <w:name w:val="SuperHeading"/>
    <w:basedOn w:val="Normal"/>
    <w:rsid w:val="00175A0C"/>
    <w:pPr>
      <w:spacing w:before="240" w:after="120"/>
      <w:outlineLvl w:val="0"/>
    </w:pPr>
    <w:rPr>
      <w:rFonts w:ascii="Times New Roman" w:hAnsi="Times New Roman"/>
      <w:b/>
      <w:sz w:val="32"/>
    </w:rPr>
  </w:style>
  <w:style w:type="paragraph" w:customStyle="1" w:styleId="AllowPageBreak">
    <w:name w:val="AllowPageBreak"/>
    <w:rsid w:val="00175A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5A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A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A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A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A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A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A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A0C"/>
    <w:rPr>
      <w:rFonts w:ascii="Courier New" w:eastAsia="Times New Roman" w:hAnsi="Courier New" w:cs="Times New Roman"/>
      <w:i/>
      <w:szCs w:val="20"/>
      <w:lang w:eastAsia="en-US"/>
    </w:rPr>
  </w:style>
  <w:style w:type="paragraph" w:customStyle="1" w:styleId="HeadingBase">
    <w:name w:val="Heading Base"/>
    <w:rsid w:val="00175A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A0C"/>
    <w:pPr>
      <w:tabs>
        <w:tab w:val="right" w:leader="dot" w:pos="9072"/>
      </w:tabs>
      <w:ind w:left="567"/>
    </w:pPr>
    <w:rPr>
      <w:szCs w:val="22"/>
    </w:rPr>
  </w:style>
  <w:style w:type="paragraph" w:customStyle="1" w:styleId="TOCBase">
    <w:name w:val="TOC Base"/>
    <w:rsid w:val="00175A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A0C"/>
    <w:pPr>
      <w:tabs>
        <w:tab w:val="right" w:leader="dot" w:pos="9072"/>
      </w:tabs>
      <w:spacing w:before="40" w:after="40"/>
      <w:ind w:left="284"/>
    </w:pPr>
    <w:rPr>
      <w:rFonts w:ascii="Times New Roman" w:hAnsi="Times New Roman"/>
    </w:rPr>
  </w:style>
  <w:style w:type="paragraph" w:styleId="TOC1">
    <w:name w:val="toc 1"/>
    <w:basedOn w:val="TOCBase"/>
    <w:next w:val="Normal"/>
    <w:rsid w:val="00175A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A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A0C"/>
    <w:rPr>
      <w:rFonts w:ascii="Times New Roman" w:eastAsia="Times New Roman" w:hAnsi="Times New Roman" w:cs="Times New Roman"/>
      <w:sz w:val="16"/>
      <w:lang w:eastAsia="en-US"/>
    </w:rPr>
  </w:style>
  <w:style w:type="paragraph" w:styleId="Title">
    <w:name w:val="Title"/>
    <w:basedOn w:val="HeadingBase"/>
    <w:link w:val="TitleChar"/>
    <w:qFormat/>
    <w:rsid w:val="00175A0C"/>
    <w:pPr>
      <w:spacing w:before="5040"/>
      <w:jc w:val="center"/>
    </w:pPr>
    <w:rPr>
      <w:sz w:val="48"/>
      <w:szCs w:val="72"/>
      <w:lang w:val="en-US"/>
    </w:rPr>
  </w:style>
  <w:style w:type="character" w:customStyle="1" w:styleId="TitleChar">
    <w:name w:val="Title Char"/>
    <w:basedOn w:val="DefaultParagraphFont"/>
    <w:link w:val="Title"/>
    <w:rsid w:val="00175A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A0C"/>
    <w:pPr>
      <w:tabs>
        <w:tab w:val="left" w:pos="3600"/>
        <w:tab w:val="left" w:pos="3958"/>
      </w:tabs>
    </w:pPr>
  </w:style>
  <w:style w:type="paragraph" w:styleId="List">
    <w:name w:val="List"/>
    <w:basedOn w:val="BodyText"/>
    <w:next w:val="BodyText"/>
    <w:rsid w:val="00175A0C"/>
    <w:pPr>
      <w:tabs>
        <w:tab w:val="left" w:pos="340"/>
      </w:tabs>
      <w:spacing w:before="60" w:after="60"/>
      <w:ind w:left="340" w:hanging="340"/>
    </w:pPr>
  </w:style>
  <w:style w:type="paragraph" w:customStyle="1" w:styleId="Note">
    <w:name w:val="Note"/>
    <w:basedOn w:val="BodyText"/>
    <w:rsid w:val="00175A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A0C"/>
    <w:pPr>
      <w:framePr w:wrap="auto" w:hAnchor="text" w:y="6049"/>
    </w:pPr>
    <w:rPr>
      <w:color w:val="000000"/>
      <w:sz w:val="40"/>
    </w:rPr>
  </w:style>
  <w:style w:type="paragraph" w:customStyle="1" w:styleId="TOCTitle">
    <w:name w:val="TOCTitle"/>
    <w:basedOn w:val="Heading1"/>
    <w:rsid w:val="00175A0C"/>
    <w:pPr>
      <w:spacing w:after="240"/>
      <w:jc w:val="center"/>
      <w:outlineLvl w:val="9"/>
    </w:pPr>
    <w:rPr>
      <w:caps/>
    </w:rPr>
  </w:style>
  <w:style w:type="paragraph" w:customStyle="1" w:styleId="Version">
    <w:name w:val="Version"/>
    <w:rsid w:val="00175A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A0C"/>
    <w:pPr>
      <w:keepNext w:val="0"/>
      <w:tabs>
        <w:tab w:val="right" w:pos="4176"/>
      </w:tabs>
      <w:ind w:left="198" w:hanging="198"/>
    </w:pPr>
    <w:rPr>
      <w:rFonts w:ascii="Garamond" w:hAnsi="Garamond"/>
    </w:rPr>
  </w:style>
  <w:style w:type="paragraph" w:styleId="IndexHeading">
    <w:name w:val="index heading"/>
    <w:basedOn w:val="Normal"/>
    <w:next w:val="Index1"/>
    <w:semiHidden/>
    <w:rsid w:val="00175A0C"/>
    <w:pPr>
      <w:spacing w:before="120" w:after="120"/>
    </w:pPr>
    <w:rPr>
      <w:rFonts w:ascii="Arial" w:hAnsi="Arial"/>
      <w:b/>
      <w:color w:val="918585"/>
      <w:sz w:val="24"/>
    </w:rPr>
  </w:style>
  <w:style w:type="paragraph" w:styleId="Header">
    <w:name w:val="header"/>
    <w:basedOn w:val="Normal"/>
    <w:link w:val="HeaderChar"/>
    <w:rsid w:val="00175A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A0C"/>
    <w:rPr>
      <w:rFonts w:ascii="Times New Roman" w:eastAsia="Times New Roman" w:hAnsi="Times New Roman" w:cs="Times New Roman"/>
      <w:sz w:val="16"/>
      <w:szCs w:val="20"/>
      <w:lang w:val="en-GB" w:eastAsia="en-US"/>
    </w:rPr>
  </w:style>
  <w:style w:type="paragraph" w:customStyle="1" w:styleId="Chapter">
    <w:name w:val="Chapter"/>
    <w:basedOn w:val="Normal"/>
    <w:rsid w:val="00175A0C"/>
    <w:pPr>
      <w:spacing w:before="240"/>
    </w:pPr>
    <w:rPr>
      <w:rFonts w:ascii="Times New Roman" w:hAnsi="Times New Roman"/>
      <w:smallCaps/>
      <w:spacing w:val="80"/>
      <w:sz w:val="28"/>
    </w:rPr>
  </w:style>
  <w:style w:type="paragraph" w:customStyle="1" w:styleId="InChapter">
    <w:name w:val="InChapter"/>
    <w:basedOn w:val="Heading3"/>
    <w:rsid w:val="00175A0C"/>
    <w:pPr>
      <w:spacing w:after="240"/>
      <w:outlineLvl w:val="9"/>
    </w:pPr>
    <w:rPr>
      <w:noProof/>
    </w:rPr>
  </w:style>
  <w:style w:type="paragraph" w:styleId="Index2">
    <w:name w:val="index 2"/>
    <w:basedOn w:val="Normal"/>
    <w:next w:val="Normal"/>
    <w:semiHidden/>
    <w:rsid w:val="00175A0C"/>
    <w:pPr>
      <w:tabs>
        <w:tab w:val="right" w:pos="4176"/>
      </w:tabs>
      <w:ind w:left="568" w:hanging="284"/>
    </w:pPr>
    <w:rPr>
      <w:rFonts w:ascii="Garamond" w:hAnsi="Garamond"/>
    </w:rPr>
  </w:style>
  <w:style w:type="paragraph" w:customStyle="1" w:styleId="Byline">
    <w:name w:val="Byline"/>
    <w:rsid w:val="00175A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A0C"/>
    <w:pPr>
      <w:tabs>
        <w:tab w:val="clear" w:pos="3600"/>
        <w:tab w:val="clear" w:pos="3958"/>
      </w:tabs>
      <w:jc w:val="right"/>
    </w:pPr>
  </w:style>
  <w:style w:type="character" w:styleId="Emphasis">
    <w:name w:val="Emphasis"/>
    <w:basedOn w:val="DefaultParagraphFont"/>
    <w:qFormat/>
    <w:rsid w:val="00175A0C"/>
    <w:rPr>
      <w:i/>
    </w:rPr>
  </w:style>
  <w:style w:type="paragraph" w:styleId="Caption">
    <w:name w:val="caption"/>
    <w:basedOn w:val="BodyText"/>
    <w:next w:val="Normal"/>
    <w:qFormat/>
    <w:rsid w:val="00175A0C"/>
    <w:pPr>
      <w:framePr w:w="2268" w:hSpace="181" w:vSpace="181" w:wrap="around" w:vAnchor="text" w:hAnchor="page" w:x="1135" w:y="285" w:anchorLock="1"/>
    </w:pPr>
    <w:rPr>
      <w:i/>
    </w:rPr>
  </w:style>
  <w:style w:type="paragraph" w:customStyle="1" w:styleId="MiniTOCTitle">
    <w:name w:val="MiniTOCTitle"/>
    <w:basedOn w:val="Heading4"/>
    <w:rsid w:val="00175A0C"/>
    <w:pPr>
      <w:spacing w:before="240"/>
      <w:outlineLvl w:val="9"/>
    </w:pPr>
    <w:rPr>
      <w:noProof/>
      <w:sz w:val="24"/>
    </w:rPr>
  </w:style>
  <w:style w:type="paragraph" w:customStyle="1" w:styleId="MiniTOCItem">
    <w:name w:val="MiniTOCItem"/>
    <w:basedOn w:val="ListBullet"/>
    <w:rsid w:val="00175A0C"/>
    <w:pPr>
      <w:numPr>
        <w:numId w:val="0"/>
      </w:numPr>
      <w:tabs>
        <w:tab w:val="right" w:leader="dot" w:pos="6521"/>
      </w:tabs>
      <w:spacing w:before="0" w:after="0"/>
    </w:pPr>
  </w:style>
  <w:style w:type="paragraph" w:customStyle="1" w:styleId="TOFTitle">
    <w:name w:val="TOFTitle"/>
    <w:basedOn w:val="TOCTitle"/>
    <w:rsid w:val="00175A0C"/>
  </w:style>
  <w:style w:type="paragraph" w:styleId="TableofFigures">
    <w:name w:val="table of figures"/>
    <w:basedOn w:val="Normal"/>
    <w:next w:val="Normal"/>
    <w:semiHidden/>
    <w:rsid w:val="00175A0C"/>
    <w:pPr>
      <w:tabs>
        <w:tab w:val="right" w:leader="dot" w:pos="9072"/>
      </w:tabs>
      <w:ind w:left="970" w:hanging="403"/>
    </w:pPr>
    <w:rPr>
      <w:rFonts w:ascii="Times New Roman" w:hAnsi="Times New Roman"/>
      <w:b/>
    </w:rPr>
  </w:style>
  <w:style w:type="paragraph" w:styleId="ListNumber">
    <w:name w:val="List Number"/>
    <w:basedOn w:val="List"/>
    <w:rsid w:val="00175A0C"/>
    <w:pPr>
      <w:numPr>
        <w:numId w:val="15"/>
      </w:numPr>
      <w:tabs>
        <w:tab w:val="clear" w:pos="340"/>
      </w:tabs>
    </w:pPr>
  </w:style>
  <w:style w:type="character" w:customStyle="1" w:styleId="WingdingSymbols">
    <w:name w:val="Wingding Symbols"/>
    <w:rsid w:val="00175A0C"/>
    <w:rPr>
      <w:rFonts w:ascii="Wingdings" w:hAnsi="Wingdings"/>
    </w:rPr>
  </w:style>
  <w:style w:type="paragraph" w:customStyle="1" w:styleId="TableHeading">
    <w:name w:val="Table Heading"/>
    <w:basedOn w:val="HeadingBase"/>
    <w:rsid w:val="00175A0C"/>
    <w:pPr>
      <w:keepLines/>
      <w:pBdr>
        <w:bottom w:val="single" w:sz="6" w:space="1" w:color="918585"/>
      </w:pBdr>
      <w:spacing w:before="240"/>
    </w:pPr>
  </w:style>
  <w:style w:type="character" w:customStyle="1" w:styleId="HotSpot">
    <w:name w:val="HotSpot"/>
    <w:rsid w:val="00175A0C"/>
    <w:rPr>
      <w:color w:val="0033CC"/>
      <w:u w:val="none"/>
    </w:rPr>
  </w:style>
  <w:style w:type="paragraph" w:customStyle="1" w:styleId="BodyTextRight">
    <w:name w:val="Body Text Right"/>
    <w:basedOn w:val="BodyText"/>
    <w:rsid w:val="00175A0C"/>
    <w:pPr>
      <w:spacing w:before="0" w:after="0"/>
      <w:jc w:val="right"/>
    </w:pPr>
  </w:style>
  <w:style w:type="paragraph" w:styleId="Index3">
    <w:name w:val="index 3"/>
    <w:basedOn w:val="ListNumber2"/>
    <w:next w:val="Normal"/>
    <w:semiHidden/>
    <w:rsid w:val="00175A0C"/>
    <w:pPr>
      <w:numPr>
        <w:numId w:val="0"/>
      </w:numPr>
      <w:tabs>
        <w:tab w:val="right" w:leader="dot" w:pos="4176"/>
      </w:tabs>
    </w:pPr>
  </w:style>
  <w:style w:type="paragraph" w:styleId="ListNumber2">
    <w:name w:val="List Number 2"/>
    <w:basedOn w:val="List2"/>
    <w:rsid w:val="00175A0C"/>
    <w:pPr>
      <w:numPr>
        <w:numId w:val="10"/>
      </w:numPr>
      <w:tabs>
        <w:tab w:val="clear" w:pos="1060"/>
      </w:tabs>
    </w:pPr>
  </w:style>
  <w:style w:type="paragraph" w:customStyle="1" w:styleId="MarginNote">
    <w:name w:val="Margin Note"/>
    <w:basedOn w:val="BodyText"/>
    <w:rsid w:val="00175A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A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A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A0C"/>
    <w:rPr>
      <w:sz w:val="32"/>
    </w:rPr>
  </w:style>
  <w:style w:type="paragraph" w:customStyle="1" w:styleId="HeadingProcedure">
    <w:name w:val="Heading Procedure"/>
    <w:basedOn w:val="HeadingBase"/>
    <w:next w:val="Normal"/>
    <w:rsid w:val="00175A0C"/>
    <w:pPr>
      <w:tabs>
        <w:tab w:val="left" w:pos="0"/>
      </w:tabs>
      <w:spacing w:before="120" w:after="60"/>
    </w:pPr>
    <w:rPr>
      <w:i/>
      <w:color w:val="918585"/>
      <w:sz w:val="22"/>
    </w:rPr>
  </w:style>
  <w:style w:type="paragraph" w:customStyle="1" w:styleId="TableBodyText">
    <w:name w:val="Table Body Text"/>
    <w:basedOn w:val="BodyText"/>
    <w:rsid w:val="00175A0C"/>
    <w:pPr>
      <w:spacing w:before="60" w:after="60"/>
    </w:pPr>
  </w:style>
  <w:style w:type="paragraph" w:styleId="ListContinue">
    <w:name w:val="List Continue"/>
    <w:basedOn w:val="List"/>
    <w:rsid w:val="00175A0C"/>
    <w:pPr>
      <w:ind w:firstLine="0"/>
    </w:pPr>
  </w:style>
  <w:style w:type="paragraph" w:customStyle="1" w:styleId="ListNote">
    <w:name w:val="List Note"/>
    <w:basedOn w:val="List"/>
    <w:rsid w:val="00175A0C"/>
    <w:pPr>
      <w:pBdr>
        <w:top w:val="single" w:sz="6" w:space="2" w:color="918585"/>
        <w:bottom w:val="single" w:sz="6" w:space="2" w:color="918585"/>
      </w:pBdr>
      <w:tabs>
        <w:tab w:val="left" w:pos="1021"/>
      </w:tabs>
      <w:ind w:firstLine="0"/>
    </w:pPr>
  </w:style>
  <w:style w:type="paragraph" w:customStyle="1" w:styleId="Warning">
    <w:name w:val="Warning"/>
    <w:basedOn w:val="BodyText"/>
    <w:rsid w:val="00175A0C"/>
    <w:pPr>
      <w:shd w:val="clear" w:color="auto" w:fill="D9D9D9"/>
      <w:tabs>
        <w:tab w:val="left" w:pos="992"/>
      </w:tabs>
      <w:ind w:left="119" w:right="119"/>
    </w:pPr>
    <w:rPr>
      <w:sz w:val="20"/>
    </w:rPr>
  </w:style>
  <w:style w:type="paragraph" w:customStyle="1" w:styleId="MarginIcons">
    <w:name w:val="Margin Icons"/>
    <w:basedOn w:val="BodyText"/>
    <w:rsid w:val="00175A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A0C"/>
    <w:rPr>
      <w:rFonts w:ascii="Courier New" w:hAnsi="Courier New"/>
    </w:rPr>
  </w:style>
  <w:style w:type="paragraph" w:customStyle="1" w:styleId="NoteBullet">
    <w:name w:val="Note Bullet"/>
    <w:basedOn w:val="Note"/>
    <w:rsid w:val="00175A0C"/>
    <w:pPr>
      <w:tabs>
        <w:tab w:val="clear" w:pos="680"/>
      </w:tabs>
      <w:spacing w:before="60" w:after="60"/>
    </w:pPr>
  </w:style>
  <w:style w:type="paragraph" w:customStyle="1" w:styleId="SubHeading2">
    <w:name w:val="SubHeading2"/>
    <w:basedOn w:val="HeadingBase"/>
    <w:rsid w:val="00175A0C"/>
    <w:pPr>
      <w:spacing w:before="240" w:after="60"/>
    </w:pPr>
    <w:rPr>
      <w:sz w:val="20"/>
    </w:rPr>
  </w:style>
  <w:style w:type="paragraph" w:customStyle="1" w:styleId="SubHeading1">
    <w:name w:val="SubHeading1"/>
    <w:basedOn w:val="HeadingBase"/>
    <w:rsid w:val="00175A0C"/>
    <w:pPr>
      <w:spacing w:before="240" w:after="60"/>
    </w:pPr>
    <w:rPr>
      <w:color w:val="918585"/>
      <w:sz w:val="22"/>
    </w:rPr>
  </w:style>
  <w:style w:type="paragraph" w:customStyle="1" w:styleId="SideHeading">
    <w:name w:val="Side Heading"/>
    <w:basedOn w:val="HeadingBase"/>
    <w:rsid w:val="00175A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A0C"/>
    <w:pPr>
      <w:tabs>
        <w:tab w:val="num" w:pos="360"/>
      </w:tabs>
    </w:pPr>
  </w:style>
  <w:style w:type="paragraph" w:styleId="PlainText">
    <w:name w:val="Plain Text"/>
    <w:basedOn w:val="Normal"/>
    <w:link w:val="PlainTextChar"/>
    <w:rsid w:val="00175A0C"/>
    <w:rPr>
      <w:sz w:val="20"/>
    </w:rPr>
  </w:style>
  <w:style w:type="character" w:customStyle="1" w:styleId="PlainTextChar">
    <w:name w:val="Plain Text Char"/>
    <w:basedOn w:val="DefaultParagraphFont"/>
    <w:link w:val="PlainText"/>
    <w:rsid w:val="00175A0C"/>
    <w:rPr>
      <w:rFonts w:ascii="Courier New" w:eastAsia="Times New Roman" w:hAnsi="Courier New" w:cs="Times New Roman"/>
      <w:sz w:val="20"/>
      <w:szCs w:val="20"/>
      <w:lang w:eastAsia="en-US"/>
    </w:rPr>
  </w:style>
  <w:style w:type="character" w:customStyle="1" w:styleId="MenuOption">
    <w:name w:val="Menu Option"/>
    <w:basedOn w:val="DefaultParagraphFont"/>
    <w:rsid w:val="00175A0C"/>
    <w:rPr>
      <w:b/>
      <w:smallCaps/>
    </w:rPr>
  </w:style>
  <w:style w:type="paragraph" w:customStyle="1" w:styleId="TableListNumber">
    <w:name w:val="Table List Number"/>
    <w:basedOn w:val="ListNumber"/>
    <w:rsid w:val="00175A0C"/>
    <w:pPr>
      <w:numPr>
        <w:numId w:val="0"/>
      </w:numPr>
    </w:pPr>
  </w:style>
  <w:style w:type="paragraph" w:styleId="TOC4">
    <w:name w:val="toc 4"/>
    <w:basedOn w:val="TOCBase"/>
    <w:next w:val="Normal"/>
    <w:semiHidden/>
    <w:rsid w:val="00175A0C"/>
    <w:pPr>
      <w:tabs>
        <w:tab w:val="right" w:leader="dot" w:pos="9071"/>
      </w:tabs>
      <w:ind w:left="1701"/>
    </w:pPr>
  </w:style>
  <w:style w:type="paragraph" w:customStyle="1" w:styleId="ListAlpha">
    <w:name w:val="List Alpha"/>
    <w:basedOn w:val="List"/>
    <w:rsid w:val="00175A0C"/>
    <w:pPr>
      <w:numPr>
        <w:numId w:val="9"/>
      </w:numPr>
    </w:pPr>
  </w:style>
  <w:style w:type="paragraph" w:customStyle="1" w:styleId="ListAlpha2">
    <w:name w:val="List Alpha 2"/>
    <w:basedOn w:val="List2"/>
    <w:rsid w:val="00175A0C"/>
    <w:pPr>
      <w:numPr>
        <w:numId w:val="8"/>
      </w:numPr>
    </w:pPr>
  </w:style>
  <w:style w:type="paragraph" w:styleId="List2">
    <w:name w:val="List 2"/>
    <w:basedOn w:val="BodyText"/>
    <w:rsid w:val="00175A0C"/>
    <w:pPr>
      <w:tabs>
        <w:tab w:val="left" w:pos="680"/>
      </w:tabs>
      <w:spacing w:before="60" w:after="60"/>
      <w:ind w:left="680" w:hanging="340"/>
    </w:pPr>
  </w:style>
  <w:style w:type="paragraph" w:styleId="List3">
    <w:name w:val="List 3"/>
    <w:basedOn w:val="BodyText"/>
    <w:rsid w:val="00175A0C"/>
    <w:pPr>
      <w:tabs>
        <w:tab w:val="left" w:pos="1021"/>
      </w:tabs>
      <w:spacing w:before="60" w:after="60"/>
      <w:ind w:left="1020" w:hanging="340"/>
    </w:pPr>
  </w:style>
  <w:style w:type="paragraph" w:styleId="List4">
    <w:name w:val="List 4"/>
    <w:basedOn w:val="BodyText"/>
    <w:rsid w:val="00175A0C"/>
    <w:pPr>
      <w:tabs>
        <w:tab w:val="left" w:pos="1361"/>
      </w:tabs>
      <w:spacing w:before="60" w:after="60"/>
      <w:ind w:left="1361" w:hanging="340"/>
    </w:pPr>
  </w:style>
  <w:style w:type="paragraph" w:styleId="List5">
    <w:name w:val="List 5"/>
    <w:basedOn w:val="BodyText"/>
    <w:rsid w:val="00175A0C"/>
    <w:pPr>
      <w:tabs>
        <w:tab w:val="left" w:pos="1701"/>
      </w:tabs>
      <w:spacing w:before="60" w:after="60"/>
      <w:ind w:left="1701" w:hanging="340"/>
    </w:pPr>
  </w:style>
  <w:style w:type="paragraph" w:styleId="ListBullet3">
    <w:name w:val="List Bullet 3"/>
    <w:basedOn w:val="List3"/>
    <w:rsid w:val="00175A0C"/>
    <w:pPr>
      <w:numPr>
        <w:numId w:val="14"/>
      </w:numPr>
      <w:tabs>
        <w:tab w:val="clear" w:pos="1021"/>
      </w:tabs>
      <w:ind w:left="1037" w:hanging="357"/>
    </w:pPr>
  </w:style>
  <w:style w:type="paragraph" w:styleId="ListBullet4">
    <w:name w:val="List Bullet 4"/>
    <w:basedOn w:val="List4"/>
    <w:rsid w:val="00175A0C"/>
    <w:pPr>
      <w:numPr>
        <w:numId w:val="3"/>
      </w:numPr>
      <w:tabs>
        <w:tab w:val="clear" w:pos="1361"/>
      </w:tabs>
    </w:pPr>
  </w:style>
  <w:style w:type="paragraph" w:styleId="ListBullet5">
    <w:name w:val="List Bullet 5"/>
    <w:basedOn w:val="List5"/>
    <w:rsid w:val="00175A0C"/>
    <w:pPr>
      <w:numPr>
        <w:numId w:val="4"/>
      </w:numPr>
    </w:pPr>
  </w:style>
  <w:style w:type="paragraph" w:styleId="ListContinue2">
    <w:name w:val="List Continue 2"/>
    <w:basedOn w:val="List2"/>
    <w:rsid w:val="00175A0C"/>
    <w:pPr>
      <w:ind w:firstLine="0"/>
    </w:pPr>
  </w:style>
  <w:style w:type="paragraph" w:styleId="ListContinue3">
    <w:name w:val="List Continue 3"/>
    <w:basedOn w:val="List3"/>
    <w:rsid w:val="00175A0C"/>
    <w:pPr>
      <w:ind w:left="1021" w:firstLine="0"/>
    </w:pPr>
  </w:style>
  <w:style w:type="paragraph" w:styleId="ListContinue4">
    <w:name w:val="List Continue 4"/>
    <w:basedOn w:val="List4"/>
    <w:rsid w:val="00175A0C"/>
    <w:pPr>
      <w:ind w:firstLine="0"/>
    </w:pPr>
  </w:style>
  <w:style w:type="paragraph" w:styleId="ListContinue5">
    <w:name w:val="List Continue 5"/>
    <w:basedOn w:val="List5"/>
    <w:rsid w:val="00175A0C"/>
    <w:pPr>
      <w:ind w:firstLine="0"/>
    </w:pPr>
  </w:style>
  <w:style w:type="paragraph" w:styleId="ListNumber3">
    <w:name w:val="List Number 3"/>
    <w:basedOn w:val="List3"/>
    <w:rsid w:val="00175A0C"/>
    <w:pPr>
      <w:numPr>
        <w:numId w:val="5"/>
      </w:numPr>
    </w:pPr>
  </w:style>
  <w:style w:type="paragraph" w:styleId="ListNumber4">
    <w:name w:val="List Number 4"/>
    <w:basedOn w:val="List4"/>
    <w:rsid w:val="00175A0C"/>
    <w:pPr>
      <w:numPr>
        <w:numId w:val="6"/>
      </w:numPr>
    </w:pPr>
  </w:style>
  <w:style w:type="paragraph" w:styleId="ListNumber5">
    <w:name w:val="List Number 5"/>
    <w:basedOn w:val="List5"/>
    <w:rsid w:val="00175A0C"/>
    <w:pPr>
      <w:numPr>
        <w:numId w:val="7"/>
      </w:numPr>
    </w:pPr>
  </w:style>
  <w:style w:type="paragraph" w:styleId="BlockText">
    <w:name w:val="Block Text"/>
    <w:basedOn w:val="Normal"/>
    <w:rsid w:val="00175A0C"/>
    <w:pPr>
      <w:spacing w:after="120"/>
      <w:ind w:left="1440" w:right="1440"/>
    </w:pPr>
  </w:style>
  <w:style w:type="character" w:customStyle="1" w:styleId="Subscript">
    <w:name w:val="Subscript"/>
    <w:basedOn w:val="DefaultParagraphFont"/>
    <w:rsid w:val="00175A0C"/>
    <w:rPr>
      <w:sz w:val="16"/>
      <w:vertAlign w:val="subscript"/>
    </w:rPr>
  </w:style>
  <w:style w:type="character" w:customStyle="1" w:styleId="Superscript">
    <w:name w:val="Superscript"/>
    <w:basedOn w:val="DefaultParagraphFont"/>
    <w:rsid w:val="00175A0C"/>
    <w:rPr>
      <w:sz w:val="16"/>
      <w:vertAlign w:val="superscript"/>
    </w:rPr>
  </w:style>
  <w:style w:type="character" w:customStyle="1" w:styleId="Symbols">
    <w:name w:val="Symbols"/>
    <w:basedOn w:val="DefaultParagraphFont"/>
    <w:rsid w:val="00175A0C"/>
    <w:rPr>
      <w:rFonts w:ascii="Symbol" w:hAnsi="Symbol"/>
    </w:rPr>
  </w:style>
  <w:style w:type="character" w:customStyle="1" w:styleId="MenuOptions">
    <w:name w:val="Menu Options"/>
    <w:basedOn w:val="DefaultParagraphFont"/>
    <w:rsid w:val="00175A0C"/>
    <w:rPr>
      <w:rFonts w:ascii="Arial Narrow" w:hAnsi="Arial Narrow"/>
      <w:smallCaps/>
    </w:rPr>
  </w:style>
  <w:style w:type="character" w:customStyle="1" w:styleId="Buttons">
    <w:name w:val="Buttons"/>
    <w:basedOn w:val="DefaultParagraphFont"/>
    <w:rsid w:val="00175A0C"/>
    <w:rPr>
      <w:b/>
    </w:rPr>
  </w:style>
  <w:style w:type="character" w:customStyle="1" w:styleId="Underlined">
    <w:name w:val="Underlined"/>
    <w:basedOn w:val="DefaultParagraphFont"/>
    <w:rsid w:val="00175A0C"/>
    <w:rPr>
      <w:u w:val="single"/>
    </w:rPr>
  </w:style>
  <w:style w:type="paragraph" w:customStyle="1" w:styleId="TableBodyTextRight">
    <w:name w:val="Table Body Text Right"/>
    <w:basedOn w:val="TableBodyText"/>
    <w:rsid w:val="00175A0C"/>
    <w:pPr>
      <w:widowControl w:val="0"/>
      <w:autoSpaceDE w:val="0"/>
      <w:autoSpaceDN w:val="0"/>
      <w:adjustRightInd w:val="0"/>
      <w:jc w:val="right"/>
    </w:pPr>
    <w:rPr>
      <w:rFonts w:cs="Arial"/>
      <w:szCs w:val="18"/>
    </w:rPr>
  </w:style>
  <w:style w:type="paragraph" w:customStyle="1" w:styleId="CopyrightText">
    <w:name w:val="Copyright Text"/>
    <w:basedOn w:val="BodyText"/>
    <w:rsid w:val="00175A0C"/>
    <w:rPr>
      <w:sz w:val="18"/>
    </w:rPr>
  </w:style>
  <w:style w:type="paragraph" w:customStyle="1" w:styleId="BodySmallRight">
    <w:name w:val="Body Small Right"/>
    <w:basedOn w:val="BodyTextRight"/>
    <w:rsid w:val="00175A0C"/>
    <w:rPr>
      <w:sz w:val="18"/>
      <w:szCs w:val="18"/>
    </w:rPr>
  </w:style>
  <w:style w:type="paragraph" w:customStyle="1" w:styleId="MarginEdition">
    <w:name w:val="Margin Edition"/>
    <w:basedOn w:val="MarginNote"/>
    <w:rsid w:val="00175A0C"/>
    <w:pPr>
      <w:spacing w:before="0" w:after="0"/>
    </w:pPr>
    <w:rPr>
      <w:rFonts w:ascii="Times New Roman" w:hAnsi="Times New Roman"/>
      <w:color w:val="999999"/>
    </w:rPr>
  </w:style>
  <w:style w:type="paragraph" w:customStyle="1" w:styleId="Spacer">
    <w:name w:val="Spacer"/>
    <w:basedOn w:val="Normal"/>
    <w:rsid w:val="00175A0C"/>
    <w:rPr>
      <w:sz w:val="2"/>
      <w:szCs w:val="2"/>
    </w:rPr>
  </w:style>
  <w:style w:type="character" w:customStyle="1" w:styleId="Small">
    <w:name w:val="Small"/>
    <w:basedOn w:val="DefaultParagraphFont"/>
    <w:rsid w:val="00175A0C"/>
    <w:rPr>
      <w:sz w:val="16"/>
    </w:rPr>
  </w:style>
  <w:style w:type="paragraph" w:customStyle="1" w:styleId="WideTable">
    <w:name w:val="Wide Table"/>
    <w:basedOn w:val="Normal"/>
    <w:rsid w:val="00175A0C"/>
    <w:pPr>
      <w:ind w:left="-1418"/>
    </w:pPr>
    <w:rPr>
      <w:sz w:val="2"/>
      <w:szCs w:val="2"/>
    </w:rPr>
  </w:style>
  <w:style w:type="character" w:styleId="PageNumber">
    <w:name w:val="page number"/>
    <w:basedOn w:val="DefaultParagraphFont"/>
    <w:rsid w:val="00175A0C"/>
  </w:style>
  <w:style w:type="paragraph" w:styleId="Quote">
    <w:name w:val="Quote"/>
    <w:basedOn w:val="Heading1"/>
    <w:link w:val="QuoteChar"/>
    <w:qFormat/>
    <w:rsid w:val="00175A0C"/>
    <w:rPr>
      <w:b w:val="0"/>
      <w:sz w:val="72"/>
      <w:szCs w:val="72"/>
      <w:lang w:val="en-NZ"/>
    </w:rPr>
  </w:style>
  <w:style w:type="character" w:customStyle="1" w:styleId="QuoteChar">
    <w:name w:val="Quote Char"/>
    <w:basedOn w:val="DefaultParagraphFont"/>
    <w:link w:val="Quote"/>
    <w:rsid w:val="00175A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A0C"/>
    <w:pPr>
      <w:pageBreakBefore/>
    </w:pPr>
  </w:style>
  <w:style w:type="paragraph" w:customStyle="1" w:styleId="Border">
    <w:name w:val="Border"/>
    <w:basedOn w:val="Normal"/>
    <w:qFormat/>
    <w:rsid w:val="00175A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A0C"/>
    <w:rPr>
      <w:b/>
      <w:bCs/>
      <w:i/>
      <w:iCs/>
      <w:color w:val="auto"/>
    </w:rPr>
  </w:style>
  <w:style w:type="paragraph" w:styleId="IntenseQuote">
    <w:name w:val="Intense Quote"/>
    <w:basedOn w:val="Normal"/>
    <w:next w:val="Normal"/>
    <w:link w:val="IntenseQuoteChar"/>
    <w:uiPriority w:val="30"/>
    <w:qFormat/>
    <w:rsid w:val="00175A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A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A0C"/>
    <w:rPr>
      <w:smallCaps/>
      <w:color w:val="auto"/>
      <w:u w:val="single"/>
    </w:rPr>
  </w:style>
  <w:style w:type="character" w:styleId="IntenseReference">
    <w:name w:val="Intense Reference"/>
    <w:basedOn w:val="DefaultParagraphFont"/>
    <w:uiPriority w:val="32"/>
    <w:qFormat/>
    <w:rsid w:val="00175A0C"/>
    <w:rPr>
      <w:b/>
      <w:bCs/>
      <w:smallCaps/>
      <w:color w:val="auto"/>
      <w:spacing w:val="5"/>
      <w:u w:val="single"/>
    </w:rPr>
  </w:style>
  <w:style w:type="paragraph" w:customStyle="1" w:styleId="2ColumnHeading">
    <w:name w:val="2Column Heading"/>
    <w:basedOn w:val="BodyText"/>
    <w:qFormat/>
    <w:rsid w:val="00175A0C"/>
    <w:pPr>
      <w:spacing w:after="60"/>
      <w:ind w:left="-2268"/>
    </w:pPr>
    <w:rPr>
      <w:b/>
    </w:rPr>
  </w:style>
  <w:style w:type="paragraph" w:customStyle="1" w:styleId="Heading1TOC">
    <w:name w:val="Heading1 TOC"/>
    <w:basedOn w:val="Normal"/>
    <w:qFormat/>
    <w:rsid w:val="00175A0C"/>
    <w:pPr>
      <w:spacing w:before="240" w:after="120"/>
    </w:pPr>
    <w:rPr>
      <w:rFonts w:ascii="Times New Roman" w:hAnsi="Times New Roman"/>
      <w:b/>
      <w:sz w:val="32"/>
    </w:rPr>
  </w:style>
  <w:style w:type="paragraph" w:customStyle="1" w:styleId="Heading2TOC">
    <w:name w:val="Heading2 TOC"/>
    <w:basedOn w:val="Normal"/>
    <w:qFormat/>
    <w:rsid w:val="00175A0C"/>
    <w:pPr>
      <w:spacing w:before="240" w:after="60"/>
    </w:pPr>
    <w:rPr>
      <w:rFonts w:ascii="Times New Roman" w:hAnsi="Times New Roman"/>
      <w:b/>
      <w:sz w:val="28"/>
    </w:rPr>
  </w:style>
  <w:style w:type="character" w:customStyle="1" w:styleId="Underline">
    <w:name w:val="Underline"/>
    <w:basedOn w:val="DefaultParagraphFont"/>
    <w:qFormat/>
    <w:rsid w:val="00175A0C"/>
    <w:rPr>
      <w:u w:val="single"/>
    </w:rPr>
  </w:style>
  <w:style w:type="character" w:customStyle="1" w:styleId="BoldandItalics">
    <w:name w:val="Bold and Italics"/>
    <w:qFormat/>
    <w:rsid w:val="00175A0C"/>
    <w:rPr>
      <w:b/>
      <w:i/>
      <w:u w:val="none"/>
    </w:rPr>
  </w:style>
  <w:style w:type="paragraph" w:styleId="BalloonText">
    <w:name w:val="Balloon Text"/>
    <w:basedOn w:val="Normal"/>
    <w:link w:val="BalloonTextChar"/>
    <w:rsid w:val="00175A0C"/>
    <w:rPr>
      <w:rFonts w:ascii="Tahoma" w:hAnsi="Tahoma" w:cs="Tahoma"/>
      <w:sz w:val="16"/>
      <w:szCs w:val="16"/>
    </w:rPr>
  </w:style>
  <w:style w:type="character" w:customStyle="1" w:styleId="BalloonTextChar">
    <w:name w:val="Balloon Text Char"/>
    <w:basedOn w:val="DefaultParagraphFont"/>
    <w:link w:val="BalloonText"/>
    <w:rsid w:val="00175A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A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A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A0C"/>
    <w:rPr>
      <w:b/>
      <w:color w:val="660033"/>
      <w:spacing w:val="0"/>
    </w:rPr>
  </w:style>
  <w:style w:type="paragraph" w:customStyle="1" w:styleId="Nameditemlist">
    <w:name w:val="Named item list"/>
    <w:basedOn w:val="BodyText"/>
    <w:qFormat/>
    <w:rsid w:val="00175A0C"/>
    <w:pPr>
      <w:tabs>
        <w:tab w:val="left" w:pos="2835"/>
      </w:tabs>
      <w:ind w:left="2835" w:hanging="2835"/>
    </w:pPr>
  </w:style>
  <w:style w:type="paragraph" w:customStyle="1" w:styleId="BodyTextnopadding">
    <w:name w:val="Body Text no padding"/>
    <w:basedOn w:val="BodyText"/>
    <w:qFormat/>
    <w:rsid w:val="00175A0C"/>
    <w:pPr>
      <w:spacing w:before="0" w:after="0"/>
    </w:pPr>
  </w:style>
  <w:style w:type="paragraph" w:customStyle="1" w:styleId="BodyTextBold">
    <w:name w:val="Body Text Bold"/>
    <w:basedOn w:val="BodyText"/>
    <w:qFormat/>
    <w:rsid w:val="00175A0C"/>
    <w:rPr>
      <w:b/>
    </w:rPr>
  </w:style>
  <w:style w:type="character" w:styleId="Hyperlink">
    <w:name w:val="Hyperlink"/>
    <w:basedOn w:val="DefaultParagraphFont"/>
    <w:uiPriority w:val="99"/>
    <w:unhideWhenUsed/>
    <w:rsid w:val="000E5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Words>
  <Characters>4905</Characters>
  <Application>Microsoft Office Word</Application>
  <DocSecurity>0</DocSecurity>
  <Lines>111</Lines>
  <Paragraphs>80</Paragraphs>
  <ScaleCrop>false</ScaleCrop>
  <Company>Author-it Software Corporation Ltd.</Company>
  <LinksUpToDate>false</LinksUpToDate>
  <CharactersWithSpaces>5573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MARC059 Transmit and receive information by marine VHF radio within Australian Territorial Waters</dc:title>
  <dc:subject>Approved</dc:subject>
  <dc:creator>Industry Skills Australia</dc:creator>
  <cp:keywords>Release: 2</cp:keywords>
  <dc:description>Review Date: 12 April 2008</dc:description>
  <cp:lastModifiedBy>HSD_TPCMSd.prod</cp:lastModifiedBy>
  <cp:revision>3</cp:revision>
  <dcterms:created xsi:type="dcterms:W3CDTF">2024-11-25T10:57:00Z</dcterms:created>
  <dcterms:modified xsi:type="dcterms:W3CDTF">2024-11-25T10:57:00Z</dcterms:modified>
</cp:coreProperties>
</file>