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28F" w:rsidP="001F42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MARC050 Operate auxiliary machinery systems up to 1500 kW</w:t>
      </w:r>
      <w:r>
        <w:fldChar w:fldCharType="end"/>
      </w:r>
    </w:p>
    <w:p w:rsidR="001F428F" w:rsidP="001F428F">
      <w:pPr>
        <w:pStyle w:val="Version"/>
        <w:sectPr w:rsidSect="00D50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07DC" w:rsidP="00D507DC">
      <w:pPr>
        <w:pStyle w:val="SuperHeading"/>
      </w:pPr>
      <w:r w:rsidRPr="00D507DC">
        <w:t>MARC050 Operate auxiliary machinery systems up to 1500 kW</w:t>
      </w:r>
    </w:p>
    <w:p w:rsidR="00000000" w:rsidRPr="00D507DC" w:rsidP="00D507DC">
      <w:pPr>
        <w:pStyle w:val="Heading1"/>
      </w:pPr>
      <w:bookmarkStart w:id="1" w:name="O_1285108"/>
      <w:bookmarkEnd w:id="1"/>
      <w:r w:rsidRPr="00D507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rPr>
                <w:rStyle w:val="SpecialBold"/>
              </w:rPr>
              <w:t>Release 2</w:t>
            </w:r>
            <w:r w:rsidRPr="00D507DC">
              <w:t>. This is the second release of this unit of competency in the MAR Maritime Training Package.</w:t>
            </w:r>
          </w:p>
          <w:p w:rsidR="00000000" w:rsidRPr="00D507DC" w:rsidP="00D507DC">
            <w:pPr>
              <w:pStyle w:val="ListBullet"/>
            </w:pPr>
            <w:r w:rsidRPr="00D507DC">
              <w:t>Minor statement changes in unit Application</w:t>
            </w:r>
          </w:p>
          <w:p w:rsidR="00000000" w:rsidRPr="00D507DC" w:rsidP="00D507DC">
            <w:pPr>
              <w:pStyle w:val="ListBullet"/>
            </w:pPr>
            <w:r w:rsidRPr="00D507DC">
              <w:t>Minor MO505 statement changes in Knowledge Evidence</w:t>
            </w:r>
          </w:p>
          <w:p w:rsidR="00000000" w:rsidP="00D507DC">
            <w:pPr>
              <w:pStyle w:val="ListBullet"/>
              <w:rPr>
                <w:lang w:val="en-NZ"/>
              </w:rPr>
            </w:pPr>
            <w:r w:rsidRPr="00D507DC">
              <w:t>Minor statement c</w:t>
            </w:r>
            <w:r w:rsidRPr="00D507DC">
              <w:t>hanges in Assessment Conditions.</w:t>
            </w:r>
          </w:p>
        </w:tc>
      </w:tr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rPr>
                <w:rStyle w:val="SpecialBold"/>
              </w:rPr>
              <w:t>Release 1</w:t>
            </w:r>
            <w:r w:rsidRPr="00D507DC">
              <w:t>. This is the first release of this unit of competency in the MAR Maritime Training Package.</w:t>
            </w:r>
          </w:p>
        </w:tc>
      </w:tr>
    </w:tbl>
    <w:p w:rsidR="00000000" w:rsidRPr="00D507DC" w:rsidP="00D507DC">
      <w:pPr>
        <w:pStyle w:val="NoPaddingFontSize1"/>
      </w:pPr>
    </w:p>
    <w:p w:rsidR="00000000" w:rsidRPr="00D507DC" w:rsidP="00D507DC">
      <w:pPr>
        <w:pStyle w:val="AllowPageBreak"/>
      </w:pPr>
    </w:p>
    <w:p w:rsidR="00000000" w:rsidRPr="00D507DC" w:rsidP="00D507DC">
      <w:pPr>
        <w:pStyle w:val="Heading1"/>
      </w:pPr>
      <w:bookmarkStart w:id="2" w:name="O_1285107"/>
      <w:bookmarkEnd w:id="2"/>
      <w:r w:rsidRPr="00D507D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t>This unit involves the skills and knowledge required to operate auxiliary machinery sys</w:t>
            </w:r>
            <w:r w:rsidRPr="00D507DC">
              <w:t>tems up to 1500 kW according to technical specifications and safe operating limit.</w:t>
            </w:r>
          </w:p>
          <w:p w:rsidR="00000000" w:rsidRPr="00D507DC" w:rsidP="00D507DC">
            <w:pPr>
              <w:pStyle w:val="BodyText"/>
            </w:pPr>
            <w:r w:rsidRPr="00D507DC">
              <w:t>It includes preparing for operation, operating auxiliary machinery systems, completing operations and checking auxiliary machinery systems.</w:t>
            </w:r>
          </w:p>
          <w:p w:rsidR="00000000" w:rsidRPr="00D507DC" w:rsidP="00D507DC">
            <w:pPr>
              <w:pStyle w:val="BodyText"/>
            </w:pPr>
            <w:r w:rsidRPr="00D507DC">
              <w:t>This unit applies to people worki</w:t>
            </w:r>
            <w:r w:rsidRPr="00D507DC">
              <w:t>ng in the maritime industry in the capacity of Marine Engine Driver Grade 1 Near Coastal.</w:t>
            </w:r>
          </w:p>
          <w:p w:rsidR="00000000" w:rsidRPr="00D507DC" w:rsidP="00D507DC">
            <w:pPr>
              <w:pStyle w:val="BodyText"/>
            </w:pPr>
          </w:p>
          <w:p w:rsidR="00000000" w:rsidRPr="00D507DC" w:rsidP="00D507DC">
            <w:pPr>
              <w:pStyle w:val="BodyText"/>
            </w:pPr>
            <w:r w:rsidRPr="00D507DC">
              <w:rPr>
                <w:rStyle w:val="SpecialBold"/>
              </w:rPr>
              <w:t>Licensing/Regulatory Information</w:t>
            </w:r>
          </w:p>
          <w:p w:rsidR="00000000" w:rsidRPr="00D507DC" w:rsidP="00D507DC">
            <w:pPr>
              <w:pStyle w:val="BodyText"/>
            </w:pPr>
            <w:r w:rsidRPr="00D507DC">
              <w:t xml:space="preserve">Legislative and regulatory requirements are applicable to this unit. </w:t>
            </w:r>
          </w:p>
          <w:p w:rsidR="00000000" w:rsidRPr="00D507DC" w:rsidP="00D507DC">
            <w:pPr>
              <w:pStyle w:val="BodyText"/>
            </w:pPr>
            <w:r w:rsidRPr="00D507DC">
              <w:t>This unit is one of the requirements to obtain Australian Maritime Safety Authority (AMSA) certification as a Marine Engine Driver Grade 1 Near Coastal as specified in Marine Order 505.</w:t>
            </w:r>
          </w:p>
          <w:p w:rsidR="00000000" w:rsidRPr="00D507DC" w:rsidP="00D507DC">
            <w:pPr>
              <w:pStyle w:val="BodyText"/>
            </w:pPr>
            <w:r w:rsidRPr="00D507DC">
              <w:t xml:space="preserve">Training providers seeking to offer this unit of competency must gain </w:t>
            </w:r>
            <w:r w:rsidRPr="00D507DC">
              <w:t>AMSA approval before the unit is offered.</w:t>
            </w:r>
          </w:p>
          <w:p w:rsidR="00000000" w:rsidRPr="00D507DC" w:rsidP="00D507DC">
            <w:pPr>
              <w:pStyle w:val="BodyText"/>
            </w:pPr>
            <w:r w:rsidRPr="00D507DC">
              <w:t>Seafarers seeking certification should check with AMSA.</w:t>
            </w:r>
          </w:p>
          <w:p w:rsidR="00000000" w:rsidRPr="00D507DC" w:rsidP="00D507DC">
            <w:pPr>
              <w:pStyle w:val="BodyText"/>
            </w:pPr>
            <w:r w:rsidRPr="00D507DC">
              <w:rPr>
                <w:rStyle w:val="SpecialBold"/>
              </w:rPr>
              <w:t>Note</w:t>
            </w:r>
            <w:r w:rsidRPr="00D507DC">
              <w:t>: Relevant state/territory training and qualification requirements need to be fulfilled by any persons carrying out installation, maintenance and/or repai</w:t>
            </w:r>
            <w:r w:rsidRPr="00D507DC">
              <w:t>r of refrigeration equipment, especially with regard to preventing the escape of refrigerants into the atmosphere and to conduct electrical work.</w:t>
            </w:r>
          </w:p>
        </w:tc>
      </w:tr>
    </w:tbl>
    <w:p w:rsidR="00000000" w:rsidRPr="00D507DC" w:rsidP="00D507DC">
      <w:pPr>
        <w:pStyle w:val="NoPaddingFontSize1"/>
      </w:pPr>
    </w:p>
    <w:p w:rsidR="00000000" w:rsidRPr="00D507DC" w:rsidP="00D507DC">
      <w:pPr>
        <w:pStyle w:val="AllowPageBreak"/>
      </w:pPr>
    </w:p>
    <w:p w:rsidR="00000000" w:rsidRPr="00D507DC" w:rsidP="00D507DC">
      <w:pPr>
        <w:pStyle w:val="Heading1"/>
      </w:pPr>
      <w:bookmarkStart w:id="3" w:name="O_1285106"/>
      <w:bookmarkEnd w:id="3"/>
      <w:r w:rsidRPr="00D507D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t>Not applicable.</w:t>
            </w:r>
          </w:p>
        </w:tc>
      </w:tr>
    </w:tbl>
    <w:p w:rsidR="001F428F" w:rsidP="00D507DC">
      <w:pPr>
        <w:pStyle w:val="NoPaddingFontSize1"/>
      </w:pPr>
    </w:p>
    <w:p w:rsidR="001F428F" w:rsidP="00D507DC">
      <w:pPr>
        <w:pStyle w:val="NoPaddingFontSize1"/>
      </w:pPr>
    </w:p>
    <w:p w:rsidR="00000000" w:rsidRPr="00D507DC" w:rsidP="00D507DC">
      <w:pPr>
        <w:pStyle w:val="Heading1"/>
      </w:pPr>
      <w:bookmarkStart w:id="4" w:name="O_1285105"/>
      <w:bookmarkEnd w:id="4"/>
      <w:r w:rsidRPr="00D507D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t>C - Equipment O</w:t>
            </w:r>
            <w:r w:rsidRPr="00D507DC">
              <w:t>perations</w:t>
            </w:r>
          </w:p>
        </w:tc>
      </w:tr>
    </w:tbl>
    <w:p w:rsidR="001F428F" w:rsidP="00D507DC">
      <w:pPr>
        <w:pStyle w:val="NoPaddingFontSize1"/>
      </w:pPr>
    </w:p>
    <w:p w:rsidR="001F428F" w:rsidP="00D507DC">
      <w:pPr>
        <w:pStyle w:val="NoPaddingFontSize1"/>
      </w:pPr>
    </w:p>
    <w:p w:rsidR="00000000" w:rsidRPr="00D507DC" w:rsidP="00D507DC">
      <w:pPr>
        <w:pStyle w:val="Heading1"/>
      </w:pPr>
      <w:bookmarkStart w:id="5" w:name="O_1285104"/>
      <w:bookmarkEnd w:id="5"/>
      <w:r w:rsidRPr="00D507D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t>Not applicable.</w:t>
            </w:r>
          </w:p>
        </w:tc>
      </w:tr>
    </w:tbl>
    <w:p w:rsidR="001F428F" w:rsidP="00D507DC">
      <w:pPr>
        <w:pStyle w:val="NoPaddingFontSize1"/>
      </w:pPr>
    </w:p>
    <w:p w:rsidR="001F428F" w:rsidP="00D507DC">
      <w:pPr>
        <w:pStyle w:val="NoPaddingFontSize1"/>
      </w:pPr>
    </w:p>
    <w:p w:rsidR="00000000" w:rsidRPr="00D507DC" w:rsidP="00D507DC">
      <w:pPr>
        <w:pStyle w:val="Heading1"/>
      </w:pPr>
      <w:bookmarkStart w:id="6" w:name="O_1285103"/>
      <w:bookmarkEnd w:id="6"/>
      <w:r w:rsidRPr="00D507D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rPr>
                <w:rStyle w:val="SpecialBold"/>
              </w:rPr>
              <w:t>PERFORMANCE CRITERIA</w:t>
            </w:r>
          </w:p>
        </w:tc>
      </w:tr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t>Performance criteria describe the performance needed to demonstrate achievement of the element.</w:t>
            </w:r>
          </w:p>
        </w:tc>
      </w:tr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rPr>
                <w:rStyle w:val="SpecialBold"/>
              </w:rPr>
              <w:t>Prepare for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t>Risks to self, others and the environment are identified according to organisational procedures</w:t>
            </w:r>
          </w:p>
        </w:tc>
      </w:tr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t>Routine pre-operational checks of auxiliary machinery systems are completed prior to use according to manufacturer specifications and organisational procedures</w:t>
            </w:r>
          </w:p>
        </w:tc>
      </w:tr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rPr>
                <w:rStyle w:val="SpecialBold"/>
              </w:rPr>
              <w:t>Operate auxiliary machinery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t>Suitable personal protective equipment (PPE) is selected and used according to organisational procedures</w:t>
            </w:r>
          </w:p>
        </w:tc>
      </w:tr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t>Auxiliary machinery systems are operated in a safe and controlled manner</w:t>
            </w:r>
          </w:p>
        </w:tc>
      </w:tr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t>Performance of auxiliary machinery system operations is monitore</w:t>
            </w:r>
            <w:r w:rsidRPr="00D507DC">
              <w:t>d</w:t>
            </w:r>
          </w:p>
        </w:tc>
      </w:tr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t>Adverse sea and weather conditions that may impact on operation of auxiliary machinery systems are identified and operational practices are adjusted to maintain safety of vessel and personnel</w:t>
            </w:r>
          </w:p>
        </w:tc>
      </w:tr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t>Faults or malfunctions are identified and recorded according to organisational procedures</w:t>
            </w:r>
          </w:p>
        </w:tc>
      </w:tr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t>Faults or malfunctions are rectified and corrective actions are taken and recorded according to organisational procedures</w:t>
            </w:r>
          </w:p>
        </w:tc>
      </w:tr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t>Procedures to be undertaken in emergencies are recognised and implemented</w:t>
            </w:r>
          </w:p>
        </w:tc>
      </w:tr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rPr>
                <w:rStyle w:val="SpecialBold"/>
              </w:rPr>
              <w:t>Complete operations and check auxiliary machinery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t>Shutdown procedures are conducted according to manufacturer instructions and organisational procedures</w:t>
            </w:r>
          </w:p>
        </w:tc>
      </w:tr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7DC">
            <w:pPr>
              <w:pStyle w:val="BodyText"/>
              <w:rPr>
                <w:lang w:val="en-NZ"/>
              </w:rPr>
            </w:pPr>
            <w:r w:rsidRPr="00D507D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t>Operati</w:t>
            </w:r>
            <w:r w:rsidRPr="00D507DC">
              <w:t>onal records are completed, as required, according to organisational procedures and regulatory requirements</w:t>
            </w:r>
          </w:p>
        </w:tc>
      </w:tr>
    </w:tbl>
    <w:p w:rsidR="001F428F" w:rsidP="00D507DC">
      <w:pPr>
        <w:pStyle w:val="NoPaddingFontSize1"/>
      </w:pPr>
    </w:p>
    <w:p w:rsidR="001F428F" w:rsidP="00D507DC">
      <w:pPr>
        <w:pStyle w:val="NoPaddingFontSize1"/>
      </w:pPr>
    </w:p>
    <w:p w:rsidR="00000000" w:rsidRPr="00D507DC" w:rsidP="00D507DC">
      <w:pPr>
        <w:pStyle w:val="Heading1"/>
      </w:pPr>
      <w:bookmarkStart w:id="7" w:name="O_1285102"/>
      <w:bookmarkEnd w:id="7"/>
      <w:r w:rsidRPr="00D507D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t>Foundation skills essential to performance are explicit in the performance criteria of this unit of competency.</w:t>
            </w:r>
          </w:p>
        </w:tc>
      </w:tr>
    </w:tbl>
    <w:p w:rsidR="001F428F" w:rsidP="00D507DC">
      <w:pPr>
        <w:pStyle w:val="NoPaddingFontSize1"/>
      </w:pPr>
    </w:p>
    <w:p w:rsidR="001F428F" w:rsidP="00D507DC">
      <w:pPr>
        <w:pStyle w:val="NoPaddingFontSize1"/>
      </w:pPr>
    </w:p>
    <w:p w:rsidR="00000000" w:rsidRPr="00D507DC" w:rsidP="00D507DC">
      <w:pPr>
        <w:pStyle w:val="Heading1"/>
      </w:pPr>
      <w:bookmarkStart w:id="8" w:name="O_1285101"/>
      <w:bookmarkEnd w:id="8"/>
      <w:r w:rsidRPr="00D507D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t>Range is restricted to essential operating conditions and any other variables essential to the work en</w:t>
            </w:r>
            <w:r w:rsidRPr="00D507DC">
              <w:t>vironment.</w:t>
            </w:r>
          </w:p>
        </w:tc>
      </w:tr>
    </w:tbl>
    <w:p w:rsidR="001F428F" w:rsidP="00D507DC">
      <w:pPr>
        <w:pStyle w:val="NoPaddingFontSize1"/>
      </w:pPr>
    </w:p>
    <w:p w:rsidR="001F428F" w:rsidP="00D507DC">
      <w:pPr>
        <w:pStyle w:val="NoPaddingFontSize1"/>
      </w:pPr>
    </w:p>
    <w:p w:rsidR="00000000" w:rsidRPr="00D507DC" w:rsidP="00D507DC">
      <w:pPr>
        <w:pStyle w:val="Heading1"/>
      </w:pPr>
      <w:bookmarkStart w:id="9" w:name="O_1285100"/>
      <w:bookmarkEnd w:id="9"/>
      <w:r w:rsidRPr="00D507D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7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7DC" w:rsidP="00D507DC">
            <w:pPr>
              <w:pStyle w:val="BodyText"/>
            </w:pPr>
            <w:r w:rsidRPr="00D507DC">
              <w:t>This unit replaces and is equivalent to MARC013 Operate auxiliary machinery systems up to 1500 kW.</w:t>
            </w:r>
          </w:p>
        </w:tc>
      </w:tr>
    </w:tbl>
    <w:p w:rsidR="001F428F" w:rsidP="00D507DC">
      <w:pPr>
        <w:pStyle w:val="NoPaddingFontSize1"/>
      </w:pPr>
    </w:p>
    <w:p w:rsidR="001F428F" w:rsidP="00D507DC">
      <w:pPr>
        <w:pStyle w:val="NoPaddingFontSize1"/>
      </w:pPr>
    </w:p>
    <w:p w:rsidR="00000000" w:rsidRPr="00D507DC" w:rsidP="00D507DC">
      <w:pPr>
        <w:pStyle w:val="Heading1"/>
      </w:pPr>
      <w:bookmarkStart w:id="10" w:name="O_1285109"/>
      <w:bookmarkEnd w:id="10"/>
      <w:r w:rsidRPr="00D507DC">
        <w:t>Links</w:t>
      </w:r>
    </w:p>
    <w:p w:rsidR="00000000" w:rsidRPr="00D507DC" w:rsidP="001F428F">
      <w:pPr>
        <w:pStyle w:val="BodyText"/>
      </w:pPr>
      <w:r w:rsidRPr="00D507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C15E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507DC" w:rsidP="00D507DC"/>
    <w:sectPr w:rsidSect="00D507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DC" w:rsidRPr="001F428F" w:rsidP="001F42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28F" w:rsidP="00D50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28F" w:rsidP="00D50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F428F" w:rsidP="00D507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2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7DC" w:rsidRPr="001F428F" w:rsidP="001F42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28F" w:rsidRPr="002D2AF8" w:rsidP="00D50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MARC050 Operate auxiliary machinery systems up to 1500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1F428F" w:rsidP="00D50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0AF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1C34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7DC"/>
  </w:style>
  <w:style w:type="character" w:customStyle="1" w:styleId="Heading1Char">
    <w:name w:val="Heading 1 Char"/>
    <w:basedOn w:val="DefaultParagraphFont"/>
    <w:link w:val="Heading1"/>
    <w:rsid w:val="00D50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7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7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7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7DC"/>
    <w:rPr>
      <w:b/>
      <w:spacing w:val="0"/>
    </w:rPr>
  </w:style>
  <w:style w:type="paragraph" w:customStyle="1" w:styleId="SuperHeading">
    <w:name w:val="SuperHeading"/>
    <w:basedOn w:val="Normal"/>
    <w:rsid w:val="00D507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0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7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7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7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07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0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7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7DC"/>
    <w:rPr>
      <w:i/>
    </w:rPr>
  </w:style>
  <w:style w:type="paragraph" w:styleId="Caption">
    <w:name w:val="caption"/>
    <w:basedOn w:val="BodyText"/>
    <w:next w:val="Normal"/>
    <w:qFormat/>
    <w:rsid w:val="00D50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7DC"/>
  </w:style>
  <w:style w:type="paragraph" w:styleId="TableofFigures">
    <w:name w:val="table of figures"/>
    <w:basedOn w:val="Normal"/>
    <w:next w:val="Normal"/>
    <w:semiHidden/>
    <w:rsid w:val="00D50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7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07DC"/>
    <w:rPr>
      <w:rFonts w:ascii="Wingdings" w:hAnsi="Wingdings"/>
    </w:rPr>
  </w:style>
  <w:style w:type="paragraph" w:customStyle="1" w:styleId="TableHeading">
    <w:name w:val="Table Heading"/>
    <w:basedOn w:val="HeadingBase"/>
    <w:rsid w:val="00D507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7DC"/>
    <w:rPr>
      <w:color w:val="0033CC"/>
      <w:u w:val="none"/>
    </w:rPr>
  </w:style>
  <w:style w:type="paragraph" w:customStyle="1" w:styleId="BodyTextRight">
    <w:name w:val="Body Text Right"/>
    <w:basedOn w:val="BodyText"/>
    <w:rsid w:val="00D50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7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7DC"/>
    <w:rPr>
      <w:sz w:val="32"/>
    </w:rPr>
  </w:style>
  <w:style w:type="paragraph" w:customStyle="1" w:styleId="HeadingProcedure">
    <w:name w:val="Heading Procedure"/>
    <w:basedOn w:val="HeadingBase"/>
    <w:next w:val="Normal"/>
    <w:rsid w:val="00D50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7DC"/>
    <w:pPr>
      <w:spacing w:before="60" w:after="60"/>
    </w:pPr>
  </w:style>
  <w:style w:type="paragraph" w:styleId="ListContinue">
    <w:name w:val="List Continue"/>
    <w:basedOn w:val="List"/>
    <w:rsid w:val="00D507DC"/>
    <w:pPr>
      <w:ind w:firstLine="0"/>
    </w:pPr>
  </w:style>
  <w:style w:type="paragraph" w:customStyle="1" w:styleId="ListNote">
    <w:name w:val="List Note"/>
    <w:basedOn w:val="List"/>
    <w:rsid w:val="00D50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7DC"/>
    <w:rPr>
      <w:rFonts w:ascii="Courier New" w:hAnsi="Courier New"/>
    </w:rPr>
  </w:style>
  <w:style w:type="paragraph" w:customStyle="1" w:styleId="NoteBullet">
    <w:name w:val="Note Bullet"/>
    <w:basedOn w:val="Note"/>
    <w:rsid w:val="00D50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7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0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7DC"/>
    <w:rPr>
      <w:b/>
      <w:smallCaps/>
    </w:rPr>
  </w:style>
  <w:style w:type="paragraph" w:customStyle="1" w:styleId="TableListNumber">
    <w:name w:val="Table List Number"/>
    <w:basedOn w:val="ListNumber"/>
    <w:rsid w:val="00D50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7DC"/>
    <w:pPr>
      <w:numPr>
        <w:numId w:val="8"/>
      </w:numPr>
    </w:pPr>
  </w:style>
  <w:style w:type="paragraph" w:customStyle="1" w:styleId="ListAlpha2">
    <w:name w:val="List Alpha 2"/>
    <w:basedOn w:val="List2"/>
    <w:rsid w:val="00D507DC"/>
    <w:pPr>
      <w:numPr>
        <w:numId w:val="7"/>
      </w:numPr>
    </w:pPr>
  </w:style>
  <w:style w:type="paragraph" w:styleId="List2">
    <w:name w:val="List 2"/>
    <w:basedOn w:val="BodyText"/>
    <w:rsid w:val="00D50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7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7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07DC"/>
    <w:pPr>
      <w:numPr>
        <w:numId w:val="3"/>
      </w:numPr>
    </w:pPr>
  </w:style>
  <w:style w:type="paragraph" w:styleId="ListContinue2">
    <w:name w:val="List Continue 2"/>
    <w:basedOn w:val="List2"/>
    <w:rsid w:val="00D507DC"/>
    <w:pPr>
      <w:ind w:firstLine="0"/>
    </w:pPr>
  </w:style>
  <w:style w:type="paragraph" w:styleId="ListContinue3">
    <w:name w:val="List Continue 3"/>
    <w:basedOn w:val="List3"/>
    <w:rsid w:val="00D507DC"/>
    <w:pPr>
      <w:ind w:left="1021" w:firstLine="0"/>
    </w:pPr>
  </w:style>
  <w:style w:type="paragraph" w:styleId="ListContinue4">
    <w:name w:val="List Continue 4"/>
    <w:basedOn w:val="List4"/>
    <w:rsid w:val="00D507DC"/>
    <w:pPr>
      <w:ind w:firstLine="0"/>
    </w:pPr>
  </w:style>
  <w:style w:type="paragraph" w:styleId="ListContinue5">
    <w:name w:val="List Continue 5"/>
    <w:basedOn w:val="List5"/>
    <w:rsid w:val="00D507DC"/>
    <w:pPr>
      <w:ind w:firstLine="0"/>
    </w:pPr>
  </w:style>
  <w:style w:type="paragraph" w:styleId="ListNumber3">
    <w:name w:val="List Number 3"/>
    <w:basedOn w:val="List3"/>
    <w:rsid w:val="00D507DC"/>
    <w:pPr>
      <w:numPr>
        <w:numId w:val="4"/>
      </w:numPr>
    </w:pPr>
  </w:style>
  <w:style w:type="paragraph" w:styleId="ListNumber4">
    <w:name w:val="List Number 4"/>
    <w:basedOn w:val="List4"/>
    <w:rsid w:val="00D507DC"/>
    <w:pPr>
      <w:numPr>
        <w:numId w:val="5"/>
      </w:numPr>
    </w:pPr>
  </w:style>
  <w:style w:type="paragraph" w:styleId="ListNumber5">
    <w:name w:val="List Number 5"/>
    <w:basedOn w:val="List5"/>
    <w:rsid w:val="00D507DC"/>
    <w:pPr>
      <w:numPr>
        <w:numId w:val="6"/>
      </w:numPr>
    </w:pPr>
  </w:style>
  <w:style w:type="paragraph" w:styleId="BlockText">
    <w:name w:val="Block Text"/>
    <w:basedOn w:val="Normal"/>
    <w:rsid w:val="00D50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7DC"/>
    <w:rPr>
      <w:sz w:val="16"/>
      <w:vertAlign w:val="superscript"/>
    </w:rPr>
  </w:style>
  <w:style w:type="character" w:customStyle="1" w:styleId="Symbols">
    <w:name w:val="Symbols"/>
    <w:basedOn w:val="DefaultParagraphFont"/>
    <w:rsid w:val="00D507DC"/>
    <w:rPr>
      <w:rFonts w:ascii="Symbol" w:hAnsi="Symbol"/>
    </w:rPr>
  </w:style>
  <w:style w:type="character" w:customStyle="1" w:styleId="MenuOptions">
    <w:name w:val="Menu Options"/>
    <w:basedOn w:val="DefaultParagraphFont"/>
    <w:rsid w:val="00D50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7DC"/>
    <w:rPr>
      <w:b/>
    </w:rPr>
  </w:style>
  <w:style w:type="character" w:customStyle="1" w:styleId="Underlined">
    <w:name w:val="Underlined"/>
    <w:basedOn w:val="DefaultParagraphFont"/>
    <w:rsid w:val="00D507DC"/>
    <w:rPr>
      <w:u w:val="single"/>
    </w:rPr>
  </w:style>
  <w:style w:type="paragraph" w:customStyle="1" w:styleId="TableBodyTextRight">
    <w:name w:val="Table Body Text Right"/>
    <w:basedOn w:val="TableBodyText"/>
    <w:rsid w:val="00D50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7DC"/>
    <w:rPr>
      <w:sz w:val="18"/>
    </w:rPr>
  </w:style>
  <w:style w:type="paragraph" w:customStyle="1" w:styleId="BodySmallRight">
    <w:name w:val="Body Small Right"/>
    <w:basedOn w:val="BodyTextRight"/>
    <w:rsid w:val="00D507DC"/>
    <w:rPr>
      <w:sz w:val="18"/>
      <w:szCs w:val="18"/>
    </w:rPr>
  </w:style>
  <w:style w:type="paragraph" w:customStyle="1" w:styleId="MarginEdition">
    <w:name w:val="Margin Edition"/>
    <w:basedOn w:val="MarginNote"/>
    <w:rsid w:val="00D50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7DC"/>
    <w:rPr>
      <w:sz w:val="2"/>
      <w:szCs w:val="2"/>
    </w:rPr>
  </w:style>
  <w:style w:type="character" w:customStyle="1" w:styleId="Small">
    <w:name w:val="Small"/>
    <w:basedOn w:val="DefaultParagraphFont"/>
    <w:rsid w:val="00D507DC"/>
    <w:rPr>
      <w:sz w:val="16"/>
    </w:rPr>
  </w:style>
  <w:style w:type="paragraph" w:customStyle="1" w:styleId="WideTable">
    <w:name w:val="Wide Table"/>
    <w:basedOn w:val="Normal"/>
    <w:rsid w:val="00D50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7DC"/>
  </w:style>
  <w:style w:type="paragraph" w:styleId="Quote">
    <w:name w:val="Quote"/>
    <w:basedOn w:val="Heading1"/>
    <w:link w:val="QuoteChar"/>
    <w:qFormat/>
    <w:rsid w:val="00D50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7DC"/>
    <w:pPr>
      <w:pageBreakBefore/>
    </w:pPr>
  </w:style>
  <w:style w:type="paragraph" w:customStyle="1" w:styleId="Border">
    <w:name w:val="Border"/>
    <w:basedOn w:val="Normal"/>
    <w:qFormat/>
    <w:rsid w:val="00D50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7DC"/>
    <w:rPr>
      <w:u w:val="single"/>
    </w:rPr>
  </w:style>
  <w:style w:type="character" w:customStyle="1" w:styleId="BoldandItalics">
    <w:name w:val="Bold and Italics"/>
    <w:qFormat/>
    <w:rsid w:val="00D507DC"/>
    <w:rPr>
      <w:b/>
      <w:i/>
      <w:u w:val="none"/>
    </w:rPr>
  </w:style>
  <w:style w:type="paragraph" w:styleId="BalloonText">
    <w:name w:val="Balloon Text"/>
    <w:basedOn w:val="Normal"/>
    <w:link w:val="BalloonTextChar"/>
    <w:rsid w:val="00D50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7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7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7DC"/>
    <w:pPr>
      <w:spacing w:before="0" w:after="0"/>
    </w:pPr>
  </w:style>
  <w:style w:type="paragraph" w:customStyle="1" w:styleId="BodyTextBold">
    <w:name w:val="Body Text Bold"/>
    <w:basedOn w:val="BodyText"/>
    <w:qFormat/>
    <w:rsid w:val="00D507DC"/>
    <w:rPr>
      <w:b/>
    </w:rPr>
  </w:style>
  <w:style w:type="character" w:styleId="Hyperlink">
    <w:name w:val="Hyperlink"/>
    <w:basedOn w:val="DefaultParagraphFont"/>
    <w:uiPriority w:val="99"/>
    <w:unhideWhenUsed/>
    <w:rsid w:val="001F42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3579</Characters>
  <Application>Microsoft Office Word</Application>
  <DocSecurity>0</DocSecurity>
  <Lines>149</Lines>
  <Paragraphs>79</Paragraphs>
  <ScaleCrop>false</ScaleCrop>
  <Company>Author-it Software Corporation Ltd.</Company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MARC050 Operate auxiliary machinery systems up to 1500 kW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2024-11-25T10:57:00Z</dcterms:created>
  <dcterms:modified xsi:type="dcterms:W3CDTF">2024-11-25T10:57:00Z</dcterms:modified>
</cp:coreProperties>
</file>