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53C" w:rsidP="0063253C">
      <w:pPr>
        <w:pStyle w:val="Title"/>
      </w:pPr>
      <w:r>
        <w:fldChar w:fldCharType="begin"/>
      </w:r>
      <w:r>
        <w:instrText xml:space="preserve"> TITLE   \* MERGEFORMAT </w:instrText>
      </w:r>
      <w:r>
        <w:fldChar w:fldCharType="separate"/>
      </w:r>
      <w:r>
        <w:t>MARC050 Operate auxiliary machinery systems up to 1500 kW</w:t>
      </w:r>
      <w:r>
        <w:fldChar w:fldCharType="end"/>
      </w:r>
    </w:p>
    <w:p w:rsidR="0063253C" w:rsidP="0063253C">
      <w:pPr>
        <w:pStyle w:val="Version"/>
        <w:sectPr w:rsidSect="004E4A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4AEA" w:rsidP="004E4AEA">
      <w:pPr>
        <w:pStyle w:val="SuperHeading"/>
      </w:pPr>
      <w:r w:rsidRPr="004E4AEA">
        <w:t>MARC050 Operate auxiliary machinery systems up to 1500 kW</w:t>
      </w:r>
    </w:p>
    <w:p w:rsidR="00000000" w:rsidRPr="004E4AEA" w:rsidP="004E4AEA">
      <w:pPr>
        <w:pStyle w:val="Heading1"/>
      </w:pPr>
      <w:bookmarkStart w:id="1" w:name="O_1285108"/>
      <w:bookmarkEnd w:id="1"/>
      <w:r w:rsidRPr="004E4AEA">
        <w:t>Modification History</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Release 2</w:t>
            </w:r>
            <w:r w:rsidRPr="004E4AEA">
              <w:t>. This is the second release of this unit of competency in the MAR Maritime Training Package.</w:t>
            </w:r>
          </w:p>
          <w:p w:rsidR="00000000" w:rsidRPr="004E4AEA" w:rsidP="004E4AEA">
            <w:pPr>
              <w:pStyle w:val="ListBullet"/>
            </w:pPr>
            <w:r w:rsidRPr="004E4AEA">
              <w:t>Minor statement changes in unit Application</w:t>
            </w:r>
          </w:p>
          <w:p w:rsidR="00000000" w:rsidRPr="004E4AEA" w:rsidP="004E4AEA">
            <w:pPr>
              <w:pStyle w:val="ListBullet"/>
            </w:pPr>
            <w:r w:rsidRPr="004E4AEA">
              <w:t>Minor MO505 statement changes in Knowledge Evidence</w:t>
            </w:r>
          </w:p>
          <w:p w:rsidR="00000000" w:rsidP="004E4AEA">
            <w:pPr>
              <w:pStyle w:val="ListBullet"/>
              <w:rPr>
                <w:lang w:val="en-NZ"/>
              </w:rPr>
            </w:pPr>
            <w:r w:rsidRPr="004E4AEA">
              <w:t>Minor statement c</w:t>
            </w:r>
            <w:r w:rsidRPr="004E4AEA">
              <w:t>hanges in Assessment Conditions.</w:t>
            </w:r>
          </w:p>
        </w:tc>
      </w:tr>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Release 1</w:t>
            </w:r>
            <w:r w:rsidRPr="004E4AEA">
              <w:t>. This is the first release of this unit of competency in the MAR Maritime Training Package.</w:t>
            </w:r>
          </w:p>
        </w:tc>
      </w:tr>
    </w:tbl>
    <w:p w:rsidR="00000000" w:rsidRPr="004E4AEA" w:rsidP="004E4AEA">
      <w:pPr>
        <w:pStyle w:val="NoPaddingFontSize1"/>
      </w:pPr>
    </w:p>
    <w:p w:rsidR="00000000" w:rsidRPr="004E4AEA" w:rsidP="004E4AEA">
      <w:pPr>
        <w:pStyle w:val="AllowPageBreak"/>
      </w:pPr>
    </w:p>
    <w:p w:rsidR="00000000" w:rsidRPr="004E4AEA" w:rsidP="004E4AEA">
      <w:pPr>
        <w:pStyle w:val="Heading1"/>
      </w:pPr>
      <w:bookmarkStart w:id="2" w:name="O_1285107"/>
      <w:bookmarkEnd w:id="2"/>
      <w:r w:rsidRPr="004E4AEA">
        <w:t>Application</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This unit involves the skills and knowledge required to operate auxiliary machinery sys</w:t>
            </w:r>
            <w:r w:rsidRPr="004E4AEA">
              <w:t>tems up to 1500 kW according to technical specifications and safe operating limit.</w:t>
            </w:r>
          </w:p>
          <w:p w:rsidR="00000000" w:rsidRPr="004E4AEA" w:rsidP="004E4AEA">
            <w:pPr>
              <w:pStyle w:val="BodyText"/>
            </w:pPr>
            <w:r w:rsidRPr="004E4AEA">
              <w:t>It includes preparing for operation, operating auxiliary machinery systems, completing operations and checking auxiliary machinery systems.</w:t>
            </w:r>
          </w:p>
          <w:p w:rsidR="00000000" w:rsidRPr="004E4AEA" w:rsidP="004E4AEA">
            <w:pPr>
              <w:pStyle w:val="BodyText"/>
            </w:pPr>
            <w:r w:rsidRPr="004E4AEA">
              <w:t>This unit applies to people working in the maritime industry in the capacity of Marine Engine Driver Grade 1 Near Coastal.</w:t>
            </w:r>
          </w:p>
          <w:p w:rsidR="00000000" w:rsidRPr="004E4AEA" w:rsidP="004E4AEA">
            <w:pPr>
              <w:pStyle w:val="BodyText"/>
            </w:pPr>
          </w:p>
          <w:p w:rsidR="00000000" w:rsidRPr="004E4AEA" w:rsidP="004E4AEA">
            <w:pPr>
              <w:pStyle w:val="BodyText"/>
            </w:pPr>
            <w:r w:rsidRPr="004E4AEA">
              <w:rPr>
                <w:rStyle w:val="SpecialBold"/>
              </w:rPr>
              <w:t>Licensing/Regulatory Information</w:t>
            </w:r>
          </w:p>
          <w:p w:rsidR="00000000" w:rsidRPr="004E4AEA" w:rsidP="004E4AEA">
            <w:pPr>
              <w:pStyle w:val="BodyText"/>
            </w:pPr>
            <w:r w:rsidRPr="004E4AEA">
              <w:t xml:space="preserve">Legislative and regulatory requirements are applicable to this unit. </w:t>
            </w:r>
          </w:p>
          <w:p w:rsidR="00000000" w:rsidRPr="004E4AEA" w:rsidP="004E4AEA">
            <w:pPr>
              <w:pStyle w:val="BodyText"/>
            </w:pPr>
            <w:r w:rsidRPr="004E4AEA">
              <w:t>This unit is one of the requi</w:t>
            </w:r>
            <w:r w:rsidRPr="004E4AEA">
              <w:t>rements to obtain Australian Maritime Safety Authority (AMSA) certification as a Marine Engine Driver Grade 1 Near Coastal as specified in Marine Order 505.</w:t>
            </w:r>
          </w:p>
          <w:p w:rsidR="00000000" w:rsidRPr="004E4AEA" w:rsidP="004E4AEA">
            <w:pPr>
              <w:pStyle w:val="BodyText"/>
            </w:pPr>
            <w:r w:rsidRPr="004E4AEA">
              <w:t>Training providers seeking to offer this unit of competency must gain AMSA approval before the unit</w:t>
            </w:r>
            <w:r w:rsidRPr="004E4AEA">
              <w:t xml:space="preserve"> is offered.</w:t>
            </w:r>
          </w:p>
          <w:p w:rsidR="00000000" w:rsidRPr="004E4AEA" w:rsidP="004E4AEA">
            <w:pPr>
              <w:pStyle w:val="BodyText"/>
            </w:pPr>
            <w:r w:rsidRPr="004E4AEA">
              <w:t>Seafarers seeking certification should check with AMSA.</w:t>
            </w:r>
          </w:p>
          <w:p w:rsidR="00000000" w:rsidRPr="004E4AEA" w:rsidP="004E4AEA">
            <w:pPr>
              <w:pStyle w:val="BodyText"/>
            </w:pPr>
            <w:r w:rsidRPr="004E4AEA">
              <w:rPr>
                <w:rStyle w:val="SpecialBold"/>
              </w:rPr>
              <w:t>Note</w:t>
            </w:r>
            <w:r w:rsidRPr="004E4AEA">
              <w:t>: Relevant state/territory training and qualification requirements need to be fulfilled by any persons carrying out installation, maintenance and/or repair of refrigeration equipment,</w:t>
            </w:r>
            <w:r w:rsidRPr="004E4AEA">
              <w:t xml:space="preserve"> especially with regard to preventing the escape of refrigerants into the atmosphere and to conduct electrical work.</w:t>
            </w:r>
          </w:p>
        </w:tc>
      </w:tr>
    </w:tbl>
    <w:p w:rsidR="00000000" w:rsidRPr="004E4AEA" w:rsidP="004E4AEA">
      <w:pPr>
        <w:pStyle w:val="NoPaddingFontSize1"/>
      </w:pPr>
    </w:p>
    <w:p w:rsidR="00000000" w:rsidRPr="004E4AEA" w:rsidP="004E4AEA">
      <w:pPr>
        <w:pStyle w:val="AllowPageBreak"/>
      </w:pPr>
    </w:p>
    <w:p w:rsidR="00000000" w:rsidRPr="004E4AEA" w:rsidP="004E4AEA">
      <w:pPr>
        <w:pStyle w:val="Heading1"/>
      </w:pPr>
      <w:bookmarkStart w:id="3" w:name="O_1285106"/>
      <w:bookmarkEnd w:id="3"/>
      <w:r w:rsidRPr="004E4AEA">
        <w:t>Pre-requisite Unit</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Not applicable.</w:t>
            </w:r>
          </w:p>
        </w:tc>
      </w:tr>
    </w:tbl>
    <w:p w:rsidR="0063253C" w:rsidP="004E4AEA">
      <w:pPr>
        <w:pStyle w:val="NoPaddingFontSize1"/>
      </w:pPr>
    </w:p>
    <w:p w:rsidR="0063253C" w:rsidP="004E4AEA">
      <w:pPr>
        <w:pStyle w:val="NoPaddingFontSize1"/>
      </w:pPr>
    </w:p>
    <w:p w:rsidR="00000000" w:rsidRPr="004E4AEA" w:rsidP="004E4AEA">
      <w:pPr>
        <w:pStyle w:val="Heading1"/>
      </w:pPr>
      <w:bookmarkStart w:id="4" w:name="O_1285105"/>
      <w:bookmarkEnd w:id="4"/>
      <w:r w:rsidRPr="004E4AEA">
        <w:t>Competency Field</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C - Equipment Operations</w:t>
            </w:r>
          </w:p>
        </w:tc>
      </w:tr>
    </w:tbl>
    <w:p w:rsidR="0063253C" w:rsidP="004E4AEA">
      <w:pPr>
        <w:pStyle w:val="NoPaddingFontSize1"/>
      </w:pPr>
    </w:p>
    <w:p w:rsidR="0063253C" w:rsidP="004E4AEA">
      <w:pPr>
        <w:pStyle w:val="NoPaddingFontSize1"/>
      </w:pPr>
    </w:p>
    <w:p w:rsidR="00000000" w:rsidRPr="004E4AEA" w:rsidP="004E4AEA">
      <w:pPr>
        <w:pStyle w:val="Heading1"/>
      </w:pPr>
      <w:bookmarkStart w:id="5" w:name="O_1285104"/>
      <w:bookmarkEnd w:id="5"/>
      <w:r w:rsidRPr="004E4AEA">
        <w:t>Unit Sector</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Not applicable.</w:t>
            </w:r>
          </w:p>
        </w:tc>
      </w:tr>
    </w:tbl>
    <w:p w:rsidR="0063253C" w:rsidP="004E4AEA">
      <w:pPr>
        <w:pStyle w:val="NoPaddingFontSize1"/>
      </w:pPr>
    </w:p>
    <w:p w:rsidR="0063253C" w:rsidP="004E4AEA">
      <w:pPr>
        <w:pStyle w:val="NoPaddingFontSize1"/>
      </w:pPr>
    </w:p>
    <w:p w:rsidR="00000000" w:rsidRPr="004E4AEA" w:rsidP="004E4AEA">
      <w:pPr>
        <w:pStyle w:val="Heading1"/>
      </w:pPr>
      <w:bookmarkStart w:id="6" w:name="O_1285103"/>
      <w:bookmarkEnd w:id="6"/>
      <w:r w:rsidRPr="004E4AE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E4A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PERFORMANCE CRITERIA</w:t>
            </w:r>
          </w:p>
        </w:tc>
      </w:tr>
      <w:tr w:rsidTr="004E4A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Performance criteria describe the performance needed to demonstrate achievement of the element.</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Risks to self, others and the environment are identified according to organisational procedures</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Routine pre-operational ch</w:t>
            </w:r>
            <w:r w:rsidRPr="004E4AEA">
              <w:t>ecks of auxiliary machinery systems are completed prior to use according to manufacturer specifications and organisational procedures</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Operate auxiliary machinery systems</w:t>
            </w: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Suitable personal protective equipment (PPE) i</w:t>
            </w:r>
            <w:r w:rsidRPr="004E4AEA">
              <w:t>s selected and used according to organisational procedures</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Auxiliary machinery systems are operated in a safe and controlled manner</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Performance of auxiliary machinery system operations is monitored</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Adverse sea and weather conditions th</w:t>
            </w:r>
            <w:r w:rsidRPr="004E4AEA">
              <w:t>at may impact on operation of auxiliary machinery systems are identified and operational practices are adjusted to maintain safety of vessel and personnel</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Faults or malfunctions are identified and recorded according to organisational procedures</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w:t>
            </w:r>
            <w:r w:rsidRPr="004E4AEA">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Faults or malfunctions are rectified and corrective actions are taken and recorded according to organisational procedures</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Procedures to be undertaken in emergencies are recognised and implemented</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Complete operations and check auxiliary machine</w:t>
            </w:r>
            <w:r w:rsidRPr="004E4AEA">
              <w:rPr>
                <w:rStyle w:val="SpecialBold"/>
              </w:rPr>
              <w:t>ry systems</w:t>
            </w: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t>Shutdown procedures are conducted according to manufacturer instructions and organisational procedures</w:t>
            </w:r>
          </w:p>
        </w:tc>
      </w:tr>
      <w:tr w:rsidTr="004E4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4A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4AEA">
            <w:pPr>
              <w:pStyle w:val="BodyText"/>
              <w:rPr>
                <w:lang w:val="en-NZ"/>
              </w:rPr>
            </w:pPr>
            <w:r w:rsidRPr="004E4A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Operational records are completed, as required, according to organisational procedures and regulatory requirements</w:t>
            </w:r>
          </w:p>
        </w:tc>
      </w:tr>
    </w:tbl>
    <w:p w:rsidR="0063253C" w:rsidP="004E4AEA">
      <w:pPr>
        <w:pStyle w:val="NoPaddingFontSize1"/>
      </w:pPr>
    </w:p>
    <w:p w:rsidR="0063253C" w:rsidP="004E4AEA">
      <w:pPr>
        <w:pStyle w:val="NoPaddingFontSize1"/>
      </w:pPr>
    </w:p>
    <w:p w:rsidR="00000000" w:rsidRPr="004E4AEA" w:rsidP="004E4AEA">
      <w:pPr>
        <w:pStyle w:val="Heading1"/>
      </w:pPr>
      <w:bookmarkStart w:id="7" w:name="O_1285102"/>
      <w:bookmarkEnd w:id="7"/>
      <w:r w:rsidRPr="004E4AEA">
        <w:t>Foundation Skills</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Foundation skills essential to performance are explicit in the performance criteria of this unit of competency.</w:t>
            </w:r>
          </w:p>
        </w:tc>
      </w:tr>
    </w:tbl>
    <w:p w:rsidR="0063253C" w:rsidP="004E4AEA">
      <w:pPr>
        <w:pStyle w:val="NoPaddingFontSize1"/>
      </w:pPr>
    </w:p>
    <w:p w:rsidR="0063253C" w:rsidP="004E4AEA">
      <w:pPr>
        <w:pStyle w:val="NoPaddingFontSize1"/>
      </w:pPr>
    </w:p>
    <w:p w:rsidR="00000000" w:rsidRPr="004E4AEA" w:rsidP="004E4AEA">
      <w:pPr>
        <w:pStyle w:val="Heading1"/>
      </w:pPr>
      <w:bookmarkStart w:id="8" w:name="O_1285101"/>
      <w:bookmarkEnd w:id="8"/>
      <w:r w:rsidRPr="004E4AEA">
        <w:t>Range of Conditions</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Range is restricted to essential operating conditions and any other variabl</w:t>
            </w:r>
            <w:r w:rsidRPr="004E4AEA">
              <w:t>es essential to the work environment.</w:t>
            </w:r>
          </w:p>
        </w:tc>
      </w:tr>
    </w:tbl>
    <w:p w:rsidR="0063253C" w:rsidP="004E4AEA">
      <w:pPr>
        <w:pStyle w:val="NoPaddingFontSize1"/>
      </w:pPr>
    </w:p>
    <w:p w:rsidR="0063253C" w:rsidP="004E4AEA">
      <w:pPr>
        <w:pStyle w:val="NoPaddingFontSize1"/>
      </w:pPr>
    </w:p>
    <w:p w:rsidR="00000000" w:rsidRPr="004E4AEA" w:rsidP="004E4AEA">
      <w:pPr>
        <w:pStyle w:val="Heading1"/>
      </w:pPr>
      <w:bookmarkStart w:id="9" w:name="O_1285100"/>
      <w:bookmarkEnd w:id="9"/>
      <w:r w:rsidRPr="004E4AEA">
        <w:t>Unit Mapping Information</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This unit replaces and is equivalent to MARC013 Operate auxiliary machinery systems up to 1500 kW.</w:t>
            </w:r>
          </w:p>
        </w:tc>
      </w:tr>
    </w:tbl>
    <w:p w:rsidR="0063253C" w:rsidP="004E4AEA">
      <w:pPr>
        <w:pStyle w:val="NoPaddingFontSize1"/>
      </w:pPr>
    </w:p>
    <w:p w:rsidR="0063253C" w:rsidP="004E4AEA">
      <w:pPr>
        <w:pStyle w:val="NoPaddingFontSize1"/>
      </w:pPr>
    </w:p>
    <w:p w:rsidR="00000000" w:rsidRPr="004E4AEA" w:rsidP="004E4AEA">
      <w:pPr>
        <w:pStyle w:val="Heading1"/>
      </w:pPr>
      <w:bookmarkStart w:id="10" w:name="O_1285109"/>
      <w:bookmarkEnd w:id="10"/>
      <w:r w:rsidRPr="004E4AEA">
        <w:t>Links</w:t>
      </w:r>
    </w:p>
    <w:p w:rsidR="00000000" w:rsidRPr="004E4AEA" w:rsidP="0063253C">
      <w:pPr>
        <w:pStyle w:val="BodyText"/>
      </w:pPr>
      <w:r w:rsidRPr="004E4AE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44E60">
        <w:rPr>
          <w:rStyle w:val="Hyperlink"/>
        </w:rPr>
        <w:t>https://vetnet.gov.au/Pages/TrainingDocs.aspx?q=772efb7b-4cce-47fe-9bbd-ee3b1d1eb4c2</w:t>
      </w:r>
      <w:r>
        <w:fldChar w:fldCharType="end"/>
      </w:r>
    </w:p>
    <w:p w:rsidR="00000000" w:rsidRPr="004E4AEA" w:rsidP="0063253C">
      <w:pPr>
        <w:pStyle w:val="BodyText"/>
        <w:sectPr w:rsidSect="004E4AEA">
          <w:headerReference w:type="default" r:id="rId10"/>
          <w:footerReference w:type="default" r:id="rId11"/>
          <w:pgSz w:w="11908" w:h="16833"/>
          <w:pgMar w:top="1702" w:right="1418" w:bottom="1702" w:left="1418" w:header="992" w:footer="992" w:gutter="0"/>
          <w:cols w:space="720"/>
          <w:noEndnote/>
          <w:docGrid w:linePitch="299"/>
        </w:sectPr>
      </w:pPr>
    </w:p>
    <w:p w:rsidR="00000000" w:rsidRPr="004E4AEA" w:rsidP="004E4AEA">
      <w:pPr>
        <w:pStyle w:val="SuperHeading"/>
      </w:pPr>
      <w:r w:rsidRPr="004E4AEA">
        <w:t>Assessment Requirements for MARC050 Operate auxiliary machinery</w:t>
      </w:r>
      <w:r w:rsidRPr="004E4AEA">
        <w:t xml:space="preserve"> systems up to 1500 kW</w:t>
      </w:r>
    </w:p>
    <w:p w:rsidR="00000000" w:rsidRPr="004E4AEA" w:rsidP="004E4AEA">
      <w:pPr>
        <w:pStyle w:val="Heading1"/>
      </w:pPr>
      <w:bookmarkStart w:id="11" w:name="O_1285098"/>
      <w:bookmarkEnd w:id="11"/>
      <w:r w:rsidRPr="004E4AEA">
        <w:t>Modification History</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Release 2</w:t>
            </w:r>
            <w:r w:rsidRPr="004E4AEA">
              <w:t>. This is the second release of this unit of competency in the MAR Maritime Training Package.</w:t>
            </w:r>
          </w:p>
          <w:p w:rsidR="00000000" w:rsidRPr="004E4AEA" w:rsidP="004E4AEA">
            <w:pPr>
              <w:pStyle w:val="ListBullet"/>
            </w:pPr>
            <w:r w:rsidRPr="004E4AEA">
              <w:t>Minor statement changes in unit Application</w:t>
            </w:r>
          </w:p>
          <w:p w:rsidR="00000000" w:rsidRPr="004E4AEA" w:rsidP="004E4AEA">
            <w:pPr>
              <w:pStyle w:val="ListBullet"/>
            </w:pPr>
            <w:r w:rsidRPr="004E4AEA">
              <w:t>Minor MO505 statement changes in Knowledge Evidence</w:t>
            </w:r>
          </w:p>
          <w:p w:rsidR="00000000" w:rsidP="004E4AEA">
            <w:pPr>
              <w:pStyle w:val="ListBullet"/>
              <w:rPr>
                <w:lang w:val="en-NZ"/>
              </w:rPr>
            </w:pPr>
            <w:r w:rsidRPr="004E4AEA">
              <w:t>Minor statement changes in Assessment Conditions.</w:t>
            </w:r>
          </w:p>
        </w:tc>
      </w:tr>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rPr>
                <w:rStyle w:val="SpecialBold"/>
              </w:rPr>
              <w:t>Release 1</w:t>
            </w:r>
            <w:r w:rsidRPr="004E4AEA">
              <w:t>. This is the first release of this unit of competency in the MAR Maritime Training Package.</w:t>
            </w:r>
          </w:p>
        </w:tc>
      </w:tr>
    </w:tbl>
    <w:p w:rsidR="00000000" w:rsidRPr="004E4AEA" w:rsidP="004E4AEA">
      <w:pPr>
        <w:pStyle w:val="NoPaddingFontSize1"/>
      </w:pPr>
    </w:p>
    <w:p w:rsidR="00000000" w:rsidRPr="004E4AEA" w:rsidP="004E4AEA">
      <w:pPr>
        <w:pStyle w:val="AllowPageBreak"/>
      </w:pPr>
    </w:p>
    <w:p w:rsidR="00000000" w:rsidRPr="004E4AEA" w:rsidP="004E4AEA">
      <w:pPr>
        <w:pStyle w:val="Heading1"/>
      </w:pPr>
      <w:bookmarkStart w:id="12" w:name="O_1285097"/>
      <w:bookmarkEnd w:id="12"/>
      <w:r w:rsidRPr="004E4AEA">
        <w:t>Performance Evidence</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 xml:space="preserve">Evidence </w:t>
            </w:r>
            <w:r w:rsidRPr="004E4AEA">
              <w:t>required to demonstrate competence in this unit must be relevant to and satisfy all of the requirements of the elements and performance criteria on at least one occasion and include:</w:t>
            </w:r>
          </w:p>
          <w:p w:rsidR="00000000" w:rsidRPr="004E4AEA" w:rsidP="004E4AEA">
            <w:pPr>
              <w:pStyle w:val="ListBullet"/>
            </w:pPr>
            <w:r w:rsidRPr="004E4AEA">
              <w:t>interpreting:</w:t>
            </w:r>
          </w:p>
          <w:p w:rsidR="00000000" w:rsidRPr="004E4AEA" w:rsidP="004E4AEA">
            <w:pPr>
              <w:pStyle w:val="ListBullet2"/>
            </w:pPr>
            <w:r w:rsidRPr="004E4AEA">
              <w:t xml:space="preserve">manufacturer instructions for the operation of auxiliary </w:t>
            </w:r>
            <w:r w:rsidRPr="004E4AEA">
              <w:t>machinery systems</w:t>
            </w:r>
          </w:p>
          <w:p w:rsidR="00000000" w:rsidRPr="004E4AEA" w:rsidP="004E4AEA">
            <w:pPr>
              <w:pStyle w:val="ListBullet2"/>
            </w:pPr>
            <w:r w:rsidRPr="004E4AEA">
              <w:t>maritime regulations, rules and instructions</w:t>
            </w:r>
          </w:p>
          <w:p w:rsidR="00000000" w:rsidRPr="004E4AEA" w:rsidP="004E4AEA">
            <w:pPr>
              <w:pStyle w:val="ListBullet"/>
            </w:pPr>
            <w:r w:rsidRPr="004E4AEA">
              <w:t>maintaining records of the operation and maintenance of auxiliary machinery systems and any related safety incidents, including:</w:t>
            </w:r>
          </w:p>
          <w:p w:rsidR="00000000" w:rsidRPr="004E4AEA" w:rsidP="004E4AEA">
            <w:pPr>
              <w:pStyle w:val="ListBullet2"/>
            </w:pPr>
            <w:r w:rsidRPr="004E4AEA">
              <w:t>logbooks</w:t>
            </w:r>
          </w:p>
          <w:p w:rsidR="00000000" w:rsidRPr="004E4AEA" w:rsidP="004E4AEA">
            <w:pPr>
              <w:pStyle w:val="ListBullet2"/>
            </w:pPr>
            <w:r w:rsidRPr="004E4AEA">
              <w:t>maintenance records</w:t>
            </w:r>
          </w:p>
          <w:p w:rsidR="00000000" w:rsidRPr="004E4AEA" w:rsidP="004E4AEA">
            <w:pPr>
              <w:pStyle w:val="ListBullet"/>
            </w:pPr>
            <w:r w:rsidRPr="004E4AEA">
              <w:t>monitoring and evaluating performance of auxiliary machinery systems</w:t>
            </w:r>
          </w:p>
          <w:p w:rsidR="00000000" w:rsidRPr="004E4AEA" w:rsidP="004E4AEA">
            <w:pPr>
              <w:pStyle w:val="ListBullet"/>
            </w:pPr>
            <w:r w:rsidRPr="004E4AEA">
              <w:t>operating auxiliary equipment, including:</w:t>
            </w:r>
          </w:p>
          <w:p w:rsidR="00000000" w:rsidRPr="004E4AEA" w:rsidP="004E4AEA">
            <w:pPr>
              <w:pStyle w:val="ListBullet2"/>
            </w:pPr>
            <w:r w:rsidRPr="004E4AEA">
              <w:t>bilge, ballast and seawater systems</w:t>
            </w:r>
          </w:p>
          <w:p w:rsidR="00000000" w:rsidRPr="004E4AEA" w:rsidP="004E4AEA">
            <w:pPr>
              <w:pStyle w:val="ListBullet2"/>
            </w:pPr>
            <w:r w:rsidRPr="004E4AEA">
              <w:t>electrical system</w:t>
            </w:r>
          </w:p>
          <w:p w:rsidR="00000000" w:rsidRPr="004E4AEA" w:rsidP="004E4AEA">
            <w:pPr>
              <w:pStyle w:val="ListBullet2"/>
            </w:pPr>
            <w:r w:rsidRPr="004E4AEA">
              <w:t>fuel and lubricating oil system</w:t>
            </w:r>
          </w:p>
          <w:p w:rsidR="00000000" w:rsidRPr="004E4AEA" w:rsidP="004E4AEA">
            <w:pPr>
              <w:pStyle w:val="ListBullet2"/>
            </w:pPr>
            <w:r w:rsidRPr="004E4AEA">
              <w:t>propulsion and steering system</w:t>
            </w:r>
          </w:p>
          <w:p w:rsidR="00000000" w:rsidRPr="004E4AEA" w:rsidP="004E4AEA">
            <w:pPr>
              <w:pStyle w:val="ListBullet2"/>
            </w:pPr>
            <w:r w:rsidRPr="004E4AEA">
              <w:t>refrigeration system.</w:t>
            </w:r>
          </w:p>
        </w:tc>
      </w:tr>
    </w:tbl>
    <w:p w:rsidR="00000000" w:rsidRPr="004E4AEA" w:rsidP="004E4AEA">
      <w:pPr>
        <w:pStyle w:val="NoPaddingFontSize1"/>
      </w:pPr>
    </w:p>
    <w:p w:rsidR="00000000" w:rsidRPr="004E4AEA" w:rsidP="004E4AEA">
      <w:pPr>
        <w:pStyle w:val="AllowPageBreak"/>
      </w:pPr>
    </w:p>
    <w:p w:rsidR="00000000" w:rsidRPr="004E4AEA" w:rsidP="004E4AEA">
      <w:pPr>
        <w:pStyle w:val="Heading1"/>
      </w:pPr>
      <w:bookmarkStart w:id="13" w:name="O_1285096"/>
      <w:bookmarkEnd w:id="13"/>
      <w:r w:rsidRPr="004E4AEA">
        <w:t>Knowledge Evidence</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Evidence required to demonstrate competence in this unit must be relevant to and satisfy all of the requirements of the elements and performance criteria and include knowledge of:</w:t>
            </w:r>
          </w:p>
          <w:p w:rsidR="00000000" w:rsidRPr="004E4AEA" w:rsidP="004E4AEA">
            <w:pPr>
              <w:pStyle w:val="ListBullet"/>
            </w:pPr>
            <w:r w:rsidRPr="004E4AEA">
              <w:t>alarm panels</w:t>
            </w:r>
          </w:p>
          <w:p w:rsidR="00000000" w:rsidRPr="004E4AEA" w:rsidP="004E4AEA">
            <w:pPr>
              <w:pStyle w:val="ListBullet"/>
            </w:pPr>
            <w:r w:rsidRPr="004E4AEA">
              <w:t>auxiliary machinery syste</w:t>
            </w:r>
            <w:r w:rsidRPr="004E4AEA">
              <w:t>ms, including:</w:t>
            </w:r>
          </w:p>
          <w:p w:rsidR="00000000" w:rsidRPr="004E4AEA" w:rsidP="004E4AEA">
            <w:pPr>
              <w:pStyle w:val="ListBullet2"/>
            </w:pPr>
            <w:r w:rsidRPr="004E4AEA">
              <w:t>cargo discharging or loading systems</w:t>
            </w:r>
          </w:p>
          <w:p w:rsidR="00000000" w:rsidRPr="004E4AEA" w:rsidP="004E4AEA">
            <w:pPr>
              <w:pStyle w:val="ListBullet2"/>
            </w:pPr>
            <w:r w:rsidRPr="004E4AEA">
              <w:t>commercial refrigeration and freezer plants</w:t>
            </w:r>
          </w:p>
          <w:p w:rsidR="00000000" w:rsidRPr="004E4AEA" w:rsidP="004E4AEA">
            <w:pPr>
              <w:pStyle w:val="ListBullet2"/>
            </w:pPr>
            <w:r w:rsidRPr="004E4AEA">
              <w:t>compressed air</w:t>
            </w:r>
          </w:p>
          <w:p w:rsidR="00000000" w:rsidRPr="004E4AEA" w:rsidP="004E4AEA">
            <w:pPr>
              <w:pStyle w:val="ListBullet2"/>
            </w:pPr>
            <w:r w:rsidRPr="004E4AEA">
              <w:t>control air systems</w:t>
            </w:r>
          </w:p>
          <w:p w:rsidR="00000000" w:rsidRPr="004E4AEA" w:rsidP="004E4AEA">
            <w:pPr>
              <w:pStyle w:val="ListBullet2"/>
            </w:pPr>
            <w:r w:rsidRPr="004E4AEA">
              <w:t>deck machinery</w:t>
            </w:r>
          </w:p>
          <w:p w:rsidR="00000000" w:rsidRPr="004E4AEA" w:rsidP="004E4AEA">
            <w:pPr>
              <w:pStyle w:val="ListBullet2"/>
            </w:pPr>
            <w:r w:rsidRPr="004E4AEA">
              <w:t>fire, bilge and ballast pumping systems</w:t>
            </w:r>
          </w:p>
          <w:p w:rsidR="00000000" w:rsidRPr="004E4AEA" w:rsidP="004E4AEA">
            <w:pPr>
              <w:pStyle w:val="ListBullet2"/>
            </w:pPr>
            <w:r w:rsidRPr="004E4AEA">
              <w:t>freshwater generation</w:t>
            </w:r>
          </w:p>
          <w:p w:rsidR="00000000" w:rsidRPr="004E4AEA" w:rsidP="004E4AEA">
            <w:pPr>
              <w:pStyle w:val="ListBullet2"/>
            </w:pPr>
            <w:r w:rsidRPr="004E4AEA">
              <w:t>sewage treatment</w:t>
            </w:r>
          </w:p>
          <w:p w:rsidR="00000000" w:rsidRPr="004E4AEA" w:rsidP="004E4AEA">
            <w:pPr>
              <w:pStyle w:val="ListBullet"/>
            </w:pPr>
            <w:r w:rsidRPr="004E4AEA">
              <w:t>auxiliary systems, identified components, materials and construction</w:t>
            </w:r>
          </w:p>
          <w:p w:rsidR="00000000" w:rsidRPr="004E4AEA" w:rsidP="004E4AEA">
            <w:pPr>
              <w:pStyle w:val="ListBullet"/>
            </w:pPr>
            <w:r w:rsidRPr="004E4AEA">
              <w:t>awareness of one’s surroundings and changes to these surroundings</w:t>
            </w:r>
          </w:p>
          <w:p w:rsidR="00000000" w:rsidRPr="004E4AEA" w:rsidP="004E4AEA">
            <w:pPr>
              <w:pStyle w:val="ListBullet"/>
            </w:pPr>
            <w:r w:rsidRPr="004E4AEA">
              <w:t>causes of deck machinery faults</w:t>
            </w:r>
          </w:p>
          <w:p w:rsidR="00000000" w:rsidRPr="004E4AEA" w:rsidP="004E4AEA">
            <w:pPr>
              <w:pStyle w:val="ListBullet"/>
            </w:pPr>
            <w:r w:rsidRPr="004E4AEA">
              <w:t>characteristics of auxiliary machinery systems</w:t>
            </w:r>
          </w:p>
          <w:p w:rsidR="00000000" w:rsidRPr="004E4AEA" w:rsidP="004E4AEA">
            <w:pPr>
              <w:pStyle w:val="ListBullet"/>
            </w:pPr>
            <w:r w:rsidRPr="004E4AEA">
              <w:t>closing devices and remote shut-offs</w:t>
            </w:r>
          </w:p>
          <w:p w:rsidR="00000000" w:rsidRPr="004E4AEA" w:rsidP="004E4AEA">
            <w:pPr>
              <w:pStyle w:val="ListBullet"/>
            </w:pPr>
            <w:r w:rsidRPr="004E4AEA">
              <w:t>dangers associated with operating shipboard auxiliary machinery systems and related hazard prevention strategies</w:t>
            </w:r>
          </w:p>
          <w:p w:rsidR="00000000" w:rsidRPr="004E4AEA" w:rsidP="004E4AEA">
            <w:pPr>
              <w:pStyle w:val="ListBullet"/>
            </w:pPr>
            <w:r w:rsidRPr="004E4AEA">
              <w:t>drive systems, belts, clutches and motors</w:t>
            </w:r>
          </w:p>
          <w:p w:rsidR="00000000" w:rsidRPr="004E4AEA" w:rsidP="004E4AEA">
            <w:pPr>
              <w:pStyle w:val="ListBullet"/>
            </w:pPr>
            <w:r w:rsidRPr="004E4AEA">
              <w:t>electro-hydraulic steering gear</w:t>
            </w:r>
          </w:p>
          <w:p w:rsidR="00000000" w:rsidRPr="004E4AEA" w:rsidP="004E4AEA">
            <w:pPr>
              <w:pStyle w:val="ListBullet"/>
            </w:pPr>
            <w:r w:rsidRPr="004E4AEA">
              <w:t>emergency operation in electrical or hydraulic failure</w:t>
            </w:r>
          </w:p>
          <w:p w:rsidR="00000000" w:rsidRPr="004E4AEA" w:rsidP="004E4AEA">
            <w:pPr>
              <w:pStyle w:val="ListBullet"/>
            </w:pPr>
            <w:r w:rsidRPr="004E4AEA">
              <w:t>emergency proc</w:t>
            </w:r>
            <w:r w:rsidRPr="004E4AEA">
              <w:t>edures, including:</w:t>
            </w:r>
          </w:p>
          <w:p w:rsidR="00000000" w:rsidRPr="004E4AEA" w:rsidP="004E4AEA">
            <w:pPr>
              <w:pStyle w:val="ListBullet2"/>
            </w:pPr>
            <w:r w:rsidRPr="004E4AEA">
              <w:t>loss of:</w:t>
            </w:r>
          </w:p>
          <w:p w:rsidR="00000000" w:rsidRPr="004E4AEA" w:rsidP="004E4AEA">
            <w:pPr>
              <w:pStyle w:val="ListBullet3"/>
            </w:pPr>
            <w:r w:rsidRPr="004E4AEA">
              <w:t>control air pressure</w:t>
            </w:r>
          </w:p>
          <w:p w:rsidR="00000000" w:rsidRPr="004E4AEA" w:rsidP="004E4AEA">
            <w:pPr>
              <w:pStyle w:val="ListBullet3"/>
            </w:pPr>
            <w:r w:rsidRPr="004E4AEA">
              <w:t>electrical power</w:t>
            </w:r>
          </w:p>
          <w:p w:rsidR="00000000" w:rsidRPr="004E4AEA" w:rsidP="004E4AEA">
            <w:pPr>
              <w:pStyle w:val="ListBullet2"/>
            </w:pPr>
            <w:r w:rsidRPr="004E4AEA">
              <w:t>hydraulic system failure</w:t>
            </w:r>
          </w:p>
          <w:p w:rsidR="00000000" w:rsidRPr="004E4AEA" w:rsidP="004E4AEA">
            <w:pPr>
              <w:pStyle w:val="ListBullet2"/>
            </w:pPr>
            <w:r w:rsidRPr="004E4AEA">
              <w:t>steering system failure</w:t>
            </w:r>
          </w:p>
          <w:p w:rsidR="00000000" w:rsidRPr="004E4AEA" w:rsidP="004E4AEA">
            <w:pPr>
              <w:pStyle w:val="ListBullet"/>
            </w:pPr>
            <w:r w:rsidRPr="004E4AEA">
              <w:t>emergency shut-offs and closures</w:t>
            </w:r>
          </w:p>
          <w:p w:rsidR="00000000" w:rsidRPr="004E4AEA" w:rsidP="004E4AEA">
            <w:pPr>
              <w:pStyle w:val="ListBullet"/>
            </w:pPr>
            <w:r w:rsidRPr="004E4AEA">
              <w:t>fire detection and fire alarm systems</w:t>
            </w:r>
          </w:p>
          <w:p w:rsidR="00000000" w:rsidRPr="004E4AEA" w:rsidP="004E4AEA">
            <w:pPr>
              <w:pStyle w:val="ListBullet"/>
            </w:pPr>
            <w:r w:rsidRPr="004E4AEA">
              <w:t>fixed firefighting installations, including CO2, foam, water mist and pyrogen</w:t>
            </w:r>
          </w:p>
          <w:p w:rsidR="00000000" w:rsidRPr="004E4AEA" w:rsidP="004E4AEA">
            <w:pPr>
              <w:pStyle w:val="ListBullet"/>
            </w:pPr>
            <w:r w:rsidRPr="004E4AEA">
              <w:t>function and importance of:</w:t>
            </w:r>
          </w:p>
          <w:p w:rsidR="00000000" w:rsidRPr="004E4AEA" w:rsidP="004E4AEA">
            <w:pPr>
              <w:pStyle w:val="ListBullet2"/>
            </w:pPr>
            <w:r w:rsidRPr="004E4AEA">
              <w:t>grease</w:t>
            </w:r>
          </w:p>
          <w:p w:rsidR="00000000" w:rsidRPr="004E4AEA" w:rsidP="004E4AEA">
            <w:pPr>
              <w:pStyle w:val="ListBullet2"/>
            </w:pPr>
            <w:r w:rsidRPr="004E4AEA">
              <w:t>lubricating oil</w:t>
            </w:r>
          </w:p>
          <w:p w:rsidR="00000000" w:rsidRPr="004E4AEA" w:rsidP="004E4AEA">
            <w:pPr>
              <w:pStyle w:val="ListBullet"/>
            </w:pPr>
            <w:r w:rsidRPr="004E4AEA">
              <w:t>hydraulic systems, including steering gear and deck machinery</w:t>
            </w:r>
          </w:p>
          <w:p w:rsidR="00000000" w:rsidRPr="004E4AEA" w:rsidP="004E4AEA">
            <w:pPr>
              <w:pStyle w:val="ListBullet"/>
            </w:pPr>
            <w:r w:rsidRPr="004E4AEA">
              <w:t>identification and operation of rudder and stock support bearin</w:t>
            </w:r>
            <w:r w:rsidRPr="004E4AEA">
              <w:t>gs, glands, packing and seals</w:t>
            </w:r>
          </w:p>
          <w:p w:rsidR="00000000" w:rsidRPr="004E4AEA" w:rsidP="004E4AEA">
            <w:pPr>
              <w:pStyle w:val="ListBullet"/>
            </w:pPr>
            <w:r w:rsidRPr="004E4AEA">
              <w:t>identification of:</w:t>
            </w:r>
          </w:p>
          <w:p w:rsidR="00000000" w:rsidRPr="004E4AEA" w:rsidP="004E4AEA">
            <w:pPr>
              <w:pStyle w:val="ListBullet2"/>
            </w:pPr>
            <w:r w:rsidRPr="004E4AEA">
              <w:t>faults in refrigeration systems</w:t>
            </w:r>
          </w:p>
          <w:p w:rsidR="00000000" w:rsidRPr="004E4AEA" w:rsidP="004E4AEA">
            <w:pPr>
              <w:pStyle w:val="ListBullet2"/>
            </w:pPr>
            <w:r w:rsidRPr="004E4AEA">
              <w:t>plant and its operation</w:t>
            </w:r>
          </w:p>
          <w:p w:rsidR="00000000" w:rsidRPr="004E4AEA" w:rsidP="004E4AEA">
            <w:pPr>
              <w:pStyle w:val="ListBullet2"/>
            </w:pPr>
            <w:r w:rsidRPr="004E4AEA">
              <w:t>refrigeration cycle</w:t>
            </w:r>
          </w:p>
          <w:p w:rsidR="00000000" w:rsidRPr="004E4AEA" w:rsidP="004E4AEA">
            <w:pPr>
              <w:pStyle w:val="ListBullet2"/>
            </w:pPr>
            <w:r w:rsidRPr="004E4AEA">
              <w:t>refrigeration system components</w:t>
            </w:r>
          </w:p>
          <w:p w:rsidR="00000000" w:rsidRPr="004E4AEA" w:rsidP="004E4AEA">
            <w:pPr>
              <w:pStyle w:val="ListBullet"/>
            </w:pPr>
            <w:r w:rsidRPr="004E4AEA">
              <w:t xml:space="preserve">methods for controlling and managing operation of shipboard auxiliary machinery systems </w:t>
            </w:r>
          </w:p>
          <w:p w:rsidR="00000000" w:rsidRPr="004E4AEA" w:rsidP="004E4AEA">
            <w:pPr>
              <w:pStyle w:val="ListBullet"/>
            </w:pPr>
            <w:r w:rsidRPr="004E4AEA">
              <w:t>operation of deck machinery</w:t>
            </w:r>
          </w:p>
          <w:p w:rsidR="00000000" w:rsidRPr="004E4AEA" w:rsidP="004E4AEA">
            <w:pPr>
              <w:pStyle w:val="ListBullet"/>
            </w:pPr>
            <w:r w:rsidRPr="004E4AEA">
              <w:t>problems associated with auxiliary machinery systems, and appropriate preventative and remedial actions and solutions</w:t>
            </w:r>
          </w:p>
          <w:p w:rsidR="00000000" w:rsidRPr="004E4AEA" w:rsidP="004E4AEA">
            <w:pPr>
              <w:pStyle w:val="ListBullet"/>
            </w:pPr>
            <w:r w:rsidRPr="004E4AEA">
              <w:t>relevant sections of Commonwealth, state and territory maritime regulations, and Marine Order 505</w:t>
            </w:r>
          </w:p>
          <w:p w:rsidR="00000000" w:rsidRPr="004E4AEA" w:rsidP="004E4AEA">
            <w:pPr>
              <w:pStyle w:val="ListBullet"/>
            </w:pPr>
            <w:r w:rsidRPr="004E4AEA">
              <w:t>relevant uns</w:t>
            </w:r>
            <w:r w:rsidRPr="004E4AEA">
              <w:t>atisfactory performance of auxiliary machinery systems outside specified limits and appropriate actions requirements</w:t>
            </w:r>
          </w:p>
          <w:p w:rsidR="00000000" w:rsidRPr="004E4AEA" w:rsidP="004E4AEA">
            <w:pPr>
              <w:pStyle w:val="ListBullet"/>
            </w:pPr>
            <w:r w:rsidRPr="004E4AEA">
              <w:t>relevant work health and safety (WHS)/occupational health and safety (OHS) legislation and policies</w:t>
            </w:r>
          </w:p>
          <w:p w:rsidR="00000000" w:rsidRPr="004E4AEA" w:rsidP="004E4AEA">
            <w:pPr>
              <w:pStyle w:val="ListBullet"/>
            </w:pPr>
            <w:r w:rsidRPr="004E4AEA">
              <w:t>requirements for waste management and p</w:t>
            </w:r>
            <w:r w:rsidRPr="004E4AEA">
              <w:t>ollution control from auxiliary machinery systems under the International Convention for the Prevention of Pollution from Ships (MARPOL)</w:t>
            </w:r>
          </w:p>
          <w:p w:rsidR="00000000" w:rsidRPr="004E4AEA" w:rsidP="004E4AEA">
            <w:pPr>
              <w:pStyle w:val="ListBullet"/>
            </w:pPr>
            <w:r w:rsidRPr="004E4AEA">
              <w:t>rudder construction and rudder types</w:t>
            </w:r>
          </w:p>
          <w:p w:rsidR="00000000" w:rsidRPr="004E4AEA" w:rsidP="004E4AEA">
            <w:pPr>
              <w:pStyle w:val="ListBullet"/>
            </w:pPr>
            <w:r w:rsidRPr="004E4AEA">
              <w:t>safe operational practices and working procedure of auxiliary machinery</w:t>
            </w:r>
          </w:p>
          <w:p w:rsidR="00000000" w:rsidRPr="004E4AEA" w:rsidP="004E4AEA">
            <w:pPr>
              <w:pStyle w:val="ListBullet"/>
            </w:pPr>
            <w:r w:rsidRPr="004E4AEA">
              <w:t>safeguards</w:t>
            </w:r>
            <w:r w:rsidRPr="004E4AEA">
              <w:t xml:space="preserve"> and protective devices for deck machinery</w:t>
            </w:r>
          </w:p>
          <w:p w:rsidR="00000000" w:rsidRPr="004E4AEA" w:rsidP="004E4AEA">
            <w:pPr>
              <w:pStyle w:val="ListBullet"/>
            </w:pPr>
            <w:r w:rsidRPr="004E4AEA">
              <w:t>simple hydraulic circuits</w:t>
            </w:r>
          </w:p>
          <w:p w:rsidR="00000000" w:rsidRPr="004E4AEA" w:rsidP="004E4AEA">
            <w:pPr>
              <w:pStyle w:val="ListBullet"/>
            </w:pPr>
            <w:r w:rsidRPr="004E4AEA">
              <w:t>strainers, mud-boxes and foot valves</w:t>
            </w:r>
          </w:p>
          <w:p w:rsidR="00000000" w:rsidRPr="004E4AEA" w:rsidP="004E4AEA">
            <w:pPr>
              <w:pStyle w:val="ListBullet"/>
            </w:pPr>
            <w:r w:rsidRPr="004E4AEA">
              <w:t>terminology of materials technology</w:t>
            </w:r>
          </w:p>
          <w:p w:rsidR="00000000" w:rsidRPr="004E4AEA" w:rsidP="004E4AEA">
            <w:pPr>
              <w:pStyle w:val="ListBullet"/>
            </w:pPr>
            <w:r w:rsidRPr="004E4AEA">
              <w:t>types of:</w:t>
            </w:r>
          </w:p>
          <w:p w:rsidR="00000000" w:rsidRPr="004E4AEA" w:rsidP="004E4AEA">
            <w:pPr>
              <w:pStyle w:val="ListBullet2"/>
            </w:pPr>
            <w:r w:rsidRPr="004E4AEA">
              <w:t>fixed firefighting systems, including gas and foam flooding systems</w:t>
            </w:r>
          </w:p>
          <w:p w:rsidR="00000000" w:rsidRPr="004E4AEA" w:rsidP="004E4AEA">
            <w:pPr>
              <w:pStyle w:val="ListBullet2"/>
            </w:pPr>
            <w:r w:rsidRPr="004E4AEA">
              <w:t>pumps and associated safety devices</w:t>
            </w:r>
          </w:p>
          <w:p w:rsidR="00000000" w:rsidRPr="004E4AEA" w:rsidP="004E4AEA">
            <w:pPr>
              <w:pStyle w:val="ListBullet2"/>
            </w:pPr>
            <w:r w:rsidRPr="004E4AEA">
              <w:t>refrigerant</w:t>
            </w:r>
          </w:p>
          <w:p w:rsidR="00000000" w:rsidRPr="004E4AEA" w:rsidP="004E4AEA">
            <w:pPr>
              <w:pStyle w:val="ListBullet2"/>
            </w:pPr>
            <w:r w:rsidRPr="004E4AEA">
              <w:t>winches and windlass.</w:t>
            </w:r>
          </w:p>
        </w:tc>
      </w:tr>
    </w:tbl>
    <w:p w:rsidR="00000000" w:rsidRPr="004E4AEA" w:rsidP="004E4AEA">
      <w:pPr>
        <w:pStyle w:val="NoPaddingFontSize1"/>
      </w:pPr>
    </w:p>
    <w:p w:rsidR="00000000" w:rsidRPr="004E4AEA" w:rsidP="004E4AEA">
      <w:pPr>
        <w:pStyle w:val="AllowPageBreak"/>
      </w:pPr>
    </w:p>
    <w:p w:rsidR="00000000" w:rsidRPr="004E4AEA" w:rsidP="004E4AEA">
      <w:pPr>
        <w:pStyle w:val="Heading1"/>
      </w:pPr>
      <w:bookmarkStart w:id="14" w:name="O_1285095"/>
      <w:bookmarkEnd w:id="14"/>
      <w:r w:rsidRPr="004E4AEA">
        <w:t>Assessment Conditions</w:t>
      </w:r>
    </w:p>
    <w:tbl>
      <w:tblPr>
        <w:tblW w:w="9497" w:type="dxa"/>
        <w:tblLayout w:type="fixed"/>
        <w:tblCellMar>
          <w:left w:w="62" w:type="dxa"/>
          <w:right w:w="62" w:type="dxa"/>
        </w:tblCellMar>
        <w:tblLook w:val="0000"/>
      </w:tblPr>
      <w:tblGrid>
        <w:gridCol w:w="9497"/>
      </w:tblGrid>
      <w:tr w:rsidTr="004E4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4AEA" w:rsidP="004E4AEA">
            <w:pPr>
              <w:pStyle w:val="BodyText"/>
            </w:pPr>
            <w:r w:rsidRPr="004E4AEA">
              <w:t>Assessors must hold credentials specified within the Standards for Registered Training Organisations current at the time of assessment.</w:t>
            </w:r>
          </w:p>
          <w:p w:rsidR="00000000" w:rsidRPr="004E4AEA" w:rsidP="004E4AEA">
            <w:pPr>
              <w:pStyle w:val="BodyText"/>
            </w:pPr>
            <w:r w:rsidRPr="004E4AEA">
              <w:t>Assessment must satisfy the Principles of Assessment and Rules of Evidence and all regulatory requirements included within the Standards for Registered Training current at the time of assessment.</w:t>
            </w:r>
          </w:p>
          <w:p w:rsidR="00000000" w:rsidRPr="004E4AEA" w:rsidP="004E4AEA">
            <w:pPr>
              <w:pStyle w:val="BodyText"/>
            </w:pPr>
            <w:r w:rsidRPr="004E4AEA">
              <w:t>Assessment processes and techniques must be appropriate to t</w:t>
            </w:r>
            <w:r w:rsidRPr="004E4AEA">
              <w:t>he language, literacy and numeracy requirements of the work being performed and the needs of the candidate.</w:t>
            </w:r>
          </w:p>
          <w:p w:rsidR="00000000" w:rsidRPr="004E4AEA" w:rsidP="004E4AEA">
            <w:pPr>
              <w:pStyle w:val="BodyText"/>
            </w:pPr>
            <w:r w:rsidRPr="004E4AEA">
              <w:t xml:space="preserve">Practical assessment must occur in a workplace, or realistic simulated workplace, under the normal range of workplace conditions. </w:t>
            </w:r>
          </w:p>
          <w:p w:rsidR="00000000" w:rsidRPr="004E4AEA" w:rsidP="004E4AEA">
            <w:pPr>
              <w:pStyle w:val="BodyText"/>
            </w:pPr>
            <w:r w:rsidRPr="004E4AEA">
              <w:t>Simulations and s</w:t>
            </w:r>
            <w:r w:rsidRPr="004E4AEA">
              <w:t>cenarios may be used where situations cannot be provided in the workplace or may occur only rarely, in particular for situations relating to emergency procedures and adverse weather conditions where assessment would be unsafe, impractical or may lead to en</w:t>
            </w:r>
            <w:r w:rsidRPr="004E4AEA">
              <w:t xml:space="preserve">vironmental damage. </w:t>
            </w:r>
          </w:p>
          <w:p w:rsidR="00000000" w:rsidRPr="004E4AEA" w:rsidP="004E4AEA">
            <w:pPr>
              <w:pStyle w:val="BodyText"/>
            </w:pPr>
            <w:r w:rsidRPr="004E4AEA">
              <w:t>Resources for assessment must include access to:</w:t>
            </w:r>
          </w:p>
          <w:p w:rsidR="00000000" w:rsidRPr="004E4AEA" w:rsidP="004E4AEA">
            <w:pPr>
              <w:pStyle w:val="ListBullet"/>
            </w:pPr>
            <w:r w:rsidRPr="004E4AEA">
              <w:t>a commercial vessel with inboard diesel propulsion power of greater than or equal to 375 kW or appropriate engine, propulsion plant and auxiliary system ashore</w:t>
            </w:r>
          </w:p>
          <w:p w:rsidR="00000000" w:rsidRPr="004E4AEA" w:rsidP="004E4AEA">
            <w:pPr>
              <w:pStyle w:val="ListBullet"/>
            </w:pPr>
            <w:r w:rsidRPr="004E4AEA">
              <w:t>tools, equipment, machine</w:t>
            </w:r>
            <w:r w:rsidRPr="004E4AEA">
              <w:t>ry, materials and personal protective equipment (PPE) currently used in industry</w:t>
            </w:r>
          </w:p>
          <w:p w:rsidR="00000000" w:rsidRPr="004E4AEA" w:rsidP="004E4AEA">
            <w:pPr>
              <w:pStyle w:val="ListBullet"/>
            </w:pPr>
            <w:r w:rsidRPr="004E4AEA">
              <w:t>applicable documentation, such as legislation, regulations, codes of practice, workplace procedures and operational manuals.</w:t>
            </w:r>
          </w:p>
        </w:tc>
      </w:tr>
    </w:tbl>
    <w:p w:rsidR="00000000" w:rsidRPr="004E4AEA" w:rsidP="004E4AEA">
      <w:pPr>
        <w:pStyle w:val="NoPaddingFontSize1"/>
      </w:pPr>
    </w:p>
    <w:p w:rsidR="00000000" w:rsidRPr="004E4AEA" w:rsidP="004E4AEA">
      <w:pPr>
        <w:pStyle w:val="AllowPageBreak"/>
      </w:pPr>
    </w:p>
    <w:p w:rsidR="00000000" w:rsidRPr="004E4AEA" w:rsidP="004E4AEA">
      <w:pPr>
        <w:pStyle w:val="Heading1"/>
      </w:pPr>
      <w:bookmarkStart w:id="15" w:name="O_1285110"/>
      <w:bookmarkEnd w:id="15"/>
      <w:r w:rsidRPr="004E4AEA">
        <w:t>Links</w:t>
      </w:r>
    </w:p>
    <w:p w:rsidR="00000000" w:rsidRPr="004E4AEA" w:rsidP="0063253C">
      <w:pPr>
        <w:pStyle w:val="BodyText"/>
      </w:pPr>
      <w:r w:rsidRPr="004E4AE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44E60">
        <w:rPr>
          <w:rStyle w:val="Hyperlink"/>
        </w:rPr>
        <w:t>https://vetnet.gov.au/Pages/TrainingDocs.aspx?q=772efb7b-4cce-47fe-9bbd-ee3b1d1eb4c2</w:t>
      </w:r>
      <w:r>
        <w:fldChar w:fldCharType="end"/>
      </w:r>
    </w:p>
    <w:p w:rsidR="00000000" w:rsidRPr="004E4AEA" w:rsidP="004E4AEA"/>
    <w:sectPr w:rsidSect="004E4A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rsidRPr="0063253C" w:rsidP="00632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53C" w:rsidP="004E4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253C" w:rsidP="004E4A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3253C" w:rsidP="004E4A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rsidP="004E4AEA">
    <w:pPr>
      <w:pStyle w:val="Footer"/>
      <w:framePr w:wrap="around"/>
    </w:pPr>
    <w:r>
      <w:fldChar w:fldCharType="begin"/>
    </w:r>
    <w:r>
      <w:instrText xml:space="preserve"> DOCPROPERTY  Subject  \* MERGEFORMAT </w:instrText>
    </w:r>
    <w:r>
      <w:fldChar w:fldCharType="separate"/>
    </w:r>
    <w:r w:rsidR="0063253C">
      <w:t>Approved</w:t>
    </w:r>
    <w:r w:rsidR="0063253C">
      <w:fldChar w:fldCharType="end"/>
    </w:r>
    <w:r>
      <w:tab/>
      <w:t xml:space="preserve">Page </w:t>
    </w:r>
    <w:r>
      <w:fldChar w:fldCharType="begin"/>
    </w:r>
    <w:r>
      <w:instrText xml:space="preserve"> PAGE  \* Arabic  \* MERGEFORMAT </w:instrText>
    </w:r>
    <w:r>
      <w:fldChar w:fldCharType="separate"/>
    </w:r>
    <w:r w:rsidR="006325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53C">
      <w:rPr>
        <w:noProof/>
      </w:rPr>
      <w:t>5</w:t>
    </w:r>
    <w:r>
      <w:rPr>
        <w:noProof/>
      </w:rPr>
      <w:fldChar w:fldCharType="end"/>
    </w:r>
  </w:p>
  <w:p w:rsidR="004E4AEA" w:rsidP="004E4AEA">
    <w:pPr>
      <w:pStyle w:val="Footer"/>
      <w:framePr w:wrap="around"/>
    </w:pPr>
    <w:r>
      <w:t xml:space="preserve">© Commonwealth of Australia, </w:t>
    </w:r>
    <w:r>
      <w:fldChar w:fldCharType="begin"/>
    </w:r>
    <w:r>
      <w:instrText xml:space="preserve"> DATE  \@ "yyyy"  \* MERGEFORMAT </w:instrText>
    </w:r>
    <w:r>
      <w:fldChar w:fldCharType="separate"/>
    </w:r>
    <w:r w:rsidR="0063253C">
      <w:rPr>
        <w:noProof/>
      </w:rPr>
      <w:t>2025</w:t>
    </w:r>
    <w:r>
      <w:fldChar w:fldCharType="end"/>
    </w:r>
    <w:r>
      <w:tab/>
    </w:r>
    <w:r>
      <w:fldChar w:fldCharType="begin"/>
    </w:r>
    <w:r>
      <w:instrText xml:space="preserve"> DOCPROPERTY  Author  \* MERGEFORMAT </w:instrText>
    </w:r>
    <w:r>
      <w:fldChar w:fldCharType="separate"/>
    </w:r>
    <w:r w:rsidR="0063253C">
      <w:t>Industry Skills Australia</w:t>
    </w:r>
    <w:r w:rsidR="0063253C">
      <w:fldChar w:fldCharType="end"/>
    </w:r>
  </w:p>
  <w:p w:rsidR="004E4AEA" w:rsidP="004E4A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AEA" w:rsidRPr="0063253C" w:rsidP="00632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53C" w:rsidRPr="002D2AF8" w:rsidP="004E4AEA">
    <w:pPr>
      <w:pStyle w:val="Header"/>
      <w:framePr w:wrap="around"/>
    </w:pPr>
    <w:r>
      <w:fldChar w:fldCharType="begin"/>
    </w:r>
    <w:r>
      <w:instrText xml:space="preserve"> TITLE   \* MERGEFORMAT </w:instrText>
    </w:r>
    <w:r>
      <w:fldChar w:fldCharType="separate"/>
    </w:r>
    <w:r>
      <w:t>MARC050 Operate auxiliary machinery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53C" w:rsidP="004E4A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AEA" w:rsidRPr="002D2AF8" w:rsidP="004E4AEA">
    <w:pPr>
      <w:pStyle w:val="Header"/>
      <w:framePr w:wrap="around"/>
    </w:pPr>
    <w:r>
      <w:fldChar w:fldCharType="begin"/>
    </w:r>
    <w:r>
      <w:instrText xml:space="preserve"> TITLE   \* MERGEFORMAT </w:instrText>
    </w:r>
    <w:r>
      <w:fldChar w:fldCharType="separate"/>
    </w:r>
    <w:r w:rsidR="0063253C">
      <w:t>MARC050 Operate auxiliary machinery systems up to 1500 kW</w:t>
    </w:r>
    <w:r w:rsidR="0063253C">
      <w:fldChar w:fldCharType="end"/>
    </w:r>
    <w:r>
      <w:tab/>
      <w:t xml:space="preserve">Date this document was generated: </w:t>
    </w:r>
    <w:r>
      <w:fldChar w:fldCharType="begin"/>
    </w:r>
    <w:r>
      <w:instrText xml:space="preserve"> CREATEDATE  \@ "d MMMM yyyy"  \* MERGEFORMAT </w:instrText>
    </w:r>
    <w:r>
      <w:fldChar w:fldCharType="separate"/>
    </w:r>
    <w:r w:rsidR="0063253C">
      <w:rPr>
        <w:noProof/>
      </w:rPr>
      <w:t>2 March 2025</w:t>
    </w:r>
    <w:r>
      <w:fldChar w:fldCharType="end"/>
    </w:r>
  </w:p>
  <w:p w:rsidR="004E4AEA" w:rsidP="004E4A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E1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87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CE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A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AEA"/>
    <w:pPr>
      <w:spacing w:before="360" w:after="60"/>
      <w:outlineLvl w:val="0"/>
    </w:pPr>
    <w:rPr>
      <w:sz w:val="32"/>
    </w:rPr>
  </w:style>
  <w:style w:type="paragraph" w:styleId="Heading2">
    <w:name w:val="heading 2"/>
    <w:basedOn w:val="HeadingBase"/>
    <w:next w:val="BodyText"/>
    <w:link w:val="Heading2Char"/>
    <w:qFormat/>
    <w:rsid w:val="004E4AEA"/>
    <w:pPr>
      <w:keepLines/>
      <w:spacing w:before="240" w:after="120"/>
      <w:outlineLvl w:val="1"/>
    </w:pPr>
    <w:rPr>
      <w:sz w:val="28"/>
      <w:szCs w:val="40"/>
    </w:rPr>
  </w:style>
  <w:style w:type="paragraph" w:styleId="Heading3">
    <w:name w:val="heading 3"/>
    <w:basedOn w:val="HeadingBase"/>
    <w:next w:val="BodyText"/>
    <w:link w:val="Heading3Char"/>
    <w:qFormat/>
    <w:rsid w:val="004E4AEA"/>
    <w:pPr>
      <w:spacing w:before="180" w:after="120"/>
      <w:outlineLvl w:val="2"/>
    </w:pPr>
    <w:rPr>
      <w:spacing w:val="-10"/>
      <w:kern w:val="32"/>
    </w:rPr>
  </w:style>
  <w:style w:type="paragraph" w:styleId="Heading4">
    <w:name w:val="heading 4"/>
    <w:basedOn w:val="HeadingBase"/>
    <w:next w:val="BodyText"/>
    <w:link w:val="Heading4Char"/>
    <w:qFormat/>
    <w:rsid w:val="004E4AEA"/>
    <w:pPr>
      <w:spacing w:before="160" w:after="120"/>
      <w:outlineLvl w:val="3"/>
    </w:pPr>
    <w:rPr>
      <w:sz w:val="22"/>
    </w:rPr>
  </w:style>
  <w:style w:type="paragraph" w:styleId="Heading5">
    <w:name w:val="heading 5"/>
    <w:basedOn w:val="HeadingBase"/>
    <w:next w:val="Normal"/>
    <w:link w:val="Heading5Char"/>
    <w:qFormat/>
    <w:rsid w:val="004E4AEA"/>
    <w:pPr>
      <w:spacing w:before="80"/>
      <w:outlineLvl w:val="4"/>
    </w:pPr>
    <w:rPr>
      <w:color w:val="918585"/>
      <w:sz w:val="20"/>
    </w:rPr>
  </w:style>
  <w:style w:type="paragraph" w:styleId="Heading6">
    <w:name w:val="heading 6"/>
    <w:basedOn w:val="HeadingBase"/>
    <w:next w:val="Normal"/>
    <w:link w:val="Heading6Char"/>
    <w:qFormat/>
    <w:rsid w:val="004E4AEA"/>
    <w:pPr>
      <w:spacing w:before="60"/>
      <w:outlineLvl w:val="5"/>
    </w:pPr>
    <w:rPr>
      <w:color w:val="918585"/>
      <w:sz w:val="20"/>
    </w:rPr>
  </w:style>
  <w:style w:type="paragraph" w:styleId="Heading7">
    <w:name w:val="heading 7"/>
    <w:basedOn w:val="Normal"/>
    <w:next w:val="Normal"/>
    <w:link w:val="Heading7Char"/>
    <w:qFormat/>
    <w:rsid w:val="004E4AEA"/>
    <w:pPr>
      <w:ind w:left="720"/>
      <w:outlineLvl w:val="6"/>
    </w:pPr>
    <w:rPr>
      <w:i/>
    </w:rPr>
  </w:style>
  <w:style w:type="paragraph" w:styleId="Heading8">
    <w:name w:val="heading 8"/>
    <w:basedOn w:val="Normal"/>
    <w:next w:val="Normal"/>
    <w:link w:val="Heading8Char"/>
    <w:qFormat/>
    <w:rsid w:val="004E4AEA"/>
    <w:pPr>
      <w:ind w:left="720"/>
      <w:outlineLvl w:val="7"/>
    </w:pPr>
    <w:rPr>
      <w:i/>
    </w:rPr>
  </w:style>
  <w:style w:type="paragraph" w:styleId="Heading9">
    <w:name w:val="heading 9"/>
    <w:basedOn w:val="Normal"/>
    <w:next w:val="Normal"/>
    <w:link w:val="Heading9Char"/>
    <w:qFormat/>
    <w:rsid w:val="004E4AEA"/>
    <w:pPr>
      <w:ind w:left="720"/>
      <w:outlineLvl w:val="8"/>
    </w:pPr>
    <w:rPr>
      <w:i/>
    </w:rPr>
  </w:style>
  <w:style w:type="character" w:default="1" w:styleId="DefaultParagraphFont">
    <w:name w:val="Default Paragraph Font"/>
    <w:uiPriority w:val="1"/>
    <w:unhideWhenUsed/>
    <w:rsid w:val="004E4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AEA"/>
  </w:style>
  <w:style w:type="character" w:customStyle="1" w:styleId="Heading1Char">
    <w:name w:val="Heading 1 Char"/>
    <w:basedOn w:val="DefaultParagraphFont"/>
    <w:link w:val="Heading1"/>
    <w:rsid w:val="004E4AEA"/>
    <w:rPr>
      <w:rFonts w:ascii="Times New Roman" w:eastAsia="Times New Roman" w:hAnsi="Times New Roman" w:cs="Times New Roman"/>
      <w:b/>
      <w:sz w:val="32"/>
      <w:szCs w:val="20"/>
      <w:lang w:eastAsia="en-US"/>
    </w:rPr>
  </w:style>
  <w:style w:type="paragraph" w:styleId="BodyText">
    <w:name w:val="Body Text"/>
    <w:basedOn w:val="Normal"/>
    <w:link w:val="BodyTextChar"/>
    <w:rsid w:val="004E4A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AEA"/>
    <w:rPr>
      <w:rFonts w:ascii="Times New Roman" w:eastAsia="Times New Roman" w:hAnsi="Times New Roman" w:cs="Times New Roman"/>
      <w:sz w:val="24"/>
      <w:lang w:eastAsia="en-US"/>
    </w:rPr>
  </w:style>
  <w:style w:type="paragraph" w:styleId="ListBullet">
    <w:name w:val="List Bullet"/>
    <w:basedOn w:val="List"/>
    <w:rsid w:val="004E4AEA"/>
    <w:pPr>
      <w:numPr>
        <w:numId w:val="13"/>
      </w:numPr>
      <w:tabs>
        <w:tab w:val="clear" w:pos="340"/>
      </w:tabs>
      <w:spacing w:before="40" w:after="40"/>
    </w:pPr>
  </w:style>
  <w:style w:type="character" w:customStyle="1" w:styleId="SpecialBold">
    <w:name w:val="Special Bold"/>
    <w:basedOn w:val="DefaultParagraphFont"/>
    <w:rsid w:val="004E4AEA"/>
    <w:rPr>
      <w:b/>
      <w:spacing w:val="0"/>
    </w:rPr>
  </w:style>
  <w:style w:type="paragraph" w:styleId="ListBullet2">
    <w:name w:val="List Bullet 2"/>
    <w:basedOn w:val="List2"/>
    <w:rsid w:val="004E4AEA"/>
    <w:pPr>
      <w:numPr>
        <w:numId w:val="14"/>
      </w:numPr>
      <w:tabs>
        <w:tab w:val="clear" w:pos="680"/>
      </w:tabs>
    </w:pPr>
  </w:style>
  <w:style w:type="paragraph" w:customStyle="1" w:styleId="SuperHeading">
    <w:name w:val="SuperHeading"/>
    <w:basedOn w:val="Normal"/>
    <w:rsid w:val="004E4AEA"/>
    <w:pPr>
      <w:spacing w:before="240" w:after="120"/>
      <w:outlineLvl w:val="0"/>
    </w:pPr>
    <w:rPr>
      <w:rFonts w:ascii="Times New Roman" w:hAnsi="Times New Roman"/>
      <w:b/>
      <w:sz w:val="32"/>
    </w:rPr>
  </w:style>
  <w:style w:type="paragraph" w:customStyle="1" w:styleId="AllowPageBreak">
    <w:name w:val="AllowPageBreak"/>
    <w:rsid w:val="004E4A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4AE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4A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A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A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A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A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A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AEA"/>
    <w:rPr>
      <w:rFonts w:ascii="Courier New" w:eastAsia="Times New Roman" w:hAnsi="Courier New" w:cs="Times New Roman"/>
      <w:i/>
      <w:szCs w:val="20"/>
      <w:lang w:eastAsia="en-US"/>
    </w:rPr>
  </w:style>
  <w:style w:type="paragraph" w:customStyle="1" w:styleId="HeadingBase">
    <w:name w:val="Heading Base"/>
    <w:rsid w:val="004E4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AEA"/>
    <w:pPr>
      <w:tabs>
        <w:tab w:val="right" w:leader="dot" w:pos="9072"/>
      </w:tabs>
      <w:ind w:left="567"/>
    </w:pPr>
    <w:rPr>
      <w:szCs w:val="22"/>
    </w:rPr>
  </w:style>
  <w:style w:type="paragraph" w:customStyle="1" w:styleId="TOCBase">
    <w:name w:val="TOC Base"/>
    <w:rsid w:val="004E4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AEA"/>
    <w:pPr>
      <w:tabs>
        <w:tab w:val="right" w:leader="dot" w:pos="9072"/>
      </w:tabs>
      <w:spacing w:before="40" w:after="40"/>
      <w:ind w:left="284"/>
    </w:pPr>
    <w:rPr>
      <w:rFonts w:ascii="Times New Roman" w:hAnsi="Times New Roman"/>
    </w:rPr>
  </w:style>
  <w:style w:type="paragraph" w:styleId="TOC1">
    <w:name w:val="toc 1"/>
    <w:basedOn w:val="TOCBase"/>
    <w:next w:val="Normal"/>
    <w:rsid w:val="004E4A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AEA"/>
    <w:rPr>
      <w:rFonts w:ascii="Times New Roman" w:eastAsia="Times New Roman" w:hAnsi="Times New Roman" w:cs="Times New Roman"/>
      <w:sz w:val="16"/>
      <w:lang w:eastAsia="en-US"/>
    </w:rPr>
  </w:style>
  <w:style w:type="paragraph" w:styleId="Title">
    <w:name w:val="Title"/>
    <w:basedOn w:val="HeadingBase"/>
    <w:link w:val="TitleChar"/>
    <w:qFormat/>
    <w:rsid w:val="004E4AEA"/>
    <w:pPr>
      <w:spacing w:before="5040"/>
      <w:jc w:val="center"/>
    </w:pPr>
    <w:rPr>
      <w:sz w:val="48"/>
      <w:szCs w:val="72"/>
      <w:lang w:val="en-US"/>
    </w:rPr>
  </w:style>
  <w:style w:type="character" w:customStyle="1" w:styleId="TitleChar">
    <w:name w:val="Title Char"/>
    <w:basedOn w:val="DefaultParagraphFont"/>
    <w:link w:val="Title"/>
    <w:rsid w:val="004E4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AEA"/>
    <w:pPr>
      <w:tabs>
        <w:tab w:val="left" w:pos="3600"/>
        <w:tab w:val="left" w:pos="3958"/>
      </w:tabs>
    </w:pPr>
  </w:style>
  <w:style w:type="paragraph" w:styleId="List">
    <w:name w:val="List"/>
    <w:basedOn w:val="BodyText"/>
    <w:next w:val="BodyText"/>
    <w:rsid w:val="004E4AEA"/>
    <w:pPr>
      <w:tabs>
        <w:tab w:val="left" w:pos="340"/>
      </w:tabs>
      <w:spacing w:before="60" w:after="60"/>
      <w:ind w:left="340" w:hanging="340"/>
    </w:pPr>
  </w:style>
  <w:style w:type="paragraph" w:customStyle="1" w:styleId="Note">
    <w:name w:val="Note"/>
    <w:basedOn w:val="BodyText"/>
    <w:rsid w:val="004E4A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AEA"/>
    <w:pPr>
      <w:framePr w:wrap="auto" w:hAnchor="text" w:y="6049"/>
    </w:pPr>
    <w:rPr>
      <w:color w:val="000000"/>
      <w:sz w:val="40"/>
    </w:rPr>
  </w:style>
  <w:style w:type="paragraph" w:customStyle="1" w:styleId="TOCTitle">
    <w:name w:val="TOCTitle"/>
    <w:basedOn w:val="Heading1"/>
    <w:rsid w:val="004E4AEA"/>
    <w:pPr>
      <w:spacing w:after="240"/>
      <w:jc w:val="center"/>
      <w:outlineLvl w:val="9"/>
    </w:pPr>
    <w:rPr>
      <w:caps/>
    </w:rPr>
  </w:style>
  <w:style w:type="paragraph" w:customStyle="1" w:styleId="Version">
    <w:name w:val="Version"/>
    <w:rsid w:val="004E4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AEA"/>
    <w:pPr>
      <w:keepNext w:val="0"/>
      <w:tabs>
        <w:tab w:val="right" w:pos="4176"/>
      </w:tabs>
      <w:ind w:left="198" w:hanging="198"/>
    </w:pPr>
    <w:rPr>
      <w:rFonts w:ascii="Garamond" w:hAnsi="Garamond"/>
    </w:rPr>
  </w:style>
  <w:style w:type="paragraph" w:styleId="IndexHeading">
    <w:name w:val="index heading"/>
    <w:basedOn w:val="Normal"/>
    <w:next w:val="Index1"/>
    <w:semiHidden/>
    <w:rsid w:val="004E4AEA"/>
    <w:pPr>
      <w:spacing w:before="120" w:after="120"/>
    </w:pPr>
    <w:rPr>
      <w:rFonts w:ascii="Arial" w:hAnsi="Arial"/>
      <w:b/>
      <w:color w:val="918585"/>
      <w:sz w:val="24"/>
    </w:rPr>
  </w:style>
  <w:style w:type="paragraph" w:styleId="Header">
    <w:name w:val="header"/>
    <w:basedOn w:val="Normal"/>
    <w:link w:val="HeaderChar"/>
    <w:rsid w:val="004E4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AEA"/>
    <w:rPr>
      <w:rFonts w:ascii="Times New Roman" w:eastAsia="Times New Roman" w:hAnsi="Times New Roman" w:cs="Times New Roman"/>
      <w:sz w:val="16"/>
      <w:szCs w:val="20"/>
      <w:lang w:val="en-GB" w:eastAsia="en-US"/>
    </w:rPr>
  </w:style>
  <w:style w:type="paragraph" w:customStyle="1" w:styleId="Chapter">
    <w:name w:val="Chapter"/>
    <w:basedOn w:val="Normal"/>
    <w:rsid w:val="004E4AEA"/>
    <w:pPr>
      <w:spacing w:before="240"/>
    </w:pPr>
    <w:rPr>
      <w:rFonts w:ascii="Times New Roman" w:hAnsi="Times New Roman"/>
      <w:smallCaps/>
      <w:spacing w:val="80"/>
      <w:sz w:val="28"/>
    </w:rPr>
  </w:style>
  <w:style w:type="paragraph" w:customStyle="1" w:styleId="InChapter">
    <w:name w:val="InChapter"/>
    <w:basedOn w:val="Heading3"/>
    <w:rsid w:val="004E4AEA"/>
    <w:pPr>
      <w:spacing w:after="240"/>
      <w:outlineLvl w:val="9"/>
    </w:pPr>
    <w:rPr>
      <w:noProof/>
    </w:rPr>
  </w:style>
  <w:style w:type="paragraph" w:styleId="Index2">
    <w:name w:val="index 2"/>
    <w:basedOn w:val="Normal"/>
    <w:next w:val="Normal"/>
    <w:semiHidden/>
    <w:rsid w:val="004E4AEA"/>
    <w:pPr>
      <w:tabs>
        <w:tab w:val="right" w:pos="4176"/>
      </w:tabs>
      <w:ind w:left="568" w:hanging="284"/>
    </w:pPr>
    <w:rPr>
      <w:rFonts w:ascii="Garamond" w:hAnsi="Garamond"/>
    </w:rPr>
  </w:style>
  <w:style w:type="paragraph" w:customStyle="1" w:styleId="Byline">
    <w:name w:val="Byline"/>
    <w:rsid w:val="004E4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AEA"/>
    <w:pPr>
      <w:tabs>
        <w:tab w:val="clear" w:pos="3600"/>
        <w:tab w:val="clear" w:pos="3958"/>
      </w:tabs>
      <w:jc w:val="right"/>
    </w:pPr>
  </w:style>
  <w:style w:type="character" w:styleId="Emphasis">
    <w:name w:val="Emphasis"/>
    <w:basedOn w:val="DefaultParagraphFont"/>
    <w:qFormat/>
    <w:rsid w:val="004E4AEA"/>
    <w:rPr>
      <w:i/>
    </w:rPr>
  </w:style>
  <w:style w:type="paragraph" w:styleId="Caption">
    <w:name w:val="caption"/>
    <w:basedOn w:val="BodyText"/>
    <w:next w:val="Normal"/>
    <w:qFormat/>
    <w:rsid w:val="004E4AEA"/>
    <w:pPr>
      <w:framePr w:w="2268" w:hSpace="181" w:vSpace="181" w:wrap="around" w:vAnchor="text" w:hAnchor="page" w:x="1135" w:y="285" w:anchorLock="1"/>
    </w:pPr>
    <w:rPr>
      <w:i/>
    </w:rPr>
  </w:style>
  <w:style w:type="paragraph" w:customStyle="1" w:styleId="MiniTOCTitle">
    <w:name w:val="MiniTOCTitle"/>
    <w:basedOn w:val="Heading4"/>
    <w:rsid w:val="004E4AEA"/>
    <w:pPr>
      <w:spacing w:before="240"/>
      <w:outlineLvl w:val="9"/>
    </w:pPr>
    <w:rPr>
      <w:noProof/>
      <w:sz w:val="24"/>
    </w:rPr>
  </w:style>
  <w:style w:type="paragraph" w:customStyle="1" w:styleId="MiniTOCItem">
    <w:name w:val="MiniTOCItem"/>
    <w:basedOn w:val="ListBullet"/>
    <w:rsid w:val="004E4AEA"/>
    <w:pPr>
      <w:numPr>
        <w:numId w:val="0"/>
      </w:numPr>
      <w:tabs>
        <w:tab w:val="right" w:leader="dot" w:pos="6521"/>
      </w:tabs>
      <w:spacing w:before="0" w:after="0"/>
    </w:pPr>
  </w:style>
  <w:style w:type="paragraph" w:customStyle="1" w:styleId="TOFTitle">
    <w:name w:val="TOFTitle"/>
    <w:basedOn w:val="TOCTitle"/>
    <w:rsid w:val="004E4AEA"/>
  </w:style>
  <w:style w:type="paragraph" w:styleId="TableofFigures">
    <w:name w:val="table of figures"/>
    <w:basedOn w:val="Normal"/>
    <w:next w:val="Normal"/>
    <w:semiHidden/>
    <w:rsid w:val="004E4AEA"/>
    <w:pPr>
      <w:tabs>
        <w:tab w:val="right" w:leader="dot" w:pos="9072"/>
      </w:tabs>
      <w:ind w:left="970" w:hanging="403"/>
    </w:pPr>
    <w:rPr>
      <w:rFonts w:ascii="Times New Roman" w:hAnsi="Times New Roman"/>
      <w:b/>
    </w:rPr>
  </w:style>
  <w:style w:type="paragraph" w:styleId="ListNumber">
    <w:name w:val="List Number"/>
    <w:basedOn w:val="List"/>
    <w:rsid w:val="004E4AEA"/>
    <w:pPr>
      <w:numPr>
        <w:numId w:val="16"/>
      </w:numPr>
      <w:tabs>
        <w:tab w:val="clear" w:pos="340"/>
      </w:tabs>
    </w:pPr>
  </w:style>
  <w:style w:type="character" w:customStyle="1" w:styleId="WingdingSymbols">
    <w:name w:val="Wingding Symbols"/>
    <w:rsid w:val="004E4AEA"/>
    <w:rPr>
      <w:rFonts w:ascii="Wingdings" w:hAnsi="Wingdings"/>
    </w:rPr>
  </w:style>
  <w:style w:type="paragraph" w:customStyle="1" w:styleId="TableHeading">
    <w:name w:val="Table Heading"/>
    <w:basedOn w:val="HeadingBase"/>
    <w:rsid w:val="004E4AEA"/>
    <w:pPr>
      <w:keepLines/>
      <w:pBdr>
        <w:bottom w:val="single" w:sz="6" w:space="1" w:color="918585"/>
      </w:pBdr>
      <w:spacing w:before="240"/>
    </w:pPr>
  </w:style>
  <w:style w:type="character" w:customStyle="1" w:styleId="HotSpot">
    <w:name w:val="HotSpot"/>
    <w:rsid w:val="004E4AEA"/>
    <w:rPr>
      <w:color w:val="0033CC"/>
      <w:u w:val="none"/>
    </w:rPr>
  </w:style>
  <w:style w:type="paragraph" w:customStyle="1" w:styleId="BodyTextRight">
    <w:name w:val="Body Text Right"/>
    <w:basedOn w:val="BodyText"/>
    <w:rsid w:val="004E4AEA"/>
    <w:pPr>
      <w:spacing w:before="0" w:after="0"/>
      <w:jc w:val="right"/>
    </w:pPr>
  </w:style>
  <w:style w:type="paragraph" w:styleId="Index3">
    <w:name w:val="index 3"/>
    <w:basedOn w:val="ListNumber2"/>
    <w:next w:val="Normal"/>
    <w:semiHidden/>
    <w:rsid w:val="004E4AEA"/>
    <w:pPr>
      <w:numPr>
        <w:numId w:val="0"/>
      </w:numPr>
      <w:tabs>
        <w:tab w:val="right" w:leader="dot" w:pos="4176"/>
      </w:tabs>
    </w:pPr>
  </w:style>
  <w:style w:type="paragraph" w:styleId="ListNumber2">
    <w:name w:val="List Number 2"/>
    <w:basedOn w:val="List2"/>
    <w:rsid w:val="004E4AEA"/>
    <w:pPr>
      <w:numPr>
        <w:numId w:val="11"/>
      </w:numPr>
      <w:tabs>
        <w:tab w:val="clear" w:pos="1060"/>
      </w:tabs>
    </w:pPr>
  </w:style>
  <w:style w:type="paragraph" w:customStyle="1" w:styleId="MarginNote">
    <w:name w:val="Margin Note"/>
    <w:basedOn w:val="BodyText"/>
    <w:rsid w:val="004E4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A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AEA"/>
    <w:rPr>
      <w:sz w:val="32"/>
    </w:rPr>
  </w:style>
  <w:style w:type="paragraph" w:customStyle="1" w:styleId="HeadingProcedure">
    <w:name w:val="Heading Procedure"/>
    <w:basedOn w:val="HeadingBase"/>
    <w:next w:val="Normal"/>
    <w:rsid w:val="004E4AEA"/>
    <w:pPr>
      <w:tabs>
        <w:tab w:val="left" w:pos="0"/>
      </w:tabs>
      <w:spacing w:before="120" w:after="60"/>
    </w:pPr>
    <w:rPr>
      <w:i/>
      <w:color w:val="918585"/>
      <w:sz w:val="22"/>
    </w:rPr>
  </w:style>
  <w:style w:type="paragraph" w:customStyle="1" w:styleId="TableBodyText">
    <w:name w:val="Table Body Text"/>
    <w:basedOn w:val="BodyText"/>
    <w:rsid w:val="004E4AEA"/>
    <w:pPr>
      <w:spacing w:before="60" w:after="60"/>
    </w:pPr>
  </w:style>
  <w:style w:type="paragraph" w:styleId="ListContinue">
    <w:name w:val="List Continue"/>
    <w:basedOn w:val="List"/>
    <w:rsid w:val="004E4AEA"/>
    <w:pPr>
      <w:ind w:firstLine="0"/>
    </w:pPr>
  </w:style>
  <w:style w:type="paragraph" w:customStyle="1" w:styleId="ListNote">
    <w:name w:val="List Note"/>
    <w:basedOn w:val="List"/>
    <w:rsid w:val="004E4AEA"/>
    <w:pPr>
      <w:pBdr>
        <w:top w:val="single" w:sz="6" w:space="2" w:color="918585"/>
        <w:bottom w:val="single" w:sz="6" w:space="2" w:color="918585"/>
      </w:pBdr>
      <w:tabs>
        <w:tab w:val="left" w:pos="1021"/>
      </w:tabs>
      <w:ind w:firstLine="0"/>
    </w:pPr>
  </w:style>
  <w:style w:type="paragraph" w:customStyle="1" w:styleId="Warning">
    <w:name w:val="Warning"/>
    <w:basedOn w:val="BodyText"/>
    <w:rsid w:val="004E4AEA"/>
    <w:pPr>
      <w:shd w:val="clear" w:color="auto" w:fill="D9D9D9"/>
      <w:tabs>
        <w:tab w:val="left" w:pos="992"/>
      </w:tabs>
      <w:ind w:left="119" w:right="119"/>
    </w:pPr>
    <w:rPr>
      <w:sz w:val="20"/>
    </w:rPr>
  </w:style>
  <w:style w:type="paragraph" w:customStyle="1" w:styleId="MarginIcons">
    <w:name w:val="Margin Icons"/>
    <w:basedOn w:val="BodyText"/>
    <w:rsid w:val="004E4A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AEA"/>
    <w:rPr>
      <w:rFonts w:ascii="Courier New" w:hAnsi="Courier New"/>
    </w:rPr>
  </w:style>
  <w:style w:type="paragraph" w:customStyle="1" w:styleId="NoteBullet">
    <w:name w:val="Note Bullet"/>
    <w:basedOn w:val="Note"/>
    <w:rsid w:val="004E4AEA"/>
    <w:pPr>
      <w:tabs>
        <w:tab w:val="clear" w:pos="680"/>
      </w:tabs>
      <w:spacing w:before="60" w:after="60"/>
    </w:pPr>
  </w:style>
  <w:style w:type="paragraph" w:customStyle="1" w:styleId="SubHeading2">
    <w:name w:val="SubHeading2"/>
    <w:basedOn w:val="HeadingBase"/>
    <w:rsid w:val="004E4AEA"/>
    <w:pPr>
      <w:spacing w:before="240" w:after="60"/>
    </w:pPr>
    <w:rPr>
      <w:sz w:val="20"/>
    </w:rPr>
  </w:style>
  <w:style w:type="paragraph" w:customStyle="1" w:styleId="SubHeading1">
    <w:name w:val="SubHeading1"/>
    <w:basedOn w:val="HeadingBase"/>
    <w:rsid w:val="004E4AEA"/>
    <w:pPr>
      <w:spacing w:before="240" w:after="60"/>
    </w:pPr>
    <w:rPr>
      <w:color w:val="918585"/>
      <w:sz w:val="22"/>
    </w:rPr>
  </w:style>
  <w:style w:type="paragraph" w:customStyle="1" w:styleId="SideHeading">
    <w:name w:val="Side Heading"/>
    <w:basedOn w:val="HeadingBase"/>
    <w:rsid w:val="004E4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AEA"/>
    <w:pPr>
      <w:numPr>
        <w:numId w:val="12"/>
      </w:numPr>
    </w:pPr>
  </w:style>
  <w:style w:type="paragraph" w:styleId="PlainText">
    <w:name w:val="Plain Text"/>
    <w:basedOn w:val="Normal"/>
    <w:link w:val="PlainTextChar"/>
    <w:rsid w:val="004E4AEA"/>
    <w:rPr>
      <w:sz w:val="20"/>
    </w:rPr>
  </w:style>
  <w:style w:type="character" w:customStyle="1" w:styleId="PlainTextChar">
    <w:name w:val="Plain Text Char"/>
    <w:basedOn w:val="DefaultParagraphFont"/>
    <w:link w:val="PlainText"/>
    <w:rsid w:val="004E4AEA"/>
    <w:rPr>
      <w:rFonts w:ascii="Courier New" w:eastAsia="Times New Roman" w:hAnsi="Courier New" w:cs="Times New Roman"/>
      <w:sz w:val="20"/>
      <w:szCs w:val="20"/>
      <w:lang w:eastAsia="en-US"/>
    </w:rPr>
  </w:style>
  <w:style w:type="character" w:customStyle="1" w:styleId="MenuOption">
    <w:name w:val="Menu Option"/>
    <w:basedOn w:val="DefaultParagraphFont"/>
    <w:rsid w:val="004E4AEA"/>
    <w:rPr>
      <w:b/>
      <w:smallCaps/>
    </w:rPr>
  </w:style>
  <w:style w:type="paragraph" w:customStyle="1" w:styleId="TableListNumber">
    <w:name w:val="Table List Number"/>
    <w:basedOn w:val="ListNumber"/>
    <w:rsid w:val="004E4AEA"/>
    <w:pPr>
      <w:numPr>
        <w:numId w:val="0"/>
      </w:numPr>
    </w:pPr>
  </w:style>
  <w:style w:type="paragraph" w:styleId="TOC4">
    <w:name w:val="toc 4"/>
    <w:basedOn w:val="TOCBase"/>
    <w:next w:val="Normal"/>
    <w:semiHidden/>
    <w:rsid w:val="004E4AEA"/>
    <w:pPr>
      <w:tabs>
        <w:tab w:val="right" w:leader="dot" w:pos="9071"/>
      </w:tabs>
      <w:ind w:left="1701"/>
    </w:pPr>
  </w:style>
  <w:style w:type="paragraph" w:customStyle="1" w:styleId="ListAlpha">
    <w:name w:val="List Alpha"/>
    <w:basedOn w:val="List"/>
    <w:rsid w:val="004E4AEA"/>
    <w:pPr>
      <w:numPr>
        <w:numId w:val="10"/>
      </w:numPr>
    </w:pPr>
  </w:style>
  <w:style w:type="paragraph" w:customStyle="1" w:styleId="ListAlpha2">
    <w:name w:val="List Alpha 2"/>
    <w:basedOn w:val="List2"/>
    <w:rsid w:val="004E4AEA"/>
    <w:pPr>
      <w:numPr>
        <w:numId w:val="9"/>
      </w:numPr>
    </w:pPr>
  </w:style>
  <w:style w:type="paragraph" w:styleId="List2">
    <w:name w:val="List 2"/>
    <w:basedOn w:val="BodyText"/>
    <w:rsid w:val="004E4AEA"/>
    <w:pPr>
      <w:tabs>
        <w:tab w:val="left" w:pos="680"/>
      </w:tabs>
      <w:spacing w:before="60" w:after="60"/>
      <w:ind w:left="680" w:hanging="340"/>
    </w:pPr>
  </w:style>
  <w:style w:type="paragraph" w:styleId="List3">
    <w:name w:val="List 3"/>
    <w:basedOn w:val="BodyText"/>
    <w:rsid w:val="004E4AEA"/>
    <w:pPr>
      <w:tabs>
        <w:tab w:val="left" w:pos="1021"/>
      </w:tabs>
      <w:spacing w:before="60" w:after="60"/>
      <w:ind w:left="1020" w:hanging="340"/>
    </w:pPr>
  </w:style>
  <w:style w:type="paragraph" w:styleId="List4">
    <w:name w:val="List 4"/>
    <w:basedOn w:val="BodyText"/>
    <w:rsid w:val="004E4AEA"/>
    <w:pPr>
      <w:tabs>
        <w:tab w:val="left" w:pos="1361"/>
      </w:tabs>
      <w:spacing w:before="60" w:after="60"/>
      <w:ind w:left="1361" w:hanging="340"/>
    </w:pPr>
  </w:style>
  <w:style w:type="paragraph" w:styleId="List5">
    <w:name w:val="List 5"/>
    <w:basedOn w:val="BodyText"/>
    <w:rsid w:val="004E4AEA"/>
    <w:pPr>
      <w:tabs>
        <w:tab w:val="left" w:pos="1701"/>
      </w:tabs>
      <w:spacing w:before="60" w:after="60"/>
      <w:ind w:left="1701" w:hanging="340"/>
    </w:pPr>
  </w:style>
  <w:style w:type="paragraph" w:styleId="ListBullet4">
    <w:name w:val="List Bullet 4"/>
    <w:basedOn w:val="List4"/>
    <w:rsid w:val="004E4AEA"/>
    <w:pPr>
      <w:numPr>
        <w:numId w:val="4"/>
      </w:numPr>
      <w:tabs>
        <w:tab w:val="clear" w:pos="1361"/>
      </w:tabs>
    </w:pPr>
  </w:style>
  <w:style w:type="paragraph" w:styleId="ListBullet5">
    <w:name w:val="List Bullet 5"/>
    <w:basedOn w:val="List5"/>
    <w:rsid w:val="004E4AEA"/>
    <w:pPr>
      <w:numPr>
        <w:numId w:val="5"/>
      </w:numPr>
    </w:pPr>
  </w:style>
  <w:style w:type="paragraph" w:styleId="ListContinue2">
    <w:name w:val="List Continue 2"/>
    <w:basedOn w:val="List2"/>
    <w:rsid w:val="004E4AEA"/>
    <w:pPr>
      <w:ind w:firstLine="0"/>
    </w:pPr>
  </w:style>
  <w:style w:type="paragraph" w:styleId="ListContinue3">
    <w:name w:val="List Continue 3"/>
    <w:basedOn w:val="List3"/>
    <w:rsid w:val="004E4AEA"/>
    <w:pPr>
      <w:ind w:left="1021" w:firstLine="0"/>
    </w:pPr>
  </w:style>
  <w:style w:type="paragraph" w:styleId="ListContinue4">
    <w:name w:val="List Continue 4"/>
    <w:basedOn w:val="List4"/>
    <w:rsid w:val="004E4AEA"/>
    <w:pPr>
      <w:ind w:firstLine="0"/>
    </w:pPr>
  </w:style>
  <w:style w:type="paragraph" w:styleId="ListContinue5">
    <w:name w:val="List Continue 5"/>
    <w:basedOn w:val="List5"/>
    <w:rsid w:val="004E4AEA"/>
    <w:pPr>
      <w:ind w:firstLine="0"/>
    </w:pPr>
  </w:style>
  <w:style w:type="paragraph" w:styleId="ListNumber3">
    <w:name w:val="List Number 3"/>
    <w:basedOn w:val="List3"/>
    <w:rsid w:val="004E4AEA"/>
    <w:pPr>
      <w:numPr>
        <w:numId w:val="6"/>
      </w:numPr>
    </w:pPr>
  </w:style>
  <w:style w:type="paragraph" w:styleId="ListNumber4">
    <w:name w:val="List Number 4"/>
    <w:basedOn w:val="List4"/>
    <w:rsid w:val="004E4AEA"/>
    <w:pPr>
      <w:numPr>
        <w:numId w:val="7"/>
      </w:numPr>
    </w:pPr>
  </w:style>
  <w:style w:type="paragraph" w:styleId="ListNumber5">
    <w:name w:val="List Number 5"/>
    <w:basedOn w:val="List5"/>
    <w:rsid w:val="004E4AEA"/>
    <w:pPr>
      <w:numPr>
        <w:numId w:val="8"/>
      </w:numPr>
    </w:pPr>
  </w:style>
  <w:style w:type="paragraph" w:styleId="BlockText">
    <w:name w:val="Block Text"/>
    <w:basedOn w:val="Normal"/>
    <w:rsid w:val="004E4AEA"/>
    <w:pPr>
      <w:spacing w:after="120"/>
      <w:ind w:left="1440" w:right="1440"/>
    </w:pPr>
  </w:style>
  <w:style w:type="character" w:customStyle="1" w:styleId="Subscript">
    <w:name w:val="Subscript"/>
    <w:basedOn w:val="DefaultParagraphFont"/>
    <w:rsid w:val="004E4AEA"/>
    <w:rPr>
      <w:sz w:val="16"/>
      <w:vertAlign w:val="subscript"/>
    </w:rPr>
  </w:style>
  <w:style w:type="character" w:customStyle="1" w:styleId="Superscript">
    <w:name w:val="Superscript"/>
    <w:basedOn w:val="DefaultParagraphFont"/>
    <w:rsid w:val="004E4AEA"/>
    <w:rPr>
      <w:sz w:val="16"/>
      <w:vertAlign w:val="superscript"/>
    </w:rPr>
  </w:style>
  <w:style w:type="character" w:customStyle="1" w:styleId="Symbols">
    <w:name w:val="Symbols"/>
    <w:basedOn w:val="DefaultParagraphFont"/>
    <w:rsid w:val="004E4AEA"/>
    <w:rPr>
      <w:rFonts w:ascii="Symbol" w:hAnsi="Symbol"/>
    </w:rPr>
  </w:style>
  <w:style w:type="character" w:customStyle="1" w:styleId="MenuOptions">
    <w:name w:val="Menu Options"/>
    <w:basedOn w:val="DefaultParagraphFont"/>
    <w:rsid w:val="004E4AEA"/>
    <w:rPr>
      <w:rFonts w:ascii="Arial Narrow" w:hAnsi="Arial Narrow"/>
      <w:smallCaps/>
    </w:rPr>
  </w:style>
  <w:style w:type="character" w:customStyle="1" w:styleId="Buttons">
    <w:name w:val="Buttons"/>
    <w:basedOn w:val="DefaultParagraphFont"/>
    <w:rsid w:val="004E4AEA"/>
    <w:rPr>
      <w:b/>
    </w:rPr>
  </w:style>
  <w:style w:type="character" w:customStyle="1" w:styleId="Underlined">
    <w:name w:val="Underlined"/>
    <w:basedOn w:val="DefaultParagraphFont"/>
    <w:rsid w:val="004E4AEA"/>
    <w:rPr>
      <w:u w:val="single"/>
    </w:rPr>
  </w:style>
  <w:style w:type="paragraph" w:customStyle="1" w:styleId="TableBodyTextRight">
    <w:name w:val="Table Body Text Right"/>
    <w:basedOn w:val="TableBodyText"/>
    <w:rsid w:val="004E4AEA"/>
    <w:pPr>
      <w:widowControl w:val="0"/>
      <w:autoSpaceDE w:val="0"/>
      <w:autoSpaceDN w:val="0"/>
      <w:adjustRightInd w:val="0"/>
      <w:jc w:val="right"/>
    </w:pPr>
    <w:rPr>
      <w:rFonts w:cs="Arial"/>
      <w:szCs w:val="18"/>
    </w:rPr>
  </w:style>
  <w:style w:type="paragraph" w:customStyle="1" w:styleId="CopyrightText">
    <w:name w:val="Copyright Text"/>
    <w:basedOn w:val="BodyText"/>
    <w:rsid w:val="004E4AEA"/>
    <w:rPr>
      <w:sz w:val="18"/>
    </w:rPr>
  </w:style>
  <w:style w:type="paragraph" w:customStyle="1" w:styleId="BodySmallRight">
    <w:name w:val="Body Small Right"/>
    <w:basedOn w:val="BodyTextRight"/>
    <w:rsid w:val="004E4AEA"/>
    <w:rPr>
      <w:sz w:val="18"/>
      <w:szCs w:val="18"/>
    </w:rPr>
  </w:style>
  <w:style w:type="paragraph" w:customStyle="1" w:styleId="MarginEdition">
    <w:name w:val="Margin Edition"/>
    <w:basedOn w:val="MarginNote"/>
    <w:rsid w:val="004E4AEA"/>
    <w:pPr>
      <w:spacing w:before="0" w:after="0"/>
    </w:pPr>
    <w:rPr>
      <w:rFonts w:ascii="Times New Roman" w:hAnsi="Times New Roman"/>
      <w:color w:val="999999"/>
    </w:rPr>
  </w:style>
  <w:style w:type="paragraph" w:customStyle="1" w:styleId="Spacer">
    <w:name w:val="Spacer"/>
    <w:basedOn w:val="Normal"/>
    <w:rsid w:val="004E4AEA"/>
    <w:rPr>
      <w:sz w:val="2"/>
      <w:szCs w:val="2"/>
    </w:rPr>
  </w:style>
  <w:style w:type="character" w:customStyle="1" w:styleId="Small">
    <w:name w:val="Small"/>
    <w:basedOn w:val="DefaultParagraphFont"/>
    <w:rsid w:val="004E4AEA"/>
    <w:rPr>
      <w:sz w:val="16"/>
    </w:rPr>
  </w:style>
  <w:style w:type="paragraph" w:customStyle="1" w:styleId="WideTable">
    <w:name w:val="Wide Table"/>
    <w:basedOn w:val="Normal"/>
    <w:rsid w:val="004E4AEA"/>
    <w:pPr>
      <w:ind w:left="-1418"/>
    </w:pPr>
    <w:rPr>
      <w:sz w:val="2"/>
      <w:szCs w:val="2"/>
    </w:rPr>
  </w:style>
  <w:style w:type="character" w:styleId="PageNumber">
    <w:name w:val="page number"/>
    <w:basedOn w:val="DefaultParagraphFont"/>
    <w:rsid w:val="004E4AEA"/>
  </w:style>
  <w:style w:type="paragraph" w:styleId="Quote">
    <w:name w:val="Quote"/>
    <w:basedOn w:val="Heading1"/>
    <w:link w:val="QuoteChar"/>
    <w:qFormat/>
    <w:rsid w:val="004E4AEA"/>
    <w:rPr>
      <w:b w:val="0"/>
      <w:sz w:val="72"/>
      <w:szCs w:val="72"/>
      <w:lang w:val="en-NZ"/>
    </w:rPr>
  </w:style>
  <w:style w:type="character" w:customStyle="1" w:styleId="QuoteChar">
    <w:name w:val="Quote Char"/>
    <w:basedOn w:val="DefaultParagraphFont"/>
    <w:link w:val="Quote"/>
    <w:rsid w:val="004E4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AEA"/>
    <w:pPr>
      <w:pageBreakBefore/>
    </w:pPr>
  </w:style>
  <w:style w:type="paragraph" w:customStyle="1" w:styleId="Border">
    <w:name w:val="Border"/>
    <w:basedOn w:val="Normal"/>
    <w:qFormat/>
    <w:rsid w:val="004E4A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AEA"/>
    <w:rPr>
      <w:b/>
      <w:bCs/>
      <w:i/>
      <w:iCs/>
      <w:color w:val="auto"/>
    </w:rPr>
  </w:style>
  <w:style w:type="paragraph" w:styleId="IntenseQuote">
    <w:name w:val="Intense Quote"/>
    <w:basedOn w:val="Normal"/>
    <w:next w:val="Normal"/>
    <w:link w:val="IntenseQuoteChar"/>
    <w:uiPriority w:val="30"/>
    <w:qFormat/>
    <w:rsid w:val="004E4A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A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AEA"/>
    <w:rPr>
      <w:smallCaps/>
      <w:color w:val="auto"/>
      <w:u w:val="single"/>
    </w:rPr>
  </w:style>
  <w:style w:type="character" w:styleId="IntenseReference">
    <w:name w:val="Intense Reference"/>
    <w:basedOn w:val="DefaultParagraphFont"/>
    <w:uiPriority w:val="32"/>
    <w:qFormat/>
    <w:rsid w:val="004E4AEA"/>
    <w:rPr>
      <w:b/>
      <w:bCs/>
      <w:smallCaps/>
      <w:color w:val="auto"/>
      <w:spacing w:val="5"/>
      <w:u w:val="single"/>
    </w:rPr>
  </w:style>
  <w:style w:type="paragraph" w:customStyle="1" w:styleId="2ColumnHeading">
    <w:name w:val="2Column Heading"/>
    <w:basedOn w:val="BodyText"/>
    <w:qFormat/>
    <w:rsid w:val="004E4AEA"/>
    <w:pPr>
      <w:spacing w:after="60"/>
      <w:ind w:left="-2268"/>
    </w:pPr>
    <w:rPr>
      <w:b/>
    </w:rPr>
  </w:style>
  <w:style w:type="paragraph" w:customStyle="1" w:styleId="Heading1TOC">
    <w:name w:val="Heading1 TOC"/>
    <w:basedOn w:val="Normal"/>
    <w:qFormat/>
    <w:rsid w:val="004E4AEA"/>
    <w:pPr>
      <w:spacing w:before="240" w:after="120"/>
    </w:pPr>
    <w:rPr>
      <w:rFonts w:ascii="Times New Roman" w:hAnsi="Times New Roman"/>
      <w:b/>
      <w:sz w:val="32"/>
    </w:rPr>
  </w:style>
  <w:style w:type="paragraph" w:customStyle="1" w:styleId="Heading2TOC">
    <w:name w:val="Heading2 TOC"/>
    <w:basedOn w:val="Normal"/>
    <w:qFormat/>
    <w:rsid w:val="004E4AEA"/>
    <w:pPr>
      <w:spacing w:before="240" w:after="60"/>
    </w:pPr>
    <w:rPr>
      <w:rFonts w:ascii="Times New Roman" w:hAnsi="Times New Roman"/>
      <w:b/>
      <w:sz w:val="28"/>
    </w:rPr>
  </w:style>
  <w:style w:type="character" w:customStyle="1" w:styleId="Underline">
    <w:name w:val="Underline"/>
    <w:basedOn w:val="DefaultParagraphFont"/>
    <w:qFormat/>
    <w:rsid w:val="004E4AEA"/>
    <w:rPr>
      <w:u w:val="single"/>
    </w:rPr>
  </w:style>
  <w:style w:type="character" w:customStyle="1" w:styleId="BoldandItalics">
    <w:name w:val="Bold and Italics"/>
    <w:qFormat/>
    <w:rsid w:val="004E4AEA"/>
    <w:rPr>
      <w:b/>
      <w:i/>
      <w:u w:val="none"/>
    </w:rPr>
  </w:style>
  <w:style w:type="paragraph" w:styleId="BalloonText">
    <w:name w:val="Balloon Text"/>
    <w:basedOn w:val="Normal"/>
    <w:link w:val="BalloonTextChar"/>
    <w:rsid w:val="004E4AEA"/>
    <w:rPr>
      <w:rFonts w:ascii="Tahoma" w:hAnsi="Tahoma" w:cs="Tahoma"/>
      <w:sz w:val="16"/>
      <w:szCs w:val="16"/>
    </w:rPr>
  </w:style>
  <w:style w:type="character" w:customStyle="1" w:styleId="BalloonTextChar">
    <w:name w:val="Balloon Text Char"/>
    <w:basedOn w:val="DefaultParagraphFont"/>
    <w:link w:val="BalloonText"/>
    <w:rsid w:val="004E4A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A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A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AEA"/>
    <w:rPr>
      <w:b/>
      <w:color w:val="660033"/>
      <w:spacing w:val="0"/>
    </w:rPr>
  </w:style>
  <w:style w:type="paragraph" w:customStyle="1" w:styleId="Nameditemlist">
    <w:name w:val="Named item list"/>
    <w:basedOn w:val="BodyText"/>
    <w:qFormat/>
    <w:rsid w:val="004E4AEA"/>
    <w:pPr>
      <w:tabs>
        <w:tab w:val="left" w:pos="2835"/>
      </w:tabs>
      <w:ind w:left="2835" w:hanging="2835"/>
    </w:pPr>
  </w:style>
  <w:style w:type="paragraph" w:customStyle="1" w:styleId="BodyTextnopadding">
    <w:name w:val="Body Text no padding"/>
    <w:basedOn w:val="BodyText"/>
    <w:qFormat/>
    <w:rsid w:val="004E4AEA"/>
    <w:pPr>
      <w:spacing w:before="0" w:after="0"/>
    </w:pPr>
  </w:style>
  <w:style w:type="paragraph" w:customStyle="1" w:styleId="BodyTextBold">
    <w:name w:val="Body Text Bold"/>
    <w:basedOn w:val="BodyText"/>
    <w:qFormat/>
    <w:rsid w:val="004E4AEA"/>
    <w:rPr>
      <w:b/>
    </w:rPr>
  </w:style>
  <w:style w:type="character" w:styleId="Hyperlink">
    <w:name w:val="Hyperlink"/>
    <w:basedOn w:val="DefaultParagraphFont"/>
    <w:uiPriority w:val="99"/>
    <w:unhideWhenUsed/>
    <w:rsid w:val="00632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8437</Characters>
  <Application>Microsoft Office Word</Application>
  <DocSecurity>0</DocSecurity>
  <Lines>281</Lines>
  <Paragraphs>186</Paragraphs>
  <ScaleCrop>false</ScaleCrop>
  <Company>Author-it Software Corporation Ltd.</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MARC050 Operate auxiliary machinery systems up to 1500 kW</dc:title>
  <dc:subject>Approved</dc:subject>
  <dc:creator>Industry Skills Australia</dc:creator>
  <cp:keywords>Release: 2</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