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BB9" w:rsidP="007E7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MARC037 Operate inboard and outboard motors</w:t>
      </w:r>
      <w:r>
        <w:fldChar w:fldCharType="end"/>
      </w:r>
    </w:p>
    <w:p w:rsidR="007E7BB9" w:rsidP="007E7BB9">
      <w:pPr>
        <w:pStyle w:val="Version"/>
        <w:sectPr w:rsidSect="00AE1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1074" w:rsidP="00AE1074">
      <w:pPr>
        <w:pStyle w:val="SuperHeading"/>
      </w:pPr>
      <w:r w:rsidRPr="00AE1074">
        <w:t>Assessment Requirements for MARC037 Operate inboard and outboard motors</w:t>
      </w:r>
    </w:p>
    <w:p w:rsidR="00000000" w:rsidRPr="00AE1074" w:rsidP="00AE1074">
      <w:pPr>
        <w:pStyle w:val="Heading1"/>
      </w:pPr>
      <w:bookmarkStart w:id="1" w:name="O_1284882"/>
      <w:bookmarkEnd w:id="1"/>
      <w:r w:rsidRPr="00AE10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0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74" w:rsidP="00AE1074">
            <w:pPr>
              <w:pStyle w:val="BodyText"/>
            </w:pPr>
            <w:r w:rsidRPr="00AE1074">
              <w:rPr>
                <w:rStyle w:val="SpecialBold"/>
              </w:rPr>
              <w:t>Release 2</w:t>
            </w:r>
            <w:r w:rsidRPr="00AE1074">
              <w:t>. This is the second release of this unit of competency in the MAR Maritime Training Package.</w:t>
            </w:r>
          </w:p>
          <w:p w:rsidR="00000000" w:rsidRPr="00AE1074" w:rsidP="00AE1074">
            <w:pPr>
              <w:pStyle w:val="ListBullet"/>
            </w:pPr>
            <w:r w:rsidRPr="00AE1074">
              <w:t>Minor statement changes in unit Application</w:t>
            </w:r>
          </w:p>
          <w:p w:rsidR="00000000" w:rsidRPr="00AE1074" w:rsidP="00AE1074">
            <w:pPr>
              <w:pStyle w:val="ListBullet"/>
            </w:pPr>
            <w:r w:rsidRPr="00AE1074">
              <w:t>Minor clarifying statement change to PC1.4</w:t>
            </w:r>
          </w:p>
          <w:p w:rsidR="00000000" w:rsidP="00AE1074">
            <w:pPr>
              <w:pStyle w:val="ListBullet"/>
              <w:rPr>
                <w:lang w:val="en-NZ"/>
              </w:rPr>
            </w:pPr>
            <w:r w:rsidRPr="00AE1074">
              <w:t>Minor statement changes in Assessment Conditions.</w:t>
            </w:r>
          </w:p>
        </w:tc>
      </w:tr>
      <w:tr w:rsidTr="00AE10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74" w:rsidP="00AE1074">
            <w:pPr>
              <w:pStyle w:val="BodyText"/>
            </w:pPr>
            <w:r w:rsidRPr="00AE1074">
              <w:rPr>
                <w:rStyle w:val="SpecialBold"/>
              </w:rPr>
              <w:t>Release 1</w:t>
            </w:r>
            <w:r w:rsidRPr="00AE1074">
              <w:t>. New unit of competency. Licensing/regulatory information has been incorporated in accordance with Regulator</w:t>
            </w:r>
            <w:r w:rsidRPr="00AE1074">
              <w:t>y requirements. Assessment Requirements have been strengthened in accordance with Regulatory requirements.</w:t>
            </w:r>
          </w:p>
        </w:tc>
      </w:tr>
    </w:tbl>
    <w:p w:rsidR="00000000" w:rsidRPr="00AE1074" w:rsidP="00AE1074">
      <w:pPr>
        <w:pStyle w:val="NoPaddingFontSize1"/>
      </w:pPr>
    </w:p>
    <w:p w:rsidR="00000000" w:rsidRPr="00AE1074" w:rsidP="00AE1074">
      <w:pPr>
        <w:pStyle w:val="AllowPageBreak"/>
      </w:pPr>
    </w:p>
    <w:p w:rsidR="00000000" w:rsidRPr="00AE1074" w:rsidP="00AE1074">
      <w:pPr>
        <w:pStyle w:val="Heading1"/>
      </w:pPr>
      <w:bookmarkStart w:id="2" w:name="O_1284881"/>
      <w:bookmarkEnd w:id="2"/>
      <w:r w:rsidRPr="00AE107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0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74" w:rsidP="00AE1074">
            <w:pPr>
              <w:pStyle w:val="BodyText"/>
            </w:pPr>
            <w:r w:rsidRPr="00AE1074">
              <w:t>Evidence required to demonstrate competence in this unit must be relevant to and satisfy all of the require</w:t>
            </w:r>
            <w:r w:rsidRPr="00AE1074">
              <w:t>ments of the elements and performance criteria on at least one occasion and include:</w:t>
            </w:r>
          </w:p>
          <w:p w:rsidR="00000000" w:rsidRPr="00AE1074" w:rsidP="00AE1074">
            <w:pPr>
              <w:pStyle w:val="ListBullet"/>
            </w:pPr>
            <w:r w:rsidRPr="00AE1074">
              <w:t xml:space="preserve">applying work health and safety (WHS)/occupational health and safety (OHS) requirements and work practices </w:t>
            </w:r>
          </w:p>
          <w:p w:rsidR="00000000" w:rsidRPr="00AE1074" w:rsidP="00AE1074">
            <w:pPr>
              <w:pStyle w:val="ListBullet"/>
            </w:pPr>
            <w:r w:rsidRPr="00AE1074">
              <w:t>conducting pre-start checks, including checking:</w:t>
            </w:r>
          </w:p>
          <w:p w:rsidR="00000000" w:rsidRPr="00AE1074" w:rsidP="00AE1074">
            <w:pPr>
              <w:pStyle w:val="ListBullet2"/>
            </w:pPr>
            <w:r w:rsidRPr="00AE1074">
              <w:t xml:space="preserve">cooling system </w:t>
            </w:r>
          </w:p>
          <w:p w:rsidR="00000000" w:rsidRPr="00AE1074" w:rsidP="00AE1074">
            <w:pPr>
              <w:pStyle w:val="ListBullet2"/>
            </w:pPr>
            <w:r w:rsidRPr="00AE1074">
              <w:t>fuel</w:t>
            </w:r>
          </w:p>
          <w:p w:rsidR="00000000" w:rsidRPr="00AE1074" w:rsidP="00AE1074">
            <w:pPr>
              <w:pStyle w:val="ListBullet2"/>
            </w:pPr>
            <w:r w:rsidRPr="00AE1074">
              <w:t>lubricating oil</w:t>
            </w:r>
          </w:p>
          <w:p w:rsidR="00000000" w:rsidRPr="00AE1074" w:rsidP="00AE1074">
            <w:pPr>
              <w:pStyle w:val="ListBullet2"/>
            </w:pPr>
            <w:r w:rsidRPr="00AE1074">
              <w:t>motor attachment points</w:t>
            </w:r>
          </w:p>
          <w:p w:rsidR="00000000" w:rsidRPr="00AE1074" w:rsidP="00AE1074">
            <w:pPr>
              <w:pStyle w:val="ListBullet2"/>
            </w:pPr>
            <w:r w:rsidRPr="00AE1074">
              <w:t>water depth</w:t>
            </w:r>
          </w:p>
          <w:p w:rsidR="00000000" w:rsidRPr="00AE1074" w:rsidP="00AE1074">
            <w:pPr>
              <w:pStyle w:val="ListBullet"/>
            </w:pPr>
            <w:r w:rsidRPr="00AE1074">
              <w:t>conducting shutdown checks on inboard and outboard motors, and tagging out and reporting faults</w:t>
            </w:r>
          </w:p>
          <w:p w:rsidR="00000000" w:rsidRPr="00AE1074" w:rsidP="00AE1074">
            <w:pPr>
              <w:pStyle w:val="ListBullet"/>
            </w:pPr>
            <w:r w:rsidRPr="00AE1074">
              <w:t>estimating fuel consumption</w:t>
            </w:r>
          </w:p>
          <w:p w:rsidR="00000000" w:rsidRPr="00AE1074" w:rsidP="00AE1074">
            <w:pPr>
              <w:pStyle w:val="ListBullet"/>
            </w:pPr>
            <w:r w:rsidRPr="00AE1074">
              <w:t>reading and interpreting company standard operating proced</w:t>
            </w:r>
            <w:r w:rsidRPr="00AE1074">
              <w:t>ures (SOPs) about operating inboard and outboard engines</w:t>
            </w:r>
          </w:p>
          <w:p w:rsidR="00000000" w:rsidRPr="00AE1074" w:rsidP="00AE1074">
            <w:pPr>
              <w:pStyle w:val="ListBullet"/>
            </w:pPr>
            <w:r w:rsidRPr="00AE1074">
              <w:t xml:space="preserve">storing inboard or outboard motors </w:t>
            </w:r>
          </w:p>
          <w:p w:rsidR="00000000" w:rsidRPr="00AE1074" w:rsidP="00AE1074">
            <w:pPr>
              <w:pStyle w:val="ListBullet"/>
            </w:pPr>
            <w:r w:rsidRPr="00AE1074">
              <w:t>using inboard and outboard motor steering system.</w:t>
            </w:r>
          </w:p>
        </w:tc>
      </w:tr>
    </w:tbl>
    <w:p w:rsidR="00000000" w:rsidRPr="00AE1074" w:rsidP="00AE1074">
      <w:pPr>
        <w:pStyle w:val="NoPaddingFontSize1"/>
      </w:pPr>
    </w:p>
    <w:p w:rsidR="00000000" w:rsidRPr="00AE1074" w:rsidP="00AE1074">
      <w:pPr>
        <w:pStyle w:val="AllowPageBreak"/>
      </w:pPr>
    </w:p>
    <w:p w:rsidR="00000000" w:rsidRPr="00AE1074" w:rsidP="00AE1074">
      <w:pPr>
        <w:pStyle w:val="Heading1"/>
      </w:pPr>
      <w:bookmarkStart w:id="3" w:name="O_1284880"/>
      <w:bookmarkEnd w:id="3"/>
      <w:r w:rsidRPr="00AE107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0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74" w:rsidP="00AE1074">
            <w:pPr>
              <w:pStyle w:val="BodyText"/>
            </w:pPr>
            <w:r w:rsidRPr="00AE1074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AE1074" w:rsidP="00AE1074">
            <w:pPr>
              <w:pStyle w:val="ListBullet"/>
            </w:pPr>
            <w:r w:rsidRPr="00AE1074">
              <w:t>battery connection and hazards</w:t>
            </w:r>
          </w:p>
          <w:p w:rsidR="00000000" w:rsidRPr="00AE1074" w:rsidP="00AE1074">
            <w:pPr>
              <w:pStyle w:val="ListBullet"/>
            </w:pPr>
            <w:r w:rsidRPr="00AE1074">
              <w:t xml:space="preserve">International Convention for the Prevention </w:t>
            </w:r>
            <w:r w:rsidRPr="00AE1074">
              <w:t xml:space="preserve">of Pollution from Ships (MARPOL) </w:t>
            </w:r>
            <w:r w:rsidRPr="00AE1074">
              <w:t>requirements as it applies to operating inboard and outboard motors</w:t>
            </w:r>
          </w:p>
          <w:p w:rsidR="00000000" w:rsidRPr="00AE1074" w:rsidP="00AE1074">
            <w:pPr>
              <w:pStyle w:val="ListBullet"/>
            </w:pPr>
            <w:r w:rsidRPr="00AE1074">
              <w:t>motor:</w:t>
            </w:r>
          </w:p>
          <w:p w:rsidR="00000000" w:rsidRPr="00AE1074" w:rsidP="00AE1074">
            <w:pPr>
              <w:pStyle w:val="ListBullet2"/>
            </w:pPr>
            <w:r w:rsidRPr="00AE1074">
              <w:t>cooling systems</w:t>
            </w:r>
          </w:p>
          <w:p w:rsidR="00000000" w:rsidRPr="00AE1074" w:rsidP="00AE1074">
            <w:pPr>
              <w:pStyle w:val="ListBullet2"/>
            </w:pPr>
            <w:r w:rsidRPr="00AE1074">
              <w:t>fuel systems</w:t>
            </w:r>
          </w:p>
          <w:p w:rsidR="00000000" w:rsidRPr="00AE1074" w:rsidP="00AE1074">
            <w:pPr>
              <w:pStyle w:val="ListBullet2"/>
            </w:pPr>
            <w:r w:rsidRPr="00AE1074">
              <w:t>lubricating systems</w:t>
            </w:r>
          </w:p>
          <w:p w:rsidR="00000000" w:rsidRPr="00AE1074" w:rsidP="00AE1074">
            <w:pPr>
              <w:pStyle w:val="ListBullet"/>
            </w:pPr>
            <w:r w:rsidRPr="00AE1074">
              <w:t>risks associated with portable fuel tanks</w:t>
            </w:r>
          </w:p>
          <w:p w:rsidR="00000000" w:rsidRPr="00AE1074" w:rsidP="00AE1074">
            <w:pPr>
              <w:pStyle w:val="ListBullet"/>
            </w:pPr>
            <w:r w:rsidRPr="00AE1074">
              <w:t>standard procedures to tag out and report faults</w:t>
            </w:r>
          </w:p>
          <w:p w:rsidR="00000000" w:rsidRPr="00AE1074" w:rsidP="00AE1074">
            <w:pPr>
              <w:pStyle w:val="ListBullet"/>
            </w:pPr>
            <w:r w:rsidRPr="00AE1074">
              <w:t xml:space="preserve">starting motors </w:t>
            </w:r>
          </w:p>
          <w:p w:rsidR="00000000" w:rsidRPr="00AE1074" w:rsidP="00AE1074">
            <w:pPr>
              <w:pStyle w:val="ListBullet"/>
            </w:pPr>
            <w:r w:rsidRPr="00AE1074">
              <w:t>troubleshooting techniques</w:t>
            </w:r>
          </w:p>
          <w:p w:rsidR="00000000" w:rsidRPr="00AE1074" w:rsidP="00AE1074">
            <w:pPr>
              <w:pStyle w:val="ListBullet"/>
            </w:pPr>
            <w:r w:rsidRPr="00AE1074">
              <w:t>WHS/OHS requirements and work practices.</w:t>
            </w:r>
          </w:p>
        </w:tc>
      </w:tr>
    </w:tbl>
    <w:p w:rsidR="00000000" w:rsidRPr="00AE1074" w:rsidP="00AE1074">
      <w:pPr>
        <w:pStyle w:val="NoPaddingFontSize1"/>
      </w:pPr>
    </w:p>
    <w:p w:rsidR="00000000" w:rsidRPr="00AE1074" w:rsidP="00AE1074">
      <w:pPr>
        <w:pStyle w:val="AllowPageBreak"/>
      </w:pPr>
    </w:p>
    <w:p w:rsidR="00000000" w:rsidRPr="00AE1074" w:rsidP="00AE1074">
      <w:pPr>
        <w:pStyle w:val="Heading1"/>
      </w:pPr>
      <w:bookmarkStart w:id="4" w:name="O_1284879"/>
      <w:bookmarkEnd w:id="4"/>
      <w:r w:rsidRPr="00AE107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0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74" w:rsidP="00AE1074">
            <w:pPr>
              <w:pStyle w:val="BodyText"/>
            </w:pPr>
            <w:r w:rsidRPr="00AE1074">
              <w:t>Assessors must hold credentials specified within the Standards for Registered Training Organisations current at the time of assessment.</w:t>
            </w:r>
          </w:p>
          <w:p w:rsidR="00000000" w:rsidRPr="00AE1074" w:rsidP="00AE1074">
            <w:pPr>
              <w:pStyle w:val="BodyText"/>
            </w:pPr>
            <w:r w:rsidRPr="00AE1074">
              <w:t>Assessment must satisfy the Principles of Assessment and Rules of Evidence and all regulatory requirements included with</w:t>
            </w:r>
            <w:r w:rsidRPr="00AE1074">
              <w:t>in the Standards for Registered Training current at the time of assessment.</w:t>
            </w:r>
          </w:p>
          <w:p w:rsidR="00000000" w:rsidRPr="00AE1074" w:rsidP="00AE1074">
            <w:pPr>
              <w:pStyle w:val="BodyText"/>
            </w:pPr>
            <w:r w:rsidRPr="00AE107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E1074" w:rsidP="00AE1074">
            <w:pPr>
              <w:pStyle w:val="BodyText"/>
            </w:pPr>
            <w:r w:rsidRPr="00AE1074">
              <w:t>Practical as</w:t>
            </w:r>
            <w:r w:rsidRPr="00AE1074">
              <w:t>sessment must occur in a workplace, or realistic simulated workplace, under the normal range of workplace conditions.</w:t>
            </w:r>
          </w:p>
          <w:p w:rsidR="00000000" w:rsidRPr="00AE1074" w:rsidP="00AE1074">
            <w:pPr>
              <w:pStyle w:val="BodyText"/>
            </w:pPr>
            <w:r w:rsidRPr="00AE1074">
              <w:t>Simulations and scenarios may be used where situations cannot be provided in the workplace or may occur only rarely, in particular for sit</w:t>
            </w:r>
            <w:r w:rsidRPr="00AE1074">
              <w:t>uations relating to emergency procedures and adverse weather conditions where assessment would be unsafe, impractical or may lead to environmental damage.</w:t>
            </w:r>
          </w:p>
          <w:p w:rsidR="00000000" w:rsidRPr="00AE1074" w:rsidP="00AE1074">
            <w:pPr>
              <w:pStyle w:val="BodyText"/>
            </w:pPr>
            <w:r w:rsidRPr="00AE1074">
              <w:t>Resources for assessment must include access to:</w:t>
            </w:r>
          </w:p>
          <w:p w:rsidR="00000000" w:rsidRPr="00AE1074" w:rsidP="00AE1074">
            <w:pPr>
              <w:pStyle w:val="ListBullet"/>
            </w:pPr>
            <w:r w:rsidRPr="00AE1074">
              <w:t>applicable documentation, such as legislation, regu</w:t>
            </w:r>
            <w:r w:rsidRPr="00AE1074">
              <w:t xml:space="preserve">lations, codes of practice, safety management system, workplace procedures and operational manuals </w:t>
            </w:r>
          </w:p>
          <w:p w:rsidR="00000000" w:rsidRPr="00AE1074" w:rsidP="00AE1074">
            <w:pPr>
              <w:pStyle w:val="ListBullet"/>
            </w:pPr>
            <w:r w:rsidRPr="00AE1074">
              <w:t>a vessel greater than or equal to 5.0 metres in length with propulsion power of greater than or equal to 75 kW, or appropriate engine ashore</w:t>
            </w:r>
          </w:p>
          <w:p w:rsidR="00000000" w:rsidRPr="00AE1074" w:rsidP="00AE1074">
            <w:pPr>
              <w:pStyle w:val="ListBullet"/>
            </w:pPr>
            <w:r w:rsidRPr="00AE1074">
              <w:t>tools, equipmen</w:t>
            </w:r>
            <w:r w:rsidRPr="00AE1074">
              <w:t>t, machinery, materials and relevant personal protective equipment (PPE) currently used in industry.</w:t>
            </w:r>
          </w:p>
        </w:tc>
      </w:tr>
    </w:tbl>
    <w:p w:rsidR="00000000" w:rsidRPr="00AE1074" w:rsidP="00AE1074">
      <w:pPr>
        <w:pStyle w:val="NoPaddingFontSize1"/>
      </w:pPr>
    </w:p>
    <w:p w:rsidR="00000000" w:rsidRPr="00AE1074" w:rsidP="00AE1074">
      <w:pPr>
        <w:pStyle w:val="AllowPageBreak"/>
      </w:pPr>
    </w:p>
    <w:p w:rsidR="00000000" w:rsidRPr="00AE1074" w:rsidP="00AE1074">
      <w:pPr>
        <w:pStyle w:val="Heading1"/>
      </w:pPr>
      <w:bookmarkStart w:id="5" w:name="O_1284894"/>
      <w:bookmarkEnd w:id="5"/>
      <w:r w:rsidRPr="00AE1074">
        <w:t>Links</w:t>
      </w:r>
    </w:p>
    <w:p w:rsidR="00000000" w:rsidRPr="00AE1074" w:rsidP="007E7BB9">
      <w:pPr>
        <w:pStyle w:val="BodyText"/>
      </w:pPr>
      <w:r w:rsidRPr="00AE10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C4F0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E1074" w:rsidP="00AE1074"/>
    <w:sectPr w:rsidSect="00AE10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74" w:rsidRPr="007E7BB9" w:rsidP="007E7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B9" w:rsidP="00AE1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7BB9" w:rsidP="00AE1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E7BB9" w:rsidP="00AE1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074" w:rsidRPr="007E7BB9" w:rsidP="007E7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B9" w:rsidRPr="002D2AF8" w:rsidP="00AE1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MARC037 Operate inboard and outboard motors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E7BB9" w:rsidP="00AE1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8E32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58E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ECCF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074"/>
  </w:style>
  <w:style w:type="character" w:customStyle="1" w:styleId="Heading1Char">
    <w:name w:val="Heading 1 Char"/>
    <w:basedOn w:val="DefaultParagraphFont"/>
    <w:link w:val="Heading1"/>
    <w:rsid w:val="00AE1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0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0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0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074"/>
    <w:rPr>
      <w:b/>
      <w:spacing w:val="0"/>
    </w:rPr>
  </w:style>
  <w:style w:type="paragraph" w:styleId="ListBullet2">
    <w:name w:val="List Bullet 2"/>
    <w:basedOn w:val="List2"/>
    <w:rsid w:val="00AE10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1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1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0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0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1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0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074"/>
    <w:rPr>
      <w:i/>
    </w:rPr>
  </w:style>
  <w:style w:type="paragraph" w:styleId="Caption">
    <w:name w:val="caption"/>
    <w:basedOn w:val="BodyText"/>
    <w:next w:val="Normal"/>
    <w:qFormat/>
    <w:rsid w:val="00AE1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074"/>
  </w:style>
  <w:style w:type="paragraph" w:styleId="TableofFigures">
    <w:name w:val="table of figures"/>
    <w:basedOn w:val="Normal"/>
    <w:next w:val="Normal"/>
    <w:semiHidden/>
    <w:rsid w:val="00AE1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0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1074"/>
    <w:rPr>
      <w:rFonts w:ascii="Wingdings" w:hAnsi="Wingdings"/>
    </w:rPr>
  </w:style>
  <w:style w:type="paragraph" w:customStyle="1" w:styleId="TableHeading">
    <w:name w:val="Table Heading"/>
    <w:basedOn w:val="HeadingBase"/>
    <w:rsid w:val="00AE1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074"/>
    <w:rPr>
      <w:color w:val="0033CC"/>
      <w:u w:val="none"/>
    </w:rPr>
  </w:style>
  <w:style w:type="paragraph" w:customStyle="1" w:styleId="BodyTextRight">
    <w:name w:val="Body Text Right"/>
    <w:basedOn w:val="BodyText"/>
    <w:rsid w:val="00AE1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0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074"/>
    <w:rPr>
      <w:sz w:val="32"/>
    </w:rPr>
  </w:style>
  <w:style w:type="paragraph" w:customStyle="1" w:styleId="HeadingProcedure">
    <w:name w:val="Heading Procedure"/>
    <w:basedOn w:val="HeadingBase"/>
    <w:next w:val="Normal"/>
    <w:rsid w:val="00AE1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074"/>
    <w:pPr>
      <w:spacing w:before="60" w:after="60"/>
    </w:pPr>
  </w:style>
  <w:style w:type="paragraph" w:styleId="ListContinue">
    <w:name w:val="List Continue"/>
    <w:basedOn w:val="List"/>
    <w:rsid w:val="00AE1074"/>
    <w:pPr>
      <w:ind w:firstLine="0"/>
    </w:pPr>
  </w:style>
  <w:style w:type="paragraph" w:customStyle="1" w:styleId="ListNote">
    <w:name w:val="List Note"/>
    <w:basedOn w:val="List"/>
    <w:rsid w:val="00AE1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074"/>
    <w:rPr>
      <w:rFonts w:ascii="Courier New" w:hAnsi="Courier New"/>
    </w:rPr>
  </w:style>
  <w:style w:type="paragraph" w:customStyle="1" w:styleId="NoteBullet">
    <w:name w:val="Note Bullet"/>
    <w:basedOn w:val="Note"/>
    <w:rsid w:val="00AE1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0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1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074"/>
    <w:rPr>
      <w:b/>
      <w:smallCaps/>
    </w:rPr>
  </w:style>
  <w:style w:type="paragraph" w:customStyle="1" w:styleId="TableListNumber">
    <w:name w:val="Table List Number"/>
    <w:basedOn w:val="ListNumber"/>
    <w:rsid w:val="00AE1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074"/>
    <w:pPr>
      <w:numPr>
        <w:numId w:val="9"/>
      </w:numPr>
    </w:pPr>
  </w:style>
  <w:style w:type="paragraph" w:customStyle="1" w:styleId="ListAlpha2">
    <w:name w:val="List Alpha 2"/>
    <w:basedOn w:val="List2"/>
    <w:rsid w:val="00AE1074"/>
    <w:pPr>
      <w:numPr>
        <w:numId w:val="8"/>
      </w:numPr>
    </w:pPr>
  </w:style>
  <w:style w:type="paragraph" w:styleId="List2">
    <w:name w:val="List 2"/>
    <w:basedOn w:val="BodyText"/>
    <w:rsid w:val="00AE1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0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0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0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1074"/>
    <w:pPr>
      <w:numPr>
        <w:numId w:val="4"/>
      </w:numPr>
    </w:pPr>
  </w:style>
  <w:style w:type="paragraph" w:styleId="ListContinue2">
    <w:name w:val="List Continue 2"/>
    <w:basedOn w:val="List2"/>
    <w:rsid w:val="00AE1074"/>
    <w:pPr>
      <w:ind w:firstLine="0"/>
    </w:pPr>
  </w:style>
  <w:style w:type="paragraph" w:styleId="ListContinue3">
    <w:name w:val="List Continue 3"/>
    <w:basedOn w:val="List3"/>
    <w:rsid w:val="00AE1074"/>
    <w:pPr>
      <w:ind w:left="1021" w:firstLine="0"/>
    </w:pPr>
  </w:style>
  <w:style w:type="paragraph" w:styleId="ListContinue4">
    <w:name w:val="List Continue 4"/>
    <w:basedOn w:val="List4"/>
    <w:rsid w:val="00AE1074"/>
    <w:pPr>
      <w:ind w:firstLine="0"/>
    </w:pPr>
  </w:style>
  <w:style w:type="paragraph" w:styleId="ListContinue5">
    <w:name w:val="List Continue 5"/>
    <w:basedOn w:val="List5"/>
    <w:rsid w:val="00AE1074"/>
    <w:pPr>
      <w:ind w:firstLine="0"/>
    </w:pPr>
  </w:style>
  <w:style w:type="paragraph" w:styleId="ListNumber3">
    <w:name w:val="List Number 3"/>
    <w:basedOn w:val="List3"/>
    <w:rsid w:val="00AE1074"/>
    <w:pPr>
      <w:numPr>
        <w:numId w:val="5"/>
      </w:numPr>
    </w:pPr>
  </w:style>
  <w:style w:type="paragraph" w:styleId="ListNumber4">
    <w:name w:val="List Number 4"/>
    <w:basedOn w:val="List4"/>
    <w:rsid w:val="00AE1074"/>
    <w:pPr>
      <w:numPr>
        <w:numId w:val="6"/>
      </w:numPr>
    </w:pPr>
  </w:style>
  <w:style w:type="paragraph" w:styleId="ListNumber5">
    <w:name w:val="List Number 5"/>
    <w:basedOn w:val="List5"/>
    <w:rsid w:val="00AE1074"/>
    <w:pPr>
      <w:numPr>
        <w:numId w:val="7"/>
      </w:numPr>
    </w:pPr>
  </w:style>
  <w:style w:type="paragraph" w:styleId="BlockText">
    <w:name w:val="Block Text"/>
    <w:basedOn w:val="Normal"/>
    <w:rsid w:val="00AE1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074"/>
    <w:rPr>
      <w:sz w:val="16"/>
      <w:vertAlign w:val="superscript"/>
    </w:rPr>
  </w:style>
  <w:style w:type="character" w:customStyle="1" w:styleId="Symbols">
    <w:name w:val="Symbols"/>
    <w:basedOn w:val="DefaultParagraphFont"/>
    <w:rsid w:val="00AE1074"/>
    <w:rPr>
      <w:rFonts w:ascii="Symbol" w:hAnsi="Symbol"/>
    </w:rPr>
  </w:style>
  <w:style w:type="character" w:customStyle="1" w:styleId="MenuOptions">
    <w:name w:val="Menu Options"/>
    <w:basedOn w:val="DefaultParagraphFont"/>
    <w:rsid w:val="00AE1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074"/>
    <w:rPr>
      <w:b/>
    </w:rPr>
  </w:style>
  <w:style w:type="character" w:customStyle="1" w:styleId="Underlined">
    <w:name w:val="Underlined"/>
    <w:basedOn w:val="DefaultParagraphFont"/>
    <w:rsid w:val="00AE1074"/>
    <w:rPr>
      <w:u w:val="single"/>
    </w:rPr>
  </w:style>
  <w:style w:type="paragraph" w:customStyle="1" w:styleId="TableBodyTextRight">
    <w:name w:val="Table Body Text Right"/>
    <w:basedOn w:val="TableBodyText"/>
    <w:rsid w:val="00AE1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074"/>
    <w:rPr>
      <w:sz w:val="18"/>
    </w:rPr>
  </w:style>
  <w:style w:type="paragraph" w:customStyle="1" w:styleId="BodySmallRight">
    <w:name w:val="Body Small Right"/>
    <w:basedOn w:val="BodyTextRight"/>
    <w:rsid w:val="00AE1074"/>
    <w:rPr>
      <w:sz w:val="18"/>
      <w:szCs w:val="18"/>
    </w:rPr>
  </w:style>
  <w:style w:type="paragraph" w:customStyle="1" w:styleId="MarginEdition">
    <w:name w:val="Margin Edition"/>
    <w:basedOn w:val="MarginNote"/>
    <w:rsid w:val="00AE1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074"/>
    <w:rPr>
      <w:sz w:val="2"/>
      <w:szCs w:val="2"/>
    </w:rPr>
  </w:style>
  <w:style w:type="character" w:customStyle="1" w:styleId="Small">
    <w:name w:val="Small"/>
    <w:basedOn w:val="DefaultParagraphFont"/>
    <w:rsid w:val="00AE1074"/>
    <w:rPr>
      <w:sz w:val="16"/>
    </w:rPr>
  </w:style>
  <w:style w:type="paragraph" w:customStyle="1" w:styleId="WideTable">
    <w:name w:val="Wide Table"/>
    <w:basedOn w:val="Normal"/>
    <w:rsid w:val="00AE1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074"/>
  </w:style>
  <w:style w:type="paragraph" w:styleId="Quote">
    <w:name w:val="Quote"/>
    <w:basedOn w:val="Heading1"/>
    <w:link w:val="QuoteChar"/>
    <w:qFormat/>
    <w:rsid w:val="00AE1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074"/>
    <w:pPr>
      <w:pageBreakBefore/>
    </w:pPr>
  </w:style>
  <w:style w:type="paragraph" w:customStyle="1" w:styleId="Border">
    <w:name w:val="Border"/>
    <w:basedOn w:val="Normal"/>
    <w:qFormat/>
    <w:rsid w:val="00AE1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074"/>
    <w:rPr>
      <w:u w:val="single"/>
    </w:rPr>
  </w:style>
  <w:style w:type="character" w:customStyle="1" w:styleId="BoldandItalics">
    <w:name w:val="Bold and Italics"/>
    <w:qFormat/>
    <w:rsid w:val="00AE1074"/>
    <w:rPr>
      <w:b/>
      <w:i/>
      <w:u w:val="none"/>
    </w:rPr>
  </w:style>
  <w:style w:type="paragraph" w:styleId="BalloonText">
    <w:name w:val="Balloon Text"/>
    <w:basedOn w:val="Normal"/>
    <w:link w:val="BalloonTextChar"/>
    <w:rsid w:val="00AE1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0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0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074"/>
    <w:pPr>
      <w:spacing w:before="0" w:after="0"/>
    </w:pPr>
  </w:style>
  <w:style w:type="paragraph" w:customStyle="1" w:styleId="BodyTextBold">
    <w:name w:val="Body Text Bold"/>
    <w:basedOn w:val="BodyText"/>
    <w:qFormat/>
    <w:rsid w:val="00AE1074"/>
    <w:rPr>
      <w:b/>
    </w:rPr>
  </w:style>
  <w:style w:type="character" w:styleId="Hyperlink">
    <w:name w:val="Hyperlink"/>
    <w:basedOn w:val="DefaultParagraphFont"/>
    <w:uiPriority w:val="99"/>
    <w:unhideWhenUsed/>
    <w:rsid w:val="007E7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503</Words>
  <Characters>3251</Characters>
  <Application>Microsoft Office Word</Application>
  <DocSecurity>0</DocSecurity>
  <Lines>85</Lines>
  <Paragraphs>57</Paragraphs>
  <ScaleCrop>false</ScaleCrop>
  <Company>Author-it Software Corporation Ltd.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MARC037 Operate inboard and outboard motors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