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6B5" w:rsidP="00180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MARC036 Operate deck machinery</w:t>
      </w:r>
      <w:r>
        <w:fldChar w:fldCharType="end"/>
      </w:r>
    </w:p>
    <w:p w:rsidR="001806B5" w:rsidP="001806B5">
      <w:pPr>
        <w:pStyle w:val="Version"/>
        <w:sectPr w:rsidSect="00F71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1708" w:rsidP="00F71708">
      <w:pPr>
        <w:pStyle w:val="SuperHeading"/>
      </w:pPr>
      <w:r w:rsidRPr="00F71708">
        <w:t>Assessment Requirements for MARC036 Operate deck machinery</w:t>
      </w:r>
    </w:p>
    <w:p w:rsidR="00000000" w:rsidRPr="00F71708" w:rsidP="00F71708">
      <w:pPr>
        <w:pStyle w:val="Heading1"/>
      </w:pPr>
      <w:bookmarkStart w:id="1" w:name="O_1284864"/>
      <w:bookmarkEnd w:id="1"/>
      <w:r w:rsidRPr="00F717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7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08" w:rsidP="00F71708">
            <w:pPr>
              <w:pStyle w:val="BodyText"/>
            </w:pPr>
            <w:r w:rsidRPr="00F71708">
              <w:rPr>
                <w:rStyle w:val="SpecialBold"/>
              </w:rPr>
              <w:t>Release 2</w:t>
            </w:r>
            <w:r w:rsidRPr="00F71708">
              <w:t>. This is the second release of this unit of competency in the MAR Maritime Training Package.</w:t>
            </w:r>
          </w:p>
          <w:p w:rsidR="00000000" w:rsidRPr="00F71708" w:rsidP="00F71708">
            <w:pPr>
              <w:pStyle w:val="ListBullet"/>
            </w:pPr>
            <w:r w:rsidRPr="00F71708">
              <w:t>Minor statement changes in unit Application</w:t>
            </w:r>
          </w:p>
          <w:p w:rsidR="00000000" w:rsidRPr="00F71708" w:rsidP="00F71708">
            <w:pPr>
              <w:pStyle w:val="ListBullet"/>
            </w:pPr>
            <w:r w:rsidRPr="00F71708">
              <w:t>Minor statement changes in Performance Evidence</w:t>
            </w:r>
          </w:p>
          <w:p w:rsidR="00000000" w:rsidRPr="00F71708" w:rsidP="00F71708">
            <w:pPr>
              <w:pStyle w:val="ListBullet"/>
            </w:pPr>
            <w:r w:rsidRPr="00F71708">
              <w:t>Minor statement chang</w:t>
            </w:r>
            <w:r w:rsidRPr="00F71708">
              <w:t>es in Knowledge Evidence</w:t>
            </w:r>
          </w:p>
          <w:p w:rsidR="00000000" w:rsidP="00F71708">
            <w:pPr>
              <w:pStyle w:val="ListBullet"/>
              <w:rPr>
                <w:lang w:val="en-NZ"/>
              </w:rPr>
            </w:pPr>
            <w:r w:rsidRPr="00F71708">
              <w:t>Minor statement changes in Assessment Conditions.</w:t>
            </w:r>
          </w:p>
        </w:tc>
      </w:tr>
      <w:tr w:rsidTr="00F717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08" w:rsidP="00F71708">
            <w:pPr>
              <w:pStyle w:val="BodyText"/>
            </w:pPr>
            <w:r w:rsidRPr="00F71708">
              <w:rPr>
                <w:rStyle w:val="SpecialBold"/>
              </w:rPr>
              <w:t>Release 1</w:t>
            </w:r>
            <w:r w:rsidRPr="00F71708">
              <w:t>. New unit of competency. Licensing/regulatory information has been incorporated in accordance with Regulatory requirements. Assessment Requirements have been strengthened</w:t>
            </w:r>
            <w:r w:rsidRPr="00F71708">
              <w:t xml:space="preserve"> in accordance with Regulatory requirements.</w:t>
            </w:r>
          </w:p>
        </w:tc>
      </w:tr>
    </w:tbl>
    <w:p w:rsidR="00000000" w:rsidRPr="00F71708" w:rsidP="00F71708">
      <w:pPr>
        <w:pStyle w:val="NoPaddingFontSize1"/>
      </w:pPr>
    </w:p>
    <w:p w:rsidR="00000000" w:rsidRPr="00F71708" w:rsidP="00F71708">
      <w:pPr>
        <w:pStyle w:val="AllowPageBreak"/>
      </w:pPr>
    </w:p>
    <w:p w:rsidR="00000000" w:rsidRPr="00F71708" w:rsidP="00F71708">
      <w:pPr>
        <w:pStyle w:val="Heading1"/>
      </w:pPr>
      <w:bookmarkStart w:id="2" w:name="O_1284863"/>
      <w:bookmarkEnd w:id="2"/>
      <w:r w:rsidRPr="00F717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7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08" w:rsidP="00F71708">
            <w:pPr>
              <w:pStyle w:val="BodyText"/>
            </w:pPr>
            <w:r w:rsidRPr="00F71708">
              <w:t>Evidence required to demonstrate competence in this unit must be relevant to and satisfy all of the requirements of the elements and performance criteria on at least one</w:t>
            </w:r>
            <w:r w:rsidRPr="00F71708">
              <w:t xml:space="preserve"> occasion and include:</w:t>
            </w:r>
          </w:p>
          <w:p w:rsidR="00000000" w:rsidRPr="00F71708" w:rsidP="00F71708">
            <w:pPr>
              <w:pStyle w:val="ListBullet"/>
            </w:pPr>
            <w:r w:rsidRPr="00F71708">
              <w:t>applying work health and safety (WHS)/occupational health and safety (OHS) requirements and safe work practices</w:t>
            </w:r>
          </w:p>
          <w:p w:rsidR="00000000" w:rsidRPr="00F71708" w:rsidP="00F71708">
            <w:pPr>
              <w:pStyle w:val="ListBullet"/>
            </w:pPr>
            <w:r w:rsidRPr="00F71708">
              <w:t>undertaking pre-operational checks including:</w:t>
            </w:r>
          </w:p>
          <w:p w:rsidR="00000000" w:rsidRPr="00F71708" w:rsidP="00F71708">
            <w:pPr>
              <w:pStyle w:val="ListBullet2"/>
            </w:pPr>
            <w:r w:rsidRPr="00F71708">
              <w:t>checking oils, lubricants and hydraulic lines</w:t>
            </w:r>
          </w:p>
          <w:p w:rsidR="00000000" w:rsidRPr="00F71708" w:rsidP="00F71708">
            <w:pPr>
              <w:pStyle w:val="ListBullet2"/>
            </w:pPr>
            <w:r w:rsidRPr="00F71708">
              <w:t>inspection of safety guards</w:t>
            </w:r>
          </w:p>
          <w:p w:rsidR="00000000" w:rsidRPr="00F71708" w:rsidP="00F71708">
            <w:pPr>
              <w:pStyle w:val="ListBullet2"/>
            </w:pPr>
            <w:r w:rsidRPr="00F71708">
              <w:t>operation of emergency stops</w:t>
            </w:r>
          </w:p>
          <w:p w:rsidR="00000000" w:rsidRPr="00F71708" w:rsidP="00F71708">
            <w:pPr>
              <w:pStyle w:val="ListBullet"/>
            </w:pPr>
            <w:r w:rsidRPr="00F71708">
              <w:t>using deck machinery safely including:</w:t>
            </w:r>
          </w:p>
          <w:p w:rsidR="00000000" w:rsidRPr="00F71708" w:rsidP="00F71708">
            <w:pPr>
              <w:pStyle w:val="ListBullet2"/>
            </w:pPr>
            <w:r w:rsidRPr="00F71708">
              <w:t>basic hydraulic system</w:t>
            </w:r>
          </w:p>
          <w:p w:rsidR="00000000" w:rsidRPr="00F71708" w:rsidP="00F71708">
            <w:pPr>
              <w:pStyle w:val="ListBullet2"/>
            </w:pPr>
            <w:r w:rsidRPr="00F71708">
              <w:t>capstans</w:t>
            </w:r>
          </w:p>
          <w:p w:rsidR="00000000" w:rsidRPr="00F71708" w:rsidP="00F71708">
            <w:pPr>
              <w:pStyle w:val="ListBullet2"/>
            </w:pPr>
            <w:r w:rsidRPr="00F71708">
              <w:t>electric or hydraulic winches or windlasses</w:t>
            </w:r>
          </w:p>
          <w:p w:rsidR="00000000" w:rsidRPr="00F71708" w:rsidP="00F71708">
            <w:pPr>
              <w:pStyle w:val="ListBullet2"/>
            </w:pPr>
            <w:r w:rsidRPr="00F71708">
              <w:t>lifting equipment.</w:t>
            </w:r>
          </w:p>
        </w:tc>
      </w:tr>
    </w:tbl>
    <w:p w:rsidR="00000000" w:rsidRPr="00F71708" w:rsidP="00F71708">
      <w:pPr>
        <w:pStyle w:val="NoPaddingFontSize1"/>
      </w:pPr>
    </w:p>
    <w:p w:rsidR="00000000" w:rsidRPr="00F71708" w:rsidP="00F71708">
      <w:pPr>
        <w:pStyle w:val="AllowPageBreak"/>
      </w:pPr>
    </w:p>
    <w:p w:rsidR="00000000" w:rsidRPr="00F71708" w:rsidP="00F71708">
      <w:pPr>
        <w:pStyle w:val="Heading1"/>
      </w:pPr>
      <w:bookmarkStart w:id="3" w:name="O_1284862"/>
      <w:bookmarkEnd w:id="3"/>
      <w:r w:rsidRPr="00F717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7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08" w:rsidP="00F71708">
            <w:pPr>
              <w:pStyle w:val="BodyText"/>
            </w:pPr>
            <w:r w:rsidRPr="00F7170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71708" w:rsidP="00F71708">
            <w:pPr>
              <w:pStyle w:val="ListBullet"/>
            </w:pPr>
            <w:r w:rsidRPr="00F71708">
              <w:t>basic hydraulic systems and their operation</w:t>
            </w:r>
          </w:p>
          <w:p w:rsidR="00000000" w:rsidRPr="00F71708" w:rsidP="00F71708">
            <w:pPr>
              <w:pStyle w:val="ListBullet"/>
            </w:pPr>
            <w:r w:rsidRPr="00F71708">
              <w:t>capstans</w:t>
            </w:r>
          </w:p>
          <w:p w:rsidR="00000000" w:rsidRPr="00F71708" w:rsidP="00F71708">
            <w:pPr>
              <w:pStyle w:val="ListBullet"/>
            </w:pPr>
            <w:r w:rsidRPr="00F71708">
              <w:t>electric and hydraulic</w:t>
            </w:r>
            <w:r w:rsidRPr="00F71708">
              <w:t xml:space="preserve"> winches and windlasses</w:t>
            </w:r>
          </w:p>
          <w:p w:rsidR="00000000" w:rsidRPr="00F71708" w:rsidP="00F71708">
            <w:pPr>
              <w:pStyle w:val="ListBullet"/>
            </w:pPr>
            <w:r w:rsidRPr="00F71708">
              <w:t>legislation affecting lifting equipment</w:t>
            </w:r>
          </w:p>
          <w:p w:rsidR="00000000" w:rsidRPr="00F71708" w:rsidP="00F71708">
            <w:pPr>
              <w:pStyle w:val="ListBullet"/>
            </w:pPr>
            <w:r w:rsidRPr="00F71708">
              <w:t xml:space="preserve">lifting equipment and deck machinery </w:t>
            </w:r>
          </w:p>
          <w:p w:rsidR="00000000" w:rsidRPr="00F71708" w:rsidP="00F71708">
            <w:pPr>
              <w:pStyle w:val="ListBullet"/>
            </w:pPr>
            <w:r w:rsidRPr="00F71708">
              <w:t xml:space="preserve">machinery shutdown procedures </w:t>
            </w:r>
          </w:p>
          <w:p w:rsidR="00000000" w:rsidRPr="00F71708" w:rsidP="00F71708">
            <w:pPr>
              <w:pStyle w:val="ListBullet"/>
            </w:pPr>
            <w:r w:rsidRPr="00F71708">
              <w:t>manufacturer recommendations, regulations and vessel operating procedures</w:t>
            </w:r>
          </w:p>
          <w:p w:rsidR="00000000" w:rsidRPr="00F71708" w:rsidP="00F71708">
            <w:pPr>
              <w:pStyle w:val="ListBullet"/>
            </w:pPr>
            <w:r w:rsidRPr="00F71708">
              <w:t xml:space="preserve">operational techniques for specific location and </w:t>
            </w:r>
            <w:r w:rsidRPr="00F71708">
              <w:t>weather conditions</w:t>
            </w:r>
          </w:p>
          <w:p w:rsidR="00000000" w:rsidRPr="00F71708" w:rsidP="00F71708">
            <w:pPr>
              <w:pStyle w:val="ListBullet"/>
            </w:pPr>
            <w:r w:rsidRPr="00F71708">
              <w:t>procedures and requirements for selecting and using appropriate machinery and equipment</w:t>
            </w:r>
          </w:p>
          <w:p w:rsidR="00000000" w:rsidRPr="00F71708" w:rsidP="00F71708">
            <w:pPr>
              <w:pStyle w:val="ListBullet"/>
            </w:pPr>
            <w:r w:rsidRPr="00F71708">
              <w:t>process for maintaining workloads within manufacturer specifications</w:t>
            </w:r>
          </w:p>
          <w:p w:rsidR="00000000" w:rsidRPr="00F71708" w:rsidP="00F71708">
            <w:pPr>
              <w:pStyle w:val="ListBullet"/>
            </w:pPr>
            <w:r w:rsidRPr="00F71708">
              <w:t>stability implications as it relates to lifting gear</w:t>
            </w:r>
          </w:p>
          <w:p w:rsidR="00000000" w:rsidRPr="00F71708" w:rsidP="00F71708">
            <w:pPr>
              <w:pStyle w:val="ListBullet"/>
            </w:pPr>
            <w:r w:rsidRPr="00F71708">
              <w:t>techniques for i</w:t>
            </w:r>
            <w:r w:rsidRPr="00F71708">
              <w:t>dentifying basic faults, including:</w:t>
            </w:r>
          </w:p>
          <w:p w:rsidR="00000000" w:rsidRPr="00F71708" w:rsidP="00F71708">
            <w:pPr>
              <w:pStyle w:val="ListBullet2"/>
            </w:pPr>
            <w:r w:rsidRPr="00F71708">
              <w:t xml:space="preserve">failure of hydraulic lines </w:t>
            </w:r>
          </w:p>
          <w:p w:rsidR="00000000" w:rsidRPr="00F71708" w:rsidP="00F71708">
            <w:pPr>
              <w:pStyle w:val="ListBullet2"/>
            </w:pPr>
            <w:r w:rsidRPr="00F71708">
              <w:t>operational faults</w:t>
            </w:r>
          </w:p>
          <w:p w:rsidR="00000000" w:rsidRPr="00F71708" w:rsidP="00F71708">
            <w:pPr>
              <w:pStyle w:val="ListBullet2"/>
            </w:pPr>
            <w:r w:rsidRPr="00F71708">
              <w:t>structural failure</w:t>
            </w:r>
          </w:p>
          <w:p w:rsidR="00000000" w:rsidRPr="00F71708" w:rsidP="00F71708">
            <w:pPr>
              <w:pStyle w:val="ListBullet"/>
            </w:pPr>
            <w:r w:rsidRPr="00F71708">
              <w:t xml:space="preserve">watertight and or weather tight hatches </w:t>
            </w:r>
          </w:p>
          <w:p w:rsidR="00000000" w:rsidRPr="00F71708" w:rsidP="00F71708">
            <w:pPr>
              <w:pStyle w:val="ListBullet"/>
            </w:pPr>
            <w:r w:rsidRPr="00F71708">
              <w:t>WHS/OHS procedures, requirements and safe work practices.</w:t>
            </w:r>
          </w:p>
        </w:tc>
      </w:tr>
    </w:tbl>
    <w:p w:rsidR="00000000" w:rsidRPr="00F71708" w:rsidP="00F71708">
      <w:pPr>
        <w:pStyle w:val="NoPaddingFontSize1"/>
      </w:pPr>
    </w:p>
    <w:p w:rsidR="00000000" w:rsidRPr="00F71708" w:rsidP="00F71708">
      <w:pPr>
        <w:pStyle w:val="AllowPageBreak"/>
      </w:pPr>
    </w:p>
    <w:p w:rsidR="00000000" w:rsidRPr="00F71708" w:rsidP="00F71708">
      <w:pPr>
        <w:pStyle w:val="Heading1"/>
      </w:pPr>
      <w:bookmarkStart w:id="4" w:name="O_1284861"/>
      <w:bookmarkEnd w:id="4"/>
      <w:r w:rsidRPr="00F717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17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708" w:rsidP="00F71708">
            <w:pPr>
              <w:pStyle w:val="BodyText"/>
            </w:pPr>
            <w:r w:rsidRPr="00F71708">
              <w:t>Assessors must hold credentials specified within the Standards for Registered Training Organisations current at the time of assessment.</w:t>
            </w:r>
          </w:p>
          <w:p w:rsidR="00000000" w:rsidRPr="00F71708" w:rsidP="00F71708">
            <w:pPr>
              <w:pStyle w:val="BodyText"/>
            </w:pPr>
            <w:r w:rsidRPr="00F71708">
              <w:t>Assessment must satisfy the Principles of Assessment and Rules of Evidence and all regulatory requirements included with</w:t>
            </w:r>
            <w:r w:rsidRPr="00F71708">
              <w:t>in the Standards for Registered Training current at the time of assessment.</w:t>
            </w:r>
          </w:p>
          <w:p w:rsidR="00000000" w:rsidRPr="00F71708" w:rsidP="00F71708">
            <w:pPr>
              <w:pStyle w:val="BodyText"/>
            </w:pPr>
            <w:r w:rsidRPr="00F7170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71708" w:rsidP="00F71708">
            <w:pPr>
              <w:pStyle w:val="BodyText"/>
            </w:pPr>
            <w:r w:rsidRPr="00F71708">
              <w:t>Practical as</w:t>
            </w:r>
            <w:r w:rsidRPr="00F71708">
              <w:t>sessment must occur in a workplace, or realistic simulated workplace, under the normal range of workplace conditions.</w:t>
            </w:r>
          </w:p>
          <w:p w:rsidR="00000000" w:rsidRPr="00F71708" w:rsidP="00F71708">
            <w:pPr>
              <w:pStyle w:val="BodyText"/>
            </w:pPr>
            <w:r w:rsidRPr="00F71708">
              <w:t>Simulations and scenarios may be used where situations cannot be provided in the workplace or may occur only rarely, in particular for sit</w:t>
            </w:r>
            <w:r w:rsidRPr="00F71708">
              <w:t>uations relating to emergency procedures and adverse weather conditions where assessment would be unsafe, impractical or may lead to environmental damage.</w:t>
            </w:r>
          </w:p>
          <w:p w:rsidR="00000000" w:rsidRPr="00F71708" w:rsidP="00F71708">
            <w:pPr>
              <w:pStyle w:val="BodyText"/>
            </w:pPr>
            <w:r w:rsidRPr="00F71708">
              <w:t>Resources for assessment must include access to:</w:t>
            </w:r>
          </w:p>
          <w:p w:rsidR="00000000" w:rsidRPr="00F71708" w:rsidP="00F71708">
            <w:pPr>
              <w:pStyle w:val="ListBullet"/>
            </w:pPr>
            <w:r w:rsidRPr="00F71708">
              <w:t>applicable documentation, such as legislation, regu</w:t>
            </w:r>
            <w:r w:rsidRPr="00F71708">
              <w:t>lations, codes of practice, safety management system (SMS), workplace procedures and operational manuals</w:t>
            </w:r>
          </w:p>
          <w:p w:rsidR="00000000" w:rsidRPr="00F71708" w:rsidP="00F71708">
            <w:pPr>
              <w:pStyle w:val="ListBullet"/>
            </w:pPr>
            <w:r w:rsidRPr="00F71708">
              <w:t>a commercial vessel with inboard diesel propulsion power of greater than or equal to 150 kW or appropriate deck machinery ashore</w:t>
            </w:r>
          </w:p>
          <w:p w:rsidR="00000000" w:rsidRPr="00F71708" w:rsidP="00F71708">
            <w:pPr>
              <w:pStyle w:val="ListBullet"/>
            </w:pPr>
            <w:r w:rsidRPr="00F71708">
              <w:t>tools, equipment, mach</w:t>
            </w:r>
            <w:r w:rsidRPr="00F71708">
              <w:t xml:space="preserve">inery, materials and relevant personal protective equipment (PPE) currently used in industry. </w:t>
            </w:r>
          </w:p>
        </w:tc>
      </w:tr>
    </w:tbl>
    <w:p w:rsidR="00000000" w:rsidRPr="00F71708" w:rsidP="00F71708">
      <w:pPr>
        <w:pStyle w:val="NoPaddingFontSize1"/>
      </w:pPr>
    </w:p>
    <w:p w:rsidR="00000000" w:rsidRPr="00F71708" w:rsidP="00F71708">
      <w:pPr>
        <w:pStyle w:val="AllowPageBreak"/>
      </w:pPr>
    </w:p>
    <w:p w:rsidR="00000000" w:rsidRPr="00F71708" w:rsidP="00F71708">
      <w:pPr>
        <w:pStyle w:val="Heading1"/>
      </w:pPr>
      <w:bookmarkStart w:id="5" w:name="O_1284876"/>
      <w:bookmarkEnd w:id="5"/>
      <w:r w:rsidRPr="00F71708">
        <w:t>Links</w:t>
      </w:r>
    </w:p>
    <w:p w:rsidR="00000000" w:rsidRPr="00F71708" w:rsidP="001806B5">
      <w:pPr>
        <w:pStyle w:val="BodyText"/>
      </w:pPr>
      <w:r w:rsidRPr="00F71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4616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71708" w:rsidP="00F71708"/>
    <w:sectPr w:rsidSect="00F717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08" w:rsidRPr="001806B5" w:rsidP="00180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B5" w:rsidP="00F71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6B5" w:rsidP="00F71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806B5" w:rsidP="00F71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708" w:rsidRPr="001806B5" w:rsidP="00180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6B5" w:rsidRPr="002D2AF8" w:rsidP="00F71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MARC036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1806B5" w:rsidP="00F71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840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8A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0D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708"/>
  </w:style>
  <w:style w:type="character" w:customStyle="1" w:styleId="Heading1Char">
    <w:name w:val="Heading 1 Char"/>
    <w:basedOn w:val="DefaultParagraphFont"/>
    <w:link w:val="Heading1"/>
    <w:rsid w:val="00F71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7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708"/>
    <w:rPr>
      <w:b/>
      <w:spacing w:val="0"/>
    </w:rPr>
  </w:style>
  <w:style w:type="paragraph" w:styleId="ListBullet2">
    <w:name w:val="List Bullet 2"/>
    <w:basedOn w:val="List2"/>
    <w:rsid w:val="00F717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1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708"/>
    <w:rPr>
      <w:i/>
    </w:rPr>
  </w:style>
  <w:style w:type="paragraph" w:styleId="Caption">
    <w:name w:val="caption"/>
    <w:basedOn w:val="BodyText"/>
    <w:next w:val="Normal"/>
    <w:qFormat/>
    <w:rsid w:val="00F71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708"/>
  </w:style>
  <w:style w:type="paragraph" w:styleId="TableofFigures">
    <w:name w:val="table of figures"/>
    <w:basedOn w:val="Normal"/>
    <w:next w:val="Normal"/>
    <w:semiHidden/>
    <w:rsid w:val="00F71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7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708"/>
    <w:rPr>
      <w:rFonts w:ascii="Wingdings" w:hAnsi="Wingdings"/>
    </w:rPr>
  </w:style>
  <w:style w:type="paragraph" w:customStyle="1" w:styleId="TableHeading">
    <w:name w:val="Table Heading"/>
    <w:basedOn w:val="HeadingBase"/>
    <w:rsid w:val="00F71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708"/>
    <w:rPr>
      <w:color w:val="0033CC"/>
      <w:u w:val="none"/>
    </w:rPr>
  </w:style>
  <w:style w:type="paragraph" w:customStyle="1" w:styleId="BodyTextRight">
    <w:name w:val="Body Text Right"/>
    <w:basedOn w:val="BodyText"/>
    <w:rsid w:val="00F71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7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708"/>
    <w:rPr>
      <w:sz w:val="32"/>
    </w:rPr>
  </w:style>
  <w:style w:type="paragraph" w:customStyle="1" w:styleId="HeadingProcedure">
    <w:name w:val="Heading Procedure"/>
    <w:basedOn w:val="HeadingBase"/>
    <w:next w:val="Normal"/>
    <w:rsid w:val="00F71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708"/>
    <w:pPr>
      <w:spacing w:before="60" w:after="60"/>
    </w:pPr>
  </w:style>
  <w:style w:type="paragraph" w:styleId="ListContinue">
    <w:name w:val="List Continue"/>
    <w:basedOn w:val="List"/>
    <w:rsid w:val="00F71708"/>
    <w:pPr>
      <w:ind w:firstLine="0"/>
    </w:pPr>
  </w:style>
  <w:style w:type="paragraph" w:customStyle="1" w:styleId="ListNote">
    <w:name w:val="List Note"/>
    <w:basedOn w:val="List"/>
    <w:rsid w:val="00F71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708"/>
    <w:rPr>
      <w:rFonts w:ascii="Courier New" w:hAnsi="Courier New"/>
    </w:rPr>
  </w:style>
  <w:style w:type="paragraph" w:customStyle="1" w:styleId="NoteBullet">
    <w:name w:val="Note Bullet"/>
    <w:basedOn w:val="Note"/>
    <w:rsid w:val="00F71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708"/>
    <w:rPr>
      <w:b/>
      <w:smallCaps/>
    </w:rPr>
  </w:style>
  <w:style w:type="paragraph" w:customStyle="1" w:styleId="TableListNumber">
    <w:name w:val="Table List Number"/>
    <w:basedOn w:val="ListNumber"/>
    <w:rsid w:val="00F71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708"/>
    <w:pPr>
      <w:numPr>
        <w:numId w:val="9"/>
      </w:numPr>
    </w:pPr>
  </w:style>
  <w:style w:type="paragraph" w:customStyle="1" w:styleId="ListAlpha2">
    <w:name w:val="List Alpha 2"/>
    <w:basedOn w:val="List2"/>
    <w:rsid w:val="00F71708"/>
    <w:pPr>
      <w:numPr>
        <w:numId w:val="8"/>
      </w:numPr>
    </w:pPr>
  </w:style>
  <w:style w:type="paragraph" w:styleId="List2">
    <w:name w:val="List 2"/>
    <w:basedOn w:val="BodyText"/>
    <w:rsid w:val="00F71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7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708"/>
    <w:pPr>
      <w:numPr>
        <w:numId w:val="4"/>
      </w:numPr>
    </w:pPr>
  </w:style>
  <w:style w:type="paragraph" w:styleId="ListContinue2">
    <w:name w:val="List Continue 2"/>
    <w:basedOn w:val="List2"/>
    <w:rsid w:val="00F71708"/>
    <w:pPr>
      <w:ind w:firstLine="0"/>
    </w:pPr>
  </w:style>
  <w:style w:type="paragraph" w:styleId="ListContinue3">
    <w:name w:val="List Continue 3"/>
    <w:basedOn w:val="List3"/>
    <w:rsid w:val="00F71708"/>
    <w:pPr>
      <w:ind w:left="1021" w:firstLine="0"/>
    </w:pPr>
  </w:style>
  <w:style w:type="paragraph" w:styleId="ListContinue4">
    <w:name w:val="List Continue 4"/>
    <w:basedOn w:val="List4"/>
    <w:rsid w:val="00F71708"/>
    <w:pPr>
      <w:ind w:firstLine="0"/>
    </w:pPr>
  </w:style>
  <w:style w:type="paragraph" w:styleId="ListContinue5">
    <w:name w:val="List Continue 5"/>
    <w:basedOn w:val="List5"/>
    <w:rsid w:val="00F71708"/>
    <w:pPr>
      <w:ind w:firstLine="0"/>
    </w:pPr>
  </w:style>
  <w:style w:type="paragraph" w:styleId="ListNumber3">
    <w:name w:val="List Number 3"/>
    <w:basedOn w:val="List3"/>
    <w:rsid w:val="00F71708"/>
    <w:pPr>
      <w:numPr>
        <w:numId w:val="5"/>
      </w:numPr>
    </w:pPr>
  </w:style>
  <w:style w:type="paragraph" w:styleId="ListNumber4">
    <w:name w:val="List Number 4"/>
    <w:basedOn w:val="List4"/>
    <w:rsid w:val="00F71708"/>
    <w:pPr>
      <w:numPr>
        <w:numId w:val="6"/>
      </w:numPr>
    </w:pPr>
  </w:style>
  <w:style w:type="paragraph" w:styleId="ListNumber5">
    <w:name w:val="List Number 5"/>
    <w:basedOn w:val="List5"/>
    <w:rsid w:val="00F71708"/>
    <w:pPr>
      <w:numPr>
        <w:numId w:val="7"/>
      </w:numPr>
    </w:pPr>
  </w:style>
  <w:style w:type="paragraph" w:styleId="BlockText">
    <w:name w:val="Block Text"/>
    <w:basedOn w:val="Normal"/>
    <w:rsid w:val="00F71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708"/>
    <w:rPr>
      <w:sz w:val="16"/>
      <w:vertAlign w:val="superscript"/>
    </w:rPr>
  </w:style>
  <w:style w:type="character" w:customStyle="1" w:styleId="Symbols">
    <w:name w:val="Symbols"/>
    <w:basedOn w:val="DefaultParagraphFont"/>
    <w:rsid w:val="00F71708"/>
    <w:rPr>
      <w:rFonts w:ascii="Symbol" w:hAnsi="Symbol"/>
    </w:rPr>
  </w:style>
  <w:style w:type="character" w:customStyle="1" w:styleId="MenuOptions">
    <w:name w:val="Menu Options"/>
    <w:basedOn w:val="DefaultParagraphFont"/>
    <w:rsid w:val="00F71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708"/>
    <w:rPr>
      <w:b/>
    </w:rPr>
  </w:style>
  <w:style w:type="character" w:customStyle="1" w:styleId="Underlined">
    <w:name w:val="Underlined"/>
    <w:basedOn w:val="DefaultParagraphFont"/>
    <w:rsid w:val="00F71708"/>
    <w:rPr>
      <w:u w:val="single"/>
    </w:rPr>
  </w:style>
  <w:style w:type="paragraph" w:customStyle="1" w:styleId="TableBodyTextRight">
    <w:name w:val="Table Body Text Right"/>
    <w:basedOn w:val="TableBodyText"/>
    <w:rsid w:val="00F71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708"/>
    <w:rPr>
      <w:sz w:val="18"/>
    </w:rPr>
  </w:style>
  <w:style w:type="paragraph" w:customStyle="1" w:styleId="BodySmallRight">
    <w:name w:val="Body Small Right"/>
    <w:basedOn w:val="BodyTextRight"/>
    <w:rsid w:val="00F71708"/>
    <w:rPr>
      <w:sz w:val="18"/>
      <w:szCs w:val="18"/>
    </w:rPr>
  </w:style>
  <w:style w:type="paragraph" w:customStyle="1" w:styleId="MarginEdition">
    <w:name w:val="Margin Edition"/>
    <w:basedOn w:val="MarginNote"/>
    <w:rsid w:val="00F71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708"/>
    <w:rPr>
      <w:sz w:val="2"/>
      <w:szCs w:val="2"/>
    </w:rPr>
  </w:style>
  <w:style w:type="character" w:customStyle="1" w:styleId="Small">
    <w:name w:val="Small"/>
    <w:basedOn w:val="DefaultParagraphFont"/>
    <w:rsid w:val="00F71708"/>
    <w:rPr>
      <w:sz w:val="16"/>
    </w:rPr>
  </w:style>
  <w:style w:type="paragraph" w:customStyle="1" w:styleId="WideTable">
    <w:name w:val="Wide Table"/>
    <w:basedOn w:val="Normal"/>
    <w:rsid w:val="00F71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708"/>
  </w:style>
  <w:style w:type="paragraph" w:styleId="Quote">
    <w:name w:val="Quote"/>
    <w:basedOn w:val="Heading1"/>
    <w:link w:val="QuoteChar"/>
    <w:qFormat/>
    <w:rsid w:val="00F71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708"/>
    <w:pPr>
      <w:pageBreakBefore/>
    </w:pPr>
  </w:style>
  <w:style w:type="paragraph" w:customStyle="1" w:styleId="Border">
    <w:name w:val="Border"/>
    <w:basedOn w:val="Normal"/>
    <w:qFormat/>
    <w:rsid w:val="00F71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708"/>
    <w:rPr>
      <w:u w:val="single"/>
    </w:rPr>
  </w:style>
  <w:style w:type="character" w:customStyle="1" w:styleId="BoldandItalics">
    <w:name w:val="Bold and Italics"/>
    <w:qFormat/>
    <w:rsid w:val="00F71708"/>
    <w:rPr>
      <w:b/>
      <w:i/>
      <w:u w:val="none"/>
    </w:rPr>
  </w:style>
  <w:style w:type="paragraph" w:styleId="BalloonText">
    <w:name w:val="Balloon Text"/>
    <w:basedOn w:val="Normal"/>
    <w:link w:val="BalloonTextChar"/>
    <w:rsid w:val="00F71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708"/>
    <w:pPr>
      <w:spacing w:before="0" w:after="0"/>
    </w:pPr>
  </w:style>
  <w:style w:type="paragraph" w:customStyle="1" w:styleId="BodyTextBold">
    <w:name w:val="Body Text Bold"/>
    <w:basedOn w:val="BodyText"/>
    <w:qFormat/>
    <w:rsid w:val="00F71708"/>
    <w:rPr>
      <w:b/>
    </w:rPr>
  </w:style>
  <w:style w:type="character" w:styleId="Hyperlink">
    <w:name w:val="Hyperlink"/>
    <w:basedOn w:val="DefaultParagraphFont"/>
    <w:uiPriority w:val="99"/>
    <w:unhideWhenUsed/>
    <w:rsid w:val="00180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3465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MARC036 Operate deck machinery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2024-11-25T11:02:00Z</dcterms:created>
  <dcterms:modified xsi:type="dcterms:W3CDTF">2024-11-25T11:02:00Z</dcterms:modified>
</cp:coreProperties>
</file>