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800" w:rsidP="009D6800">
      <w:pPr>
        <w:pStyle w:val="Title"/>
      </w:pPr>
      <w:r>
        <w:fldChar w:fldCharType="begin"/>
      </w:r>
      <w:r>
        <w:instrText xml:space="preserve"> TITLE   \* MERGEFORMAT </w:instrText>
      </w:r>
      <w:r>
        <w:fldChar w:fldCharType="separate"/>
      </w:r>
      <w:r>
        <w:t>Assessment Requirements for MARC035 Operate and maintain extra low and low voltage electrical systems and equipment</w:t>
      </w:r>
      <w:r>
        <w:fldChar w:fldCharType="end"/>
      </w:r>
    </w:p>
    <w:p w:rsidR="009D6800" w:rsidP="009D6800">
      <w:pPr>
        <w:pStyle w:val="Version"/>
        <w:sectPr w:rsidSect="005A3F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F1E" w:rsidP="005A3F1E">
      <w:pPr>
        <w:pStyle w:val="SuperHeading"/>
      </w:pPr>
      <w:r w:rsidRPr="005A3F1E">
        <w:t>Assessment Requirements for MARC035 Operate and maintain extra low and low voltage electrical systems and equipment</w:t>
      </w:r>
    </w:p>
    <w:p w:rsidR="00000000" w:rsidRPr="005A3F1E" w:rsidP="005A3F1E">
      <w:pPr>
        <w:pStyle w:val="Heading1"/>
      </w:pPr>
      <w:bookmarkStart w:id="1" w:name="O_1284846"/>
      <w:bookmarkEnd w:id="1"/>
      <w:r w:rsidRPr="005A3F1E">
        <w:t>Modification History</w:t>
      </w:r>
    </w:p>
    <w:tbl>
      <w:tblPr>
        <w:tblW w:w="9497" w:type="dxa"/>
        <w:tblLayout w:type="fixed"/>
        <w:tblCellMar>
          <w:left w:w="62" w:type="dxa"/>
          <w:right w:w="62" w:type="dxa"/>
        </w:tblCellMar>
        <w:tblLook w:val="0000"/>
      </w:tblPr>
      <w:tblGrid>
        <w:gridCol w:w="9497"/>
      </w:tblGrid>
      <w:tr w:rsidTr="005A3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F1E" w:rsidP="005A3F1E">
            <w:pPr>
              <w:pStyle w:val="BodyText"/>
            </w:pPr>
            <w:r w:rsidRPr="005A3F1E">
              <w:rPr>
                <w:rStyle w:val="SpecialBold"/>
              </w:rPr>
              <w:t>Release 2</w:t>
            </w:r>
            <w:r w:rsidRPr="005A3F1E">
              <w:t>. This is the second release of this unit of competency in the MAR Maritime Training Package.</w:t>
            </w:r>
          </w:p>
          <w:p w:rsidR="00000000" w:rsidRPr="005A3F1E" w:rsidP="005A3F1E">
            <w:pPr>
              <w:pStyle w:val="ListBullet"/>
            </w:pPr>
            <w:r w:rsidRPr="005A3F1E">
              <w:t>Minor statement changes in unit Application</w:t>
            </w:r>
          </w:p>
          <w:p w:rsidR="00000000" w:rsidRPr="005A3F1E" w:rsidP="005A3F1E">
            <w:pPr>
              <w:pStyle w:val="ListBullet"/>
            </w:pPr>
            <w:r w:rsidRPr="005A3F1E">
              <w:t>Minor changes and removed duplication in Performance Evidence</w:t>
            </w:r>
          </w:p>
          <w:p w:rsidR="00000000" w:rsidRPr="005A3F1E" w:rsidP="005A3F1E">
            <w:pPr>
              <w:pStyle w:val="ListBullet"/>
            </w:pPr>
            <w:r w:rsidRPr="005A3F1E">
              <w:t>Minor changes and removed duplication in Knowledge Evid</w:t>
            </w:r>
            <w:r w:rsidRPr="005A3F1E">
              <w:t>ence</w:t>
            </w:r>
          </w:p>
          <w:p w:rsidR="00000000" w:rsidP="005A3F1E">
            <w:pPr>
              <w:pStyle w:val="ListBullet"/>
              <w:rPr>
                <w:lang w:val="en-NZ"/>
              </w:rPr>
            </w:pPr>
            <w:r w:rsidRPr="005A3F1E">
              <w:t>Minor statement changes in Assessment Conditions.</w:t>
            </w:r>
          </w:p>
        </w:tc>
      </w:tr>
      <w:tr w:rsidTr="005A3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F1E" w:rsidP="005A3F1E">
            <w:pPr>
              <w:pStyle w:val="BodyText"/>
            </w:pPr>
            <w:r w:rsidRPr="005A3F1E">
              <w:rPr>
                <w:rStyle w:val="SpecialBold"/>
              </w:rPr>
              <w:t>Release 1</w:t>
            </w:r>
            <w:r w:rsidRPr="005A3F1E">
              <w:t xml:space="preserve">. New unit of competency. Licensing/regulatory information has been incorporated in accordance with Regulatory requirements. Assessment Requirements have been strengthened in accordance with </w:t>
            </w:r>
            <w:r w:rsidRPr="005A3F1E">
              <w:t>Regulatory requirements.</w:t>
            </w:r>
          </w:p>
        </w:tc>
      </w:tr>
    </w:tbl>
    <w:p w:rsidR="00000000" w:rsidRPr="005A3F1E" w:rsidP="005A3F1E">
      <w:pPr>
        <w:pStyle w:val="NoPaddingFontSize1"/>
      </w:pPr>
    </w:p>
    <w:p w:rsidR="00000000" w:rsidRPr="005A3F1E" w:rsidP="005A3F1E">
      <w:pPr>
        <w:pStyle w:val="AllowPageBreak"/>
      </w:pPr>
    </w:p>
    <w:p w:rsidR="00000000" w:rsidRPr="005A3F1E" w:rsidP="005A3F1E">
      <w:pPr>
        <w:pStyle w:val="Heading1"/>
      </w:pPr>
      <w:bookmarkStart w:id="2" w:name="O_1284845"/>
      <w:bookmarkEnd w:id="2"/>
      <w:r w:rsidRPr="005A3F1E">
        <w:t>Performance Evidence</w:t>
      </w:r>
    </w:p>
    <w:tbl>
      <w:tblPr>
        <w:tblW w:w="9497" w:type="dxa"/>
        <w:tblLayout w:type="fixed"/>
        <w:tblCellMar>
          <w:left w:w="62" w:type="dxa"/>
          <w:right w:w="62" w:type="dxa"/>
        </w:tblCellMar>
        <w:tblLook w:val="0000"/>
      </w:tblPr>
      <w:tblGrid>
        <w:gridCol w:w="9497"/>
      </w:tblGrid>
      <w:tr w:rsidTr="005A3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F1E" w:rsidP="005A3F1E">
            <w:pPr>
              <w:pStyle w:val="BodyText"/>
            </w:pPr>
            <w:r w:rsidRPr="005A3F1E">
              <w:t>Evidence required to demonstrate competence in this unit must be relevant to and satisfy all of the requirements of the elements and performance criteria on at least one occasion and includ</w:t>
            </w:r>
            <w:r w:rsidRPr="005A3F1E">
              <w:t>e:</w:t>
            </w:r>
          </w:p>
          <w:p w:rsidR="00000000" w:rsidRPr="005A3F1E" w:rsidP="005A3F1E">
            <w:pPr>
              <w:pStyle w:val="ListBullet"/>
            </w:pPr>
            <w:r w:rsidRPr="005A3F1E">
              <w:t>completing maintenance or fault reports in accordance with vessel workplace procedures</w:t>
            </w:r>
          </w:p>
          <w:p w:rsidR="00000000" w:rsidRPr="005A3F1E" w:rsidP="005A3F1E">
            <w:pPr>
              <w:pStyle w:val="ListBullet"/>
            </w:pPr>
            <w:r w:rsidRPr="005A3F1E">
              <w:t>connecting and disconnecting shore power including:</w:t>
            </w:r>
          </w:p>
          <w:p w:rsidR="00000000" w:rsidRPr="005A3F1E" w:rsidP="005A3F1E">
            <w:pPr>
              <w:pStyle w:val="ListBullet2"/>
            </w:pPr>
            <w:r w:rsidRPr="005A3F1E">
              <w:t>single phase</w:t>
            </w:r>
          </w:p>
          <w:p w:rsidR="00000000" w:rsidRPr="005A3F1E" w:rsidP="005A3F1E">
            <w:pPr>
              <w:pStyle w:val="ListBullet2"/>
            </w:pPr>
            <w:r w:rsidRPr="005A3F1E">
              <w:t>three phase</w:t>
            </w:r>
          </w:p>
          <w:p w:rsidR="00000000" w:rsidRPr="005A3F1E" w:rsidP="005A3F1E">
            <w:pPr>
              <w:pStyle w:val="ListBullet2"/>
            </w:pPr>
            <w:r w:rsidRPr="005A3F1E">
              <w:t>changing incoming phase rotation using on-board switching equipment</w:t>
            </w:r>
          </w:p>
          <w:p w:rsidR="00000000" w:rsidRPr="005A3F1E" w:rsidP="005A3F1E">
            <w:pPr>
              <w:pStyle w:val="ListBullet"/>
            </w:pPr>
            <w:r w:rsidRPr="005A3F1E">
              <w:t>implementing safe and environmentally responsible work practices in testing and maintenance activities including the use of personal protective equipment (PPE)</w:t>
            </w:r>
          </w:p>
          <w:p w:rsidR="00000000" w:rsidRPr="005A3F1E" w:rsidP="005A3F1E">
            <w:pPr>
              <w:pStyle w:val="ListBullet"/>
            </w:pPr>
            <w:r w:rsidRPr="005A3F1E">
              <w:t>locating, interpreting and applying manufacturer specifications for electrical systems and equip</w:t>
            </w:r>
            <w:r w:rsidRPr="005A3F1E">
              <w:t>ment</w:t>
            </w:r>
          </w:p>
          <w:p w:rsidR="00000000" w:rsidRPr="005A3F1E" w:rsidP="005A3F1E">
            <w:pPr>
              <w:pStyle w:val="ListBullet"/>
            </w:pPr>
            <w:r w:rsidRPr="005A3F1E">
              <w:t>operating electrical systems and conducting operator preventive maintenance according to manufacturer recommendations, regulations and workplace procedures to ensure safe operation</w:t>
            </w:r>
          </w:p>
          <w:p w:rsidR="00000000" w:rsidRPr="005A3F1E" w:rsidP="005A3F1E">
            <w:pPr>
              <w:pStyle w:val="ListBullet"/>
            </w:pPr>
            <w:r w:rsidRPr="005A3F1E">
              <w:t>recognising and rectifying electrical system faults and, where necessa</w:t>
            </w:r>
            <w:r w:rsidRPr="005A3F1E">
              <w:t>ry, taking steps to make them immediately safe, including:</w:t>
            </w:r>
          </w:p>
          <w:p w:rsidR="00000000" w:rsidRPr="005A3F1E" w:rsidP="005A3F1E">
            <w:pPr>
              <w:pStyle w:val="ListBullet2"/>
            </w:pPr>
            <w:r w:rsidRPr="005A3F1E">
              <w:t>battery faults</w:t>
            </w:r>
          </w:p>
          <w:p w:rsidR="00000000" w:rsidRPr="005A3F1E" w:rsidP="005A3F1E">
            <w:pPr>
              <w:pStyle w:val="ListBullet2"/>
            </w:pPr>
            <w:r w:rsidRPr="005A3F1E">
              <w:t xml:space="preserve">failure of alternators </w:t>
            </w:r>
          </w:p>
          <w:p w:rsidR="00000000" w:rsidRPr="005A3F1E" w:rsidP="005A3F1E">
            <w:pPr>
              <w:pStyle w:val="ListBullet2"/>
            </w:pPr>
            <w:r w:rsidRPr="005A3F1E">
              <w:t>failure of starter motors</w:t>
            </w:r>
          </w:p>
          <w:p w:rsidR="00000000" w:rsidRPr="005A3F1E" w:rsidP="005A3F1E">
            <w:pPr>
              <w:pStyle w:val="ListBullet2"/>
            </w:pPr>
            <w:r w:rsidRPr="005A3F1E">
              <w:t>performing isolation, lock out or tag out procedures</w:t>
            </w:r>
          </w:p>
          <w:p w:rsidR="00000000" w:rsidRPr="005A3F1E" w:rsidP="005A3F1E">
            <w:pPr>
              <w:pStyle w:val="ListBullet2"/>
            </w:pPr>
            <w:r w:rsidRPr="005A3F1E">
              <w:t>replacing fuses</w:t>
            </w:r>
          </w:p>
          <w:p w:rsidR="00000000" w:rsidRPr="005A3F1E" w:rsidP="005A3F1E">
            <w:pPr>
              <w:pStyle w:val="ListBullet2"/>
            </w:pPr>
            <w:r w:rsidRPr="005A3F1E">
              <w:t xml:space="preserve">testing battery voltage and specific gravity </w:t>
            </w:r>
          </w:p>
          <w:p w:rsidR="00000000" w:rsidRPr="005A3F1E" w:rsidP="005A3F1E">
            <w:pPr>
              <w:pStyle w:val="ListBullet2"/>
            </w:pPr>
            <w:r w:rsidRPr="005A3F1E">
              <w:t>testing</w:t>
            </w:r>
            <w:r w:rsidRPr="005A3F1E">
              <w:t xml:space="preserve"> charging system voltage output</w:t>
            </w:r>
          </w:p>
          <w:p w:rsidR="00000000" w:rsidRPr="005A3F1E" w:rsidP="005A3F1E">
            <w:pPr>
              <w:pStyle w:val="ListBullet2"/>
            </w:pPr>
            <w:r w:rsidRPr="005A3F1E">
              <w:t xml:space="preserve">topping up battery electrolyte levels </w:t>
            </w:r>
          </w:p>
          <w:p w:rsidR="00000000" w:rsidRPr="005A3F1E" w:rsidP="005A3F1E">
            <w:pPr>
              <w:pStyle w:val="ListBullet"/>
            </w:pPr>
            <w:r w:rsidRPr="005A3F1E">
              <w:t>selecting and using appropriate processes, tools and equipment.</w:t>
            </w:r>
          </w:p>
        </w:tc>
      </w:tr>
    </w:tbl>
    <w:p w:rsidR="00000000" w:rsidRPr="005A3F1E" w:rsidP="005A3F1E">
      <w:pPr>
        <w:pStyle w:val="NoPaddingFontSize1"/>
      </w:pPr>
    </w:p>
    <w:p w:rsidR="00000000" w:rsidRPr="005A3F1E" w:rsidP="005A3F1E">
      <w:pPr>
        <w:pStyle w:val="AllowPageBreak"/>
      </w:pPr>
    </w:p>
    <w:p w:rsidR="00000000" w:rsidRPr="005A3F1E" w:rsidP="005A3F1E">
      <w:pPr>
        <w:pStyle w:val="Heading1"/>
      </w:pPr>
      <w:bookmarkStart w:id="3" w:name="O_1284844"/>
      <w:bookmarkEnd w:id="3"/>
      <w:r w:rsidRPr="005A3F1E">
        <w:t>Knowledge Evidence</w:t>
      </w:r>
    </w:p>
    <w:tbl>
      <w:tblPr>
        <w:tblW w:w="9497" w:type="dxa"/>
        <w:tblLayout w:type="fixed"/>
        <w:tblCellMar>
          <w:left w:w="62" w:type="dxa"/>
          <w:right w:w="62" w:type="dxa"/>
        </w:tblCellMar>
        <w:tblLook w:val="0000"/>
      </w:tblPr>
      <w:tblGrid>
        <w:gridCol w:w="9497"/>
      </w:tblGrid>
      <w:tr w:rsidTr="005A3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F1E" w:rsidP="005A3F1E">
            <w:pPr>
              <w:pStyle w:val="BodyText"/>
            </w:pPr>
            <w:r w:rsidRPr="005A3F1E">
              <w:t>Evidence required to demonstrate competence in this unit must be relevant to and</w:t>
            </w:r>
            <w:r w:rsidRPr="005A3F1E">
              <w:t xml:space="preserve"> satisfy all of the requirements of the elements and performance criteria and include knowledge of:</w:t>
            </w:r>
          </w:p>
          <w:p w:rsidR="00000000" w:rsidRPr="005A3F1E" w:rsidP="005A3F1E">
            <w:pPr>
              <w:pStyle w:val="ListBullet"/>
            </w:pPr>
            <w:r w:rsidRPr="005A3F1E">
              <w:t>basic care and fault recognition of electrical systems and equipment</w:t>
            </w:r>
          </w:p>
          <w:p w:rsidR="00000000" w:rsidRPr="005A3F1E" w:rsidP="005A3F1E">
            <w:pPr>
              <w:pStyle w:val="ListBullet"/>
            </w:pPr>
            <w:r w:rsidRPr="005A3F1E">
              <w:t>batteries:</w:t>
            </w:r>
          </w:p>
          <w:p w:rsidR="00000000" w:rsidRPr="005A3F1E" w:rsidP="005A3F1E">
            <w:pPr>
              <w:pStyle w:val="ListBullet2"/>
            </w:pPr>
            <w:r w:rsidRPr="005A3F1E">
              <w:t>care and maintenance</w:t>
            </w:r>
          </w:p>
          <w:p w:rsidR="00000000" w:rsidRPr="005A3F1E" w:rsidP="005A3F1E">
            <w:pPr>
              <w:pStyle w:val="ListBullet2"/>
            </w:pPr>
            <w:r w:rsidRPr="005A3F1E">
              <w:t>hazards</w:t>
            </w:r>
          </w:p>
          <w:p w:rsidR="00000000" w:rsidRPr="005A3F1E" w:rsidP="005A3F1E">
            <w:pPr>
              <w:pStyle w:val="ListBullet2"/>
            </w:pPr>
            <w:r w:rsidRPr="005A3F1E">
              <w:t>methods of connecting batteries</w:t>
            </w:r>
          </w:p>
          <w:p w:rsidR="00000000" w:rsidRPr="005A3F1E" w:rsidP="005A3F1E">
            <w:pPr>
              <w:pStyle w:val="ListBullet2"/>
            </w:pPr>
            <w:r w:rsidRPr="005A3F1E">
              <w:t>types</w:t>
            </w:r>
          </w:p>
          <w:p w:rsidR="00000000" w:rsidRPr="005A3F1E" w:rsidP="005A3F1E">
            <w:pPr>
              <w:pStyle w:val="ListBullet"/>
            </w:pPr>
            <w:r w:rsidRPr="005A3F1E">
              <w:t>charging systems:</w:t>
            </w:r>
          </w:p>
          <w:p w:rsidR="00000000" w:rsidRPr="005A3F1E" w:rsidP="005A3F1E">
            <w:pPr>
              <w:pStyle w:val="ListBullet2"/>
            </w:pPr>
            <w:r w:rsidRPr="005A3F1E">
              <w:t xml:space="preserve">alarms or indicators </w:t>
            </w:r>
          </w:p>
          <w:p w:rsidR="00000000" w:rsidRPr="005A3F1E" w:rsidP="005A3F1E">
            <w:pPr>
              <w:pStyle w:val="ListBullet2"/>
            </w:pPr>
            <w:r w:rsidRPr="005A3F1E">
              <w:t>regulators</w:t>
            </w:r>
          </w:p>
          <w:p w:rsidR="00000000" w:rsidRPr="005A3F1E" w:rsidP="005A3F1E">
            <w:pPr>
              <w:pStyle w:val="ListBullet"/>
            </w:pPr>
            <w:r w:rsidRPr="005A3F1E">
              <w:t>extra low and low voltage electrical systems including:</w:t>
            </w:r>
          </w:p>
          <w:p w:rsidR="00000000" w:rsidRPr="005A3F1E" w:rsidP="005A3F1E">
            <w:pPr>
              <w:pStyle w:val="ListBullet2"/>
            </w:pPr>
            <w:r w:rsidRPr="005A3F1E">
              <w:t>basic care</w:t>
            </w:r>
          </w:p>
          <w:p w:rsidR="00000000" w:rsidRPr="005A3F1E" w:rsidP="005A3F1E">
            <w:pPr>
              <w:pStyle w:val="ListBullet2"/>
            </w:pPr>
            <w:r w:rsidRPr="005A3F1E">
              <w:t>extra low voltage (ELV) systems are those not exceeding 50 Volts alternating current (AC) or 120 Volts direct current (DC)</w:t>
            </w:r>
          </w:p>
          <w:p w:rsidR="00000000" w:rsidRPr="005A3F1E" w:rsidP="005A3F1E">
            <w:pPr>
              <w:pStyle w:val="ListBullet2"/>
            </w:pPr>
            <w:r w:rsidRPr="005A3F1E">
              <w:t xml:space="preserve">low voltage </w:t>
            </w:r>
            <w:r w:rsidRPr="005A3F1E">
              <w:t>systems are those not exceeding 1,000 Volts AC or 1,500 Volts DC</w:t>
            </w:r>
          </w:p>
          <w:p w:rsidR="00000000" w:rsidRPr="005A3F1E" w:rsidP="005A3F1E">
            <w:pPr>
              <w:pStyle w:val="ListBullet2"/>
            </w:pPr>
            <w:r w:rsidRPr="005A3F1E">
              <w:t>motors and common equipment</w:t>
            </w:r>
          </w:p>
          <w:p w:rsidR="00000000" w:rsidRPr="005A3F1E" w:rsidP="005A3F1E">
            <w:pPr>
              <w:pStyle w:val="ListBullet2"/>
            </w:pPr>
            <w:r w:rsidRPr="005A3F1E">
              <w:t>relationship between Voltage, Amperage and Power</w:t>
            </w:r>
          </w:p>
          <w:p w:rsidR="00000000" w:rsidRPr="005A3F1E" w:rsidP="005A3F1E">
            <w:pPr>
              <w:pStyle w:val="ListBullet2"/>
            </w:pPr>
            <w:r w:rsidRPr="005A3F1E">
              <w:t>switchboards and cables</w:t>
            </w:r>
          </w:p>
          <w:p w:rsidR="00000000" w:rsidRPr="005A3F1E" w:rsidP="005A3F1E">
            <w:pPr>
              <w:pStyle w:val="ListBullet"/>
            </w:pPr>
            <w:r w:rsidRPr="005A3F1E">
              <w:t xml:space="preserve">how to recognise and rectify electrical system faults and, where necessary, steps to </w:t>
            </w:r>
            <w:r w:rsidRPr="005A3F1E">
              <w:t>make them immediately safe, including:</w:t>
            </w:r>
          </w:p>
          <w:p w:rsidR="00000000" w:rsidRPr="005A3F1E" w:rsidP="005A3F1E">
            <w:pPr>
              <w:pStyle w:val="ListBullet2"/>
            </w:pPr>
            <w:r w:rsidRPr="005A3F1E">
              <w:t>battery faults</w:t>
            </w:r>
          </w:p>
          <w:p w:rsidR="00000000" w:rsidRPr="005A3F1E" w:rsidP="005A3F1E">
            <w:pPr>
              <w:pStyle w:val="ListBullet2"/>
            </w:pPr>
            <w:r w:rsidRPr="005A3F1E">
              <w:t xml:space="preserve">failure of alternators </w:t>
            </w:r>
          </w:p>
          <w:p w:rsidR="00000000" w:rsidRPr="005A3F1E" w:rsidP="005A3F1E">
            <w:pPr>
              <w:pStyle w:val="ListBullet2"/>
            </w:pPr>
            <w:r w:rsidRPr="005A3F1E">
              <w:t>failure of starter motors</w:t>
            </w:r>
          </w:p>
          <w:p w:rsidR="00000000" w:rsidRPr="005A3F1E" w:rsidP="005A3F1E">
            <w:pPr>
              <w:pStyle w:val="ListBullet2"/>
            </w:pPr>
            <w:r w:rsidRPr="005A3F1E">
              <w:t xml:space="preserve">faults with shore power connections including phase rotations using on-board switching equipment </w:t>
            </w:r>
          </w:p>
          <w:p w:rsidR="00000000" w:rsidRPr="005A3F1E" w:rsidP="005A3F1E">
            <w:pPr>
              <w:pStyle w:val="ListBullet2"/>
            </w:pPr>
            <w:r w:rsidRPr="005A3F1E">
              <w:t>blown fuses</w:t>
            </w:r>
          </w:p>
          <w:p w:rsidR="00000000" w:rsidRPr="005A3F1E" w:rsidP="005A3F1E">
            <w:pPr>
              <w:pStyle w:val="ListBullet2"/>
            </w:pPr>
            <w:r w:rsidRPr="005A3F1E">
              <w:t>tripping circuit breakers</w:t>
            </w:r>
          </w:p>
          <w:p w:rsidR="00000000" w:rsidRPr="005A3F1E" w:rsidP="005A3F1E">
            <w:pPr>
              <w:pStyle w:val="ListBullet"/>
            </w:pPr>
            <w:r w:rsidRPr="005A3F1E">
              <w:t>protective dev</w:t>
            </w:r>
            <w:r w:rsidRPr="005A3F1E">
              <w:t>ices on switchboards including:</w:t>
            </w:r>
          </w:p>
          <w:p w:rsidR="00000000" w:rsidRPr="005A3F1E" w:rsidP="005A3F1E">
            <w:pPr>
              <w:pStyle w:val="ListBullet2"/>
            </w:pPr>
            <w:r w:rsidRPr="005A3F1E">
              <w:t>selection of correct capacity</w:t>
            </w:r>
          </w:p>
          <w:p w:rsidR="00000000" w:rsidRPr="005A3F1E" w:rsidP="005A3F1E">
            <w:pPr>
              <w:pStyle w:val="ListBullet2"/>
            </w:pPr>
            <w:r w:rsidRPr="005A3F1E">
              <w:t>use of fuses and circuit breakers</w:t>
            </w:r>
          </w:p>
          <w:p w:rsidR="00000000" w:rsidRPr="005A3F1E" w:rsidP="005A3F1E">
            <w:pPr>
              <w:pStyle w:val="ListBullet"/>
            </w:pPr>
            <w:r w:rsidRPr="005A3F1E">
              <w:t>relevant state/territory training and qualification requirements for carrying out installation, maintenance and/or repair of electrical systems and equipment</w:t>
            </w:r>
          </w:p>
          <w:p w:rsidR="00000000" w:rsidRPr="005A3F1E" w:rsidP="005A3F1E">
            <w:pPr>
              <w:pStyle w:val="ListBullet"/>
            </w:pPr>
            <w:r w:rsidRPr="005A3F1E">
              <w:t>reporting and recording of faults and maintenance workplace procedures</w:t>
            </w:r>
          </w:p>
          <w:p w:rsidR="00000000" w:rsidRPr="005A3F1E" w:rsidP="005A3F1E">
            <w:pPr>
              <w:pStyle w:val="ListBullet"/>
            </w:pPr>
            <w:r w:rsidRPr="005A3F1E">
              <w:t>shore power connection includes:</w:t>
            </w:r>
          </w:p>
          <w:p w:rsidR="00000000" w:rsidRPr="005A3F1E" w:rsidP="005A3F1E">
            <w:pPr>
              <w:pStyle w:val="ListBullet2"/>
            </w:pPr>
            <w:r w:rsidRPr="005A3F1E">
              <w:t>single phase</w:t>
            </w:r>
          </w:p>
          <w:p w:rsidR="00000000" w:rsidRPr="005A3F1E" w:rsidP="005A3F1E">
            <w:pPr>
              <w:pStyle w:val="ListBullet2"/>
            </w:pPr>
            <w:r w:rsidRPr="005A3F1E">
              <w:t>three phase</w:t>
            </w:r>
          </w:p>
          <w:p w:rsidR="00000000" w:rsidRPr="005A3F1E" w:rsidP="005A3F1E">
            <w:pPr>
              <w:pStyle w:val="ListBullet2"/>
            </w:pPr>
            <w:r w:rsidRPr="005A3F1E">
              <w:t>changing incoming phase rotation using on-board switching equipment</w:t>
            </w:r>
          </w:p>
          <w:p w:rsidR="00000000" w:rsidRPr="005A3F1E" w:rsidP="005A3F1E">
            <w:pPr>
              <w:pStyle w:val="ListBullet"/>
            </w:pPr>
            <w:r w:rsidRPr="005A3F1E">
              <w:t>starter motors, alternators and associated equipment:</w:t>
            </w:r>
          </w:p>
          <w:p w:rsidR="00000000" w:rsidRPr="005A3F1E" w:rsidP="005A3F1E">
            <w:pPr>
              <w:pStyle w:val="ListBullet2"/>
            </w:pPr>
            <w:r w:rsidRPr="005A3F1E">
              <w:t>ma</w:t>
            </w:r>
            <w:r w:rsidRPr="005A3F1E">
              <w:t>intenance</w:t>
            </w:r>
          </w:p>
          <w:p w:rsidR="00000000" w:rsidRPr="005A3F1E" w:rsidP="005A3F1E">
            <w:pPr>
              <w:pStyle w:val="ListBullet2"/>
            </w:pPr>
            <w:r w:rsidRPr="005A3F1E">
              <w:t>operation</w:t>
            </w:r>
          </w:p>
          <w:p w:rsidR="00000000" w:rsidRPr="005A3F1E" w:rsidP="005A3F1E">
            <w:pPr>
              <w:pStyle w:val="ListBullet"/>
            </w:pPr>
            <w:r w:rsidRPr="005A3F1E">
              <w:t>work health and safety (WHS)/occupational health and safety (OHS) requirements and work practices.</w:t>
            </w:r>
          </w:p>
        </w:tc>
      </w:tr>
    </w:tbl>
    <w:p w:rsidR="00000000" w:rsidRPr="005A3F1E" w:rsidP="005A3F1E">
      <w:pPr>
        <w:pStyle w:val="NoPaddingFontSize1"/>
      </w:pPr>
    </w:p>
    <w:p w:rsidR="00000000" w:rsidRPr="005A3F1E" w:rsidP="005A3F1E">
      <w:pPr>
        <w:pStyle w:val="AllowPageBreak"/>
      </w:pPr>
    </w:p>
    <w:p w:rsidR="00000000" w:rsidRPr="005A3F1E" w:rsidP="005A3F1E">
      <w:pPr>
        <w:pStyle w:val="Heading1"/>
      </w:pPr>
      <w:bookmarkStart w:id="4" w:name="O_1284843"/>
      <w:bookmarkEnd w:id="4"/>
      <w:r w:rsidRPr="005A3F1E">
        <w:t>Assessment Conditions</w:t>
      </w:r>
    </w:p>
    <w:tbl>
      <w:tblPr>
        <w:tblW w:w="9497" w:type="dxa"/>
        <w:tblLayout w:type="fixed"/>
        <w:tblCellMar>
          <w:left w:w="62" w:type="dxa"/>
          <w:right w:w="62" w:type="dxa"/>
        </w:tblCellMar>
        <w:tblLook w:val="0000"/>
      </w:tblPr>
      <w:tblGrid>
        <w:gridCol w:w="9497"/>
      </w:tblGrid>
      <w:tr w:rsidTr="005A3F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3F1E" w:rsidP="005A3F1E">
            <w:pPr>
              <w:pStyle w:val="BodyText"/>
            </w:pPr>
            <w:r w:rsidRPr="005A3F1E">
              <w:t>Assessors must hold credentials specified within the Standards for Registered Training Organisations current at the time of assessment.</w:t>
            </w:r>
          </w:p>
          <w:p w:rsidR="00000000" w:rsidRPr="005A3F1E" w:rsidP="005A3F1E">
            <w:pPr>
              <w:pStyle w:val="BodyText"/>
            </w:pPr>
            <w:r w:rsidRPr="005A3F1E">
              <w:t>Assessment must satisfy the Principles of Assessment and Rules of Evidence and all regulatory requirements included with</w:t>
            </w:r>
            <w:r w:rsidRPr="005A3F1E">
              <w:t>in the Standards for Registered Training current at the time of assessment.</w:t>
            </w:r>
          </w:p>
          <w:p w:rsidR="00000000" w:rsidRPr="005A3F1E" w:rsidP="005A3F1E">
            <w:pPr>
              <w:pStyle w:val="BodyText"/>
            </w:pPr>
            <w:r w:rsidRPr="005A3F1E">
              <w:t>Assessment processes and techniques must be appropriate to the language, literacy and numeracy requirements of the work being performed and the needs of the candidate.</w:t>
            </w:r>
          </w:p>
          <w:p w:rsidR="00000000" w:rsidRPr="005A3F1E" w:rsidP="005A3F1E">
            <w:pPr>
              <w:pStyle w:val="BodyText"/>
            </w:pPr>
            <w:r w:rsidRPr="005A3F1E">
              <w:t>Practical as</w:t>
            </w:r>
            <w:r w:rsidRPr="005A3F1E">
              <w:t>sessment must occur in a workplace, or realistic simulated workplace, under the normal range of workplace conditions.</w:t>
            </w:r>
          </w:p>
          <w:p w:rsidR="00000000" w:rsidRPr="005A3F1E" w:rsidP="005A3F1E">
            <w:pPr>
              <w:pStyle w:val="BodyText"/>
            </w:pPr>
            <w:r w:rsidRPr="005A3F1E">
              <w:t>Simulations and scenarios may be used where situations cannot be provided in the workplace or may occur only rarely, in particular for sit</w:t>
            </w:r>
            <w:r w:rsidRPr="005A3F1E">
              <w:t>uations relating to emergency procedures and adverse weather conditions where assessment would be unsafe, impractical or may lead to environmental damage.</w:t>
            </w:r>
          </w:p>
          <w:p w:rsidR="00000000" w:rsidRPr="005A3F1E" w:rsidP="005A3F1E">
            <w:pPr>
              <w:pStyle w:val="BodyText"/>
            </w:pPr>
            <w:r w:rsidRPr="005A3F1E">
              <w:t>Resources for assessment must include access to:</w:t>
            </w:r>
          </w:p>
          <w:p w:rsidR="00000000" w:rsidRPr="005A3F1E" w:rsidP="005A3F1E">
            <w:pPr>
              <w:pStyle w:val="ListBullet"/>
            </w:pPr>
            <w:r w:rsidRPr="005A3F1E">
              <w:t>applicable documentation, such as legislation, regu</w:t>
            </w:r>
            <w:r w:rsidRPr="005A3F1E">
              <w:t xml:space="preserve">lations, codes of practice, workplace procedures and operational manuals </w:t>
            </w:r>
          </w:p>
          <w:p w:rsidR="00000000" w:rsidRPr="005A3F1E" w:rsidP="005A3F1E">
            <w:pPr>
              <w:pStyle w:val="ListBullet"/>
            </w:pPr>
            <w:r w:rsidRPr="005A3F1E">
              <w:t>a commercial vessel with inboard diesel propulsion power of greater than or equal to 150 kW or appropriate engine, propulsion plant, and auxiliary equipment with low and extra low vo</w:t>
            </w:r>
            <w:r w:rsidRPr="005A3F1E">
              <w:t>ltage (ELV) electrical systems ashore</w:t>
            </w:r>
          </w:p>
          <w:p w:rsidR="00000000" w:rsidRPr="005A3F1E" w:rsidP="005A3F1E">
            <w:pPr>
              <w:pStyle w:val="ListBullet"/>
            </w:pPr>
            <w:r w:rsidRPr="005A3F1E">
              <w:t>tools, equipment, machinery, materials and relevant PPE currently used in industry.</w:t>
            </w:r>
          </w:p>
        </w:tc>
      </w:tr>
    </w:tbl>
    <w:p w:rsidR="00000000" w:rsidRPr="005A3F1E" w:rsidP="005A3F1E">
      <w:pPr>
        <w:pStyle w:val="NoPaddingFontSize1"/>
      </w:pPr>
    </w:p>
    <w:p w:rsidR="00000000" w:rsidRPr="005A3F1E" w:rsidP="005A3F1E">
      <w:pPr>
        <w:pStyle w:val="AllowPageBreak"/>
      </w:pPr>
    </w:p>
    <w:p w:rsidR="00000000" w:rsidRPr="005A3F1E" w:rsidP="005A3F1E">
      <w:pPr>
        <w:pStyle w:val="Heading1"/>
      </w:pPr>
      <w:bookmarkStart w:id="5" w:name="O_1284858"/>
      <w:bookmarkEnd w:id="5"/>
      <w:r w:rsidRPr="005A3F1E">
        <w:t>Links</w:t>
      </w:r>
    </w:p>
    <w:p w:rsidR="00000000" w:rsidRPr="005A3F1E" w:rsidP="009D6800">
      <w:pPr>
        <w:pStyle w:val="BodyText"/>
      </w:pPr>
      <w:r w:rsidRPr="005A3F1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14932">
        <w:rPr>
          <w:rStyle w:val="Hyperlink"/>
        </w:rPr>
        <w:t>https://vetnet.gov.au/Pages/TrainingDocs.aspx?q=772efb7b-4cce-47fe-9bbd-ee3b1d1eb4c2</w:t>
      </w:r>
      <w:r>
        <w:fldChar w:fldCharType="end"/>
      </w:r>
    </w:p>
    <w:p w:rsidR="00000000" w:rsidRPr="005A3F1E" w:rsidP="005A3F1E"/>
    <w:sectPr w:rsidSect="005A3F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1E" w:rsidRPr="009D6800" w:rsidP="009D6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00" w:rsidP="005A3F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800" w:rsidP="005A3F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D6800" w:rsidP="005A3F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F1E" w:rsidRPr="009D6800" w:rsidP="009D6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F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800" w:rsidRPr="002D2AF8" w:rsidP="005A3F1E">
    <w:pPr>
      <w:pStyle w:val="Header"/>
      <w:framePr w:wrap="around"/>
    </w:pPr>
    <w:r>
      <w:fldChar w:fldCharType="begin"/>
    </w:r>
    <w:r>
      <w:instrText xml:space="preserve"> TITLE   \* MERGEFORMAT </w:instrText>
    </w:r>
    <w:r>
      <w:fldChar w:fldCharType="separate"/>
    </w:r>
    <w:r>
      <w:t>Assessment Requirements for MARC035 Operate and maintain extra low and low voltage electrical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9D6800" w:rsidP="005A3F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0E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22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A7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F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F1E"/>
    <w:pPr>
      <w:spacing w:before="360" w:after="60"/>
      <w:outlineLvl w:val="0"/>
    </w:pPr>
    <w:rPr>
      <w:sz w:val="32"/>
    </w:rPr>
  </w:style>
  <w:style w:type="paragraph" w:styleId="Heading2">
    <w:name w:val="heading 2"/>
    <w:basedOn w:val="HeadingBase"/>
    <w:next w:val="BodyText"/>
    <w:link w:val="Heading2Char"/>
    <w:qFormat/>
    <w:rsid w:val="005A3F1E"/>
    <w:pPr>
      <w:keepLines/>
      <w:spacing w:before="240" w:after="120"/>
      <w:outlineLvl w:val="1"/>
    </w:pPr>
    <w:rPr>
      <w:sz w:val="28"/>
      <w:szCs w:val="40"/>
    </w:rPr>
  </w:style>
  <w:style w:type="paragraph" w:styleId="Heading3">
    <w:name w:val="heading 3"/>
    <w:basedOn w:val="HeadingBase"/>
    <w:next w:val="BodyText"/>
    <w:link w:val="Heading3Char"/>
    <w:qFormat/>
    <w:rsid w:val="005A3F1E"/>
    <w:pPr>
      <w:spacing w:before="180" w:after="120"/>
      <w:outlineLvl w:val="2"/>
    </w:pPr>
    <w:rPr>
      <w:spacing w:val="-10"/>
      <w:kern w:val="32"/>
    </w:rPr>
  </w:style>
  <w:style w:type="paragraph" w:styleId="Heading4">
    <w:name w:val="heading 4"/>
    <w:basedOn w:val="HeadingBase"/>
    <w:next w:val="BodyText"/>
    <w:link w:val="Heading4Char"/>
    <w:qFormat/>
    <w:rsid w:val="005A3F1E"/>
    <w:pPr>
      <w:spacing w:before="160" w:after="120"/>
      <w:outlineLvl w:val="3"/>
    </w:pPr>
    <w:rPr>
      <w:sz w:val="22"/>
    </w:rPr>
  </w:style>
  <w:style w:type="paragraph" w:styleId="Heading5">
    <w:name w:val="heading 5"/>
    <w:basedOn w:val="HeadingBase"/>
    <w:next w:val="Normal"/>
    <w:link w:val="Heading5Char"/>
    <w:qFormat/>
    <w:rsid w:val="005A3F1E"/>
    <w:pPr>
      <w:spacing w:before="80"/>
      <w:outlineLvl w:val="4"/>
    </w:pPr>
    <w:rPr>
      <w:color w:val="918585"/>
      <w:sz w:val="20"/>
    </w:rPr>
  </w:style>
  <w:style w:type="paragraph" w:styleId="Heading6">
    <w:name w:val="heading 6"/>
    <w:basedOn w:val="HeadingBase"/>
    <w:next w:val="Normal"/>
    <w:link w:val="Heading6Char"/>
    <w:qFormat/>
    <w:rsid w:val="005A3F1E"/>
    <w:pPr>
      <w:spacing w:before="60"/>
      <w:outlineLvl w:val="5"/>
    </w:pPr>
    <w:rPr>
      <w:color w:val="918585"/>
      <w:sz w:val="20"/>
    </w:rPr>
  </w:style>
  <w:style w:type="paragraph" w:styleId="Heading7">
    <w:name w:val="heading 7"/>
    <w:basedOn w:val="Normal"/>
    <w:next w:val="Normal"/>
    <w:link w:val="Heading7Char"/>
    <w:qFormat/>
    <w:rsid w:val="005A3F1E"/>
    <w:pPr>
      <w:ind w:left="720"/>
      <w:outlineLvl w:val="6"/>
    </w:pPr>
    <w:rPr>
      <w:i/>
    </w:rPr>
  </w:style>
  <w:style w:type="paragraph" w:styleId="Heading8">
    <w:name w:val="heading 8"/>
    <w:basedOn w:val="Normal"/>
    <w:next w:val="Normal"/>
    <w:link w:val="Heading8Char"/>
    <w:qFormat/>
    <w:rsid w:val="005A3F1E"/>
    <w:pPr>
      <w:ind w:left="720"/>
      <w:outlineLvl w:val="7"/>
    </w:pPr>
    <w:rPr>
      <w:i/>
    </w:rPr>
  </w:style>
  <w:style w:type="paragraph" w:styleId="Heading9">
    <w:name w:val="heading 9"/>
    <w:basedOn w:val="Normal"/>
    <w:next w:val="Normal"/>
    <w:link w:val="Heading9Char"/>
    <w:qFormat/>
    <w:rsid w:val="005A3F1E"/>
    <w:pPr>
      <w:ind w:left="720"/>
      <w:outlineLvl w:val="8"/>
    </w:pPr>
    <w:rPr>
      <w:i/>
    </w:rPr>
  </w:style>
  <w:style w:type="character" w:default="1" w:styleId="DefaultParagraphFont">
    <w:name w:val="Default Paragraph Font"/>
    <w:uiPriority w:val="1"/>
    <w:unhideWhenUsed/>
    <w:rsid w:val="005A3F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F1E"/>
  </w:style>
  <w:style w:type="character" w:customStyle="1" w:styleId="Heading1Char">
    <w:name w:val="Heading 1 Char"/>
    <w:basedOn w:val="DefaultParagraphFont"/>
    <w:link w:val="Heading1"/>
    <w:rsid w:val="005A3F1E"/>
    <w:rPr>
      <w:rFonts w:ascii="Times New Roman" w:eastAsia="Times New Roman" w:hAnsi="Times New Roman" w:cs="Times New Roman"/>
      <w:b/>
      <w:sz w:val="32"/>
      <w:szCs w:val="20"/>
      <w:lang w:eastAsia="en-US"/>
    </w:rPr>
  </w:style>
  <w:style w:type="paragraph" w:styleId="BodyText">
    <w:name w:val="Body Text"/>
    <w:basedOn w:val="Normal"/>
    <w:link w:val="BodyTextChar"/>
    <w:rsid w:val="005A3F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F1E"/>
    <w:rPr>
      <w:rFonts w:ascii="Times New Roman" w:eastAsia="Times New Roman" w:hAnsi="Times New Roman" w:cs="Times New Roman"/>
      <w:sz w:val="24"/>
      <w:lang w:eastAsia="en-US"/>
    </w:rPr>
  </w:style>
  <w:style w:type="paragraph" w:styleId="ListBullet">
    <w:name w:val="List Bullet"/>
    <w:basedOn w:val="List"/>
    <w:rsid w:val="005A3F1E"/>
    <w:pPr>
      <w:numPr>
        <w:numId w:val="12"/>
      </w:numPr>
      <w:tabs>
        <w:tab w:val="clear" w:pos="340"/>
      </w:tabs>
      <w:spacing w:before="40" w:after="40"/>
    </w:pPr>
  </w:style>
  <w:style w:type="character" w:customStyle="1" w:styleId="SpecialBold">
    <w:name w:val="Special Bold"/>
    <w:basedOn w:val="DefaultParagraphFont"/>
    <w:rsid w:val="005A3F1E"/>
    <w:rPr>
      <w:b/>
      <w:spacing w:val="0"/>
    </w:rPr>
  </w:style>
  <w:style w:type="paragraph" w:styleId="ListBullet2">
    <w:name w:val="List Bullet 2"/>
    <w:basedOn w:val="List2"/>
    <w:rsid w:val="005A3F1E"/>
    <w:pPr>
      <w:numPr>
        <w:numId w:val="13"/>
      </w:numPr>
      <w:tabs>
        <w:tab w:val="clear" w:pos="680"/>
      </w:tabs>
    </w:pPr>
  </w:style>
  <w:style w:type="paragraph" w:customStyle="1" w:styleId="SuperHeading">
    <w:name w:val="SuperHeading"/>
    <w:basedOn w:val="Normal"/>
    <w:rsid w:val="005A3F1E"/>
    <w:pPr>
      <w:spacing w:before="240" w:after="120"/>
      <w:outlineLvl w:val="0"/>
    </w:pPr>
    <w:rPr>
      <w:rFonts w:ascii="Times New Roman" w:hAnsi="Times New Roman"/>
      <w:b/>
      <w:sz w:val="32"/>
    </w:rPr>
  </w:style>
  <w:style w:type="paragraph" w:customStyle="1" w:styleId="AllowPageBreak">
    <w:name w:val="AllowPageBreak"/>
    <w:rsid w:val="005A3F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3F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F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F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F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F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F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F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F1E"/>
    <w:rPr>
      <w:rFonts w:ascii="Courier New" w:eastAsia="Times New Roman" w:hAnsi="Courier New" w:cs="Times New Roman"/>
      <w:i/>
      <w:szCs w:val="20"/>
      <w:lang w:eastAsia="en-US"/>
    </w:rPr>
  </w:style>
  <w:style w:type="paragraph" w:customStyle="1" w:styleId="HeadingBase">
    <w:name w:val="Heading Base"/>
    <w:rsid w:val="005A3F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F1E"/>
    <w:pPr>
      <w:tabs>
        <w:tab w:val="right" w:leader="dot" w:pos="9072"/>
      </w:tabs>
      <w:ind w:left="567"/>
    </w:pPr>
    <w:rPr>
      <w:szCs w:val="22"/>
    </w:rPr>
  </w:style>
  <w:style w:type="paragraph" w:customStyle="1" w:styleId="TOCBase">
    <w:name w:val="TOC Base"/>
    <w:rsid w:val="005A3F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F1E"/>
    <w:pPr>
      <w:tabs>
        <w:tab w:val="right" w:leader="dot" w:pos="9072"/>
      </w:tabs>
      <w:spacing w:before="40" w:after="40"/>
      <w:ind w:left="284"/>
    </w:pPr>
    <w:rPr>
      <w:rFonts w:ascii="Times New Roman" w:hAnsi="Times New Roman"/>
    </w:rPr>
  </w:style>
  <w:style w:type="paragraph" w:styleId="TOC1">
    <w:name w:val="toc 1"/>
    <w:basedOn w:val="TOCBase"/>
    <w:next w:val="Normal"/>
    <w:rsid w:val="005A3F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F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F1E"/>
    <w:rPr>
      <w:rFonts w:ascii="Times New Roman" w:eastAsia="Times New Roman" w:hAnsi="Times New Roman" w:cs="Times New Roman"/>
      <w:sz w:val="16"/>
      <w:lang w:eastAsia="en-US"/>
    </w:rPr>
  </w:style>
  <w:style w:type="paragraph" w:styleId="Title">
    <w:name w:val="Title"/>
    <w:basedOn w:val="HeadingBase"/>
    <w:link w:val="TitleChar"/>
    <w:qFormat/>
    <w:rsid w:val="005A3F1E"/>
    <w:pPr>
      <w:spacing w:before="5040"/>
      <w:jc w:val="center"/>
    </w:pPr>
    <w:rPr>
      <w:sz w:val="48"/>
      <w:szCs w:val="72"/>
      <w:lang w:val="en-US"/>
    </w:rPr>
  </w:style>
  <w:style w:type="character" w:customStyle="1" w:styleId="TitleChar">
    <w:name w:val="Title Char"/>
    <w:basedOn w:val="DefaultParagraphFont"/>
    <w:link w:val="Title"/>
    <w:rsid w:val="005A3F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F1E"/>
    <w:pPr>
      <w:tabs>
        <w:tab w:val="left" w:pos="3600"/>
        <w:tab w:val="left" w:pos="3958"/>
      </w:tabs>
    </w:pPr>
  </w:style>
  <w:style w:type="paragraph" w:styleId="List">
    <w:name w:val="List"/>
    <w:basedOn w:val="BodyText"/>
    <w:next w:val="BodyText"/>
    <w:rsid w:val="005A3F1E"/>
    <w:pPr>
      <w:tabs>
        <w:tab w:val="left" w:pos="340"/>
      </w:tabs>
      <w:spacing w:before="60" w:after="60"/>
      <w:ind w:left="340" w:hanging="340"/>
    </w:pPr>
  </w:style>
  <w:style w:type="paragraph" w:customStyle="1" w:styleId="Note">
    <w:name w:val="Note"/>
    <w:basedOn w:val="BodyText"/>
    <w:rsid w:val="005A3F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F1E"/>
    <w:pPr>
      <w:framePr w:wrap="auto" w:hAnchor="text" w:y="6049"/>
    </w:pPr>
    <w:rPr>
      <w:color w:val="000000"/>
      <w:sz w:val="40"/>
    </w:rPr>
  </w:style>
  <w:style w:type="paragraph" w:customStyle="1" w:styleId="TOCTitle">
    <w:name w:val="TOCTitle"/>
    <w:basedOn w:val="Heading1"/>
    <w:rsid w:val="005A3F1E"/>
    <w:pPr>
      <w:spacing w:after="240"/>
      <w:jc w:val="center"/>
      <w:outlineLvl w:val="9"/>
    </w:pPr>
    <w:rPr>
      <w:caps/>
    </w:rPr>
  </w:style>
  <w:style w:type="paragraph" w:customStyle="1" w:styleId="Version">
    <w:name w:val="Version"/>
    <w:rsid w:val="005A3F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F1E"/>
    <w:pPr>
      <w:keepNext w:val="0"/>
      <w:tabs>
        <w:tab w:val="right" w:pos="4176"/>
      </w:tabs>
      <w:ind w:left="198" w:hanging="198"/>
    </w:pPr>
    <w:rPr>
      <w:rFonts w:ascii="Garamond" w:hAnsi="Garamond"/>
    </w:rPr>
  </w:style>
  <w:style w:type="paragraph" w:styleId="IndexHeading">
    <w:name w:val="index heading"/>
    <w:basedOn w:val="Normal"/>
    <w:next w:val="Index1"/>
    <w:semiHidden/>
    <w:rsid w:val="005A3F1E"/>
    <w:pPr>
      <w:spacing w:before="120" w:after="120"/>
    </w:pPr>
    <w:rPr>
      <w:rFonts w:ascii="Arial" w:hAnsi="Arial"/>
      <w:b/>
      <w:color w:val="918585"/>
      <w:sz w:val="24"/>
    </w:rPr>
  </w:style>
  <w:style w:type="paragraph" w:styleId="Header">
    <w:name w:val="header"/>
    <w:basedOn w:val="Normal"/>
    <w:link w:val="HeaderChar"/>
    <w:rsid w:val="005A3F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F1E"/>
    <w:rPr>
      <w:rFonts w:ascii="Times New Roman" w:eastAsia="Times New Roman" w:hAnsi="Times New Roman" w:cs="Times New Roman"/>
      <w:sz w:val="16"/>
      <w:szCs w:val="20"/>
      <w:lang w:val="en-GB" w:eastAsia="en-US"/>
    </w:rPr>
  </w:style>
  <w:style w:type="paragraph" w:customStyle="1" w:styleId="Chapter">
    <w:name w:val="Chapter"/>
    <w:basedOn w:val="Normal"/>
    <w:rsid w:val="005A3F1E"/>
    <w:pPr>
      <w:spacing w:before="240"/>
    </w:pPr>
    <w:rPr>
      <w:rFonts w:ascii="Times New Roman" w:hAnsi="Times New Roman"/>
      <w:smallCaps/>
      <w:spacing w:val="80"/>
      <w:sz w:val="28"/>
    </w:rPr>
  </w:style>
  <w:style w:type="paragraph" w:customStyle="1" w:styleId="InChapter">
    <w:name w:val="InChapter"/>
    <w:basedOn w:val="Heading3"/>
    <w:rsid w:val="005A3F1E"/>
    <w:pPr>
      <w:spacing w:after="240"/>
      <w:outlineLvl w:val="9"/>
    </w:pPr>
    <w:rPr>
      <w:noProof/>
    </w:rPr>
  </w:style>
  <w:style w:type="paragraph" w:styleId="Index2">
    <w:name w:val="index 2"/>
    <w:basedOn w:val="Normal"/>
    <w:next w:val="Normal"/>
    <w:semiHidden/>
    <w:rsid w:val="005A3F1E"/>
    <w:pPr>
      <w:tabs>
        <w:tab w:val="right" w:pos="4176"/>
      </w:tabs>
      <w:ind w:left="568" w:hanging="284"/>
    </w:pPr>
    <w:rPr>
      <w:rFonts w:ascii="Garamond" w:hAnsi="Garamond"/>
    </w:rPr>
  </w:style>
  <w:style w:type="paragraph" w:customStyle="1" w:styleId="Byline">
    <w:name w:val="Byline"/>
    <w:rsid w:val="005A3F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F1E"/>
    <w:pPr>
      <w:tabs>
        <w:tab w:val="clear" w:pos="3600"/>
        <w:tab w:val="clear" w:pos="3958"/>
      </w:tabs>
      <w:jc w:val="right"/>
    </w:pPr>
  </w:style>
  <w:style w:type="character" w:styleId="Emphasis">
    <w:name w:val="Emphasis"/>
    <w:basedOn w:val="DefaultParagraphFont"/>
    <w:qFormat/>
    <w:rsid w:val="005A3F1E"/>
    <w:rPr>
      <w:i/>
    </w:rPr>
  </w:style>
  <w:style w:type="paragraph" w:styleId="Caption">
    <w:name w:val="caption"/>
    <w:basedOn w:val="BodyText"/>
    <w:next w:val="Normal"/>
    <w:qFormat/>
    <w:rsid w:val="005A3F1E"/>
    <w:pPr>
      <w:framePr w:w="2268" w:hSpace="181" w:vSpace="181" w:wrap="around" w:vAnchor="text" w:hAnchor="page" w:x="1135" w:y="285" w:anchorLock="1"/>
    </w:pPr>
    <w:rPr>
      <w:i/>
    </w:rPr>
  </w:style>
  <w:style w:type="paragraph" w:customStyle="1" w:styleId="MiniTOCTitle">
    <w:name w:val="MiniTOCTitle"/>
    <w:basedOn w:val="Heading4"/>
    <w:rsid w:val="005A3F1E"/>
    <w:pPr>
      <w:spacing w:before="240"/>
      <w:outlineLvl w:val="9"/>
    </w:pPr>
    <w:rPr>
      <w:noProof/>
      <w:sz w:val="24"/>
    </w:rPr>
  </w:style>
  <w:style w:type="paragraph" w:customStyle="1" w:styleId="MiniTOCItem">
    <w:name w:val="MiniTOCItem"/>
    <w:basedOn w:val="ListBullet"/>
    <w:rsid w:val="005A3F1E"/>
    <w:pPr>
      <w:numPr>
        <w:numId w:val="0"/>
      </w:numPr>
      <w:tabs>
        <w:tab w:val="right" w:leader="dot" w:pos="6521"/>
      </w:tabs>
      <w:spacing w:before="0" w:after="0"/>
    </w:pPr>
  </w:style>
  <w:style w:type="paragraph" w:customStyle="1" w:styleId="TOFTitle">
    <w:name w:val="TOFTitle"/>
    <w:basedOn w:val="TOCTitle"/>
    <w:rsid w:val="005A3F1E"/>
  </w:style>
  <w:style w:type="paragraph" w:styleId="TableofFigures">
    <w:name w:val="table of figures"/>
    <w:basedOn w:val="Normal"/>
    <w:next w:val="Normal"/>
    <w:semiHidden/>
    <w:rsid w:val="005A3F1E"/>
    <w:pPr>
      <w:tabs>
        <w:tab w:val="right" w:leader="dot" w:pos="9072"/>
      </w:tabs>
      <w:ind w:left="970" w:hanging="403"/>
    </w:pPr>
    <w:rPr>
      <w:rFonts w:ascii="Times New Roman" w:hAnsi="Times New Roman"/>
      <w:b/>
    </w:rPr>
  </w:style>
  <w:style w:type="paragraph" w:styleId="ListNumber">
    <w:name w:val="List Number"/>
    <w:basedOn w:val="List"/>
    <w:rsid w:val="005A3F1E"/>
    <w:pPr>
      <w:numPr>
        <w:numId w:val="15"/>
      </w:numPr>
      <w:tabs>
        <w:tab w:val="clear" w:pos="340"/>
      </w:tabs>
    </w:pPr>
  </w:style>
  <w:style w:type="character" w:customStyle="1" w:styleId="WingdingSymbols">
    <w:name w:val="Wingding Symbols"/>
    <w:rsid w:val="005A3F1E"/>
    <w:rPr>
      <w:rFonts w:ascii="Wingdings" w:hAnsi="Wingdings"/>
    </w:rPr>
  </w:style>
  <w:style w:type="paragraph" w:customStyle="1" w:styleId="TableHeading">
    <w:name w:val="Table Heading"/>
    <w:basedOn w:val="HeadingBase"/>
    <w:rsid w:val="005A3F1E"/>
    <w:pPr>
      <w:keepLines/>
      <w:pBdr>
        <w:bottom w:val="single" w:sz="6" w:space="1" w:color="918585"/>
      </w:pBdr>
      <w:spacing w:before="240"/>
    </w:pPr>
  </w:style>
  <w:style w:type="character" w:customStyle="1" w:styleId="HotSpot">
    <w:name w:val="HotSpot"/>
    <w:rsid w:val="005A3F1E"/>
    <w:rPr>
      <w:color w:val="0033CC"/>
      <w:u w:val="none"/>
    </w:rPr>
  </w:style>
  <w:style w:type="paragraph" w:customStyle="1" w:styleId="BodyTextRight">
    <w:name w:val="Body Text Right"/>
    <w:basedOn w:val="BodyText"/>
    <w:rsid w:val="005A3F1E"/>
    <w:pPr>
      <w:spacing w:before="0" w:after="0"/>
      <w:jc w:val="right"/>
    </w:pPr>
  </w:style>
  <w:style w:type="paragraph" w:styleId="Index3">
    <w:name w:val="index 3"/>
    <w:basedOn w:val="ListNumber2"/>
    <w:next w:val="Normal"/>
    <w:semiHidden/>
    <w:rsid w:val="005A3F1E"/>
    <w:pPr>
      <w:numPr>
        <w:numId w:val="0"/>
      </w:numPr>
      <w:tabs>
        <w:tab w:val="right" w:leader="dot" w:pos="4176"/>
      </w:tabs>
    </w:pPr>
  </w:style>
  <w:style w:type="paragraph" w:styleId="ListNumber2">
    <w:name w:val="List Number 2"/>
    <w:basedOn w:val="List2"/>
    <w:rsid w:val="005A3F1E"/>
    <w:pPr>
      <w:numPr>
        <w:numId w:val="10"/>
      </w:numPr>
      <w:tabs>
        <w:tab w:val="clear" w:pos="1060"/>
      </w:tabs>
    </w:pPr>
  </w:style>
  <w:style w:type="paragraph" w:customStyle="1" w:styleId="MarginNote">
    <w:name w:val="Margin Note"/>
    <w:basedOn w:val="BodyText"/>
    <w:rsid w:val="005A3F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F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F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F1E"/>
    <w:rPr>
      <w:sz w:val="32"/>
    </w:rPr>
  </w:style>
  <w:style w:type="paragraph" w:customStyle="1" w:styleId="HeadingProcedure">
    <w:name w:val="Heading Procedure"/>
    <w:basedOn w:val="HeadingBase"/>
    <w:next w:val="Normal"/>
    <w:rsid w:val="005A3F1E"/>
    <w:pPr>
      <w:tabs>
        <w:tab w:val="left" w:pos="0"/>
      </w:tabs>
      <w:spacing w:before="120" w:after="60"/>
    </w:pPr>
    <w:rPr>
      <w:i/>
      <w:color w:val="918585"/>
      <w:sz w:val="22"/>
    </w:rPr>
  </w:style>
  <w:style w:type="paragraph" w:customStyle="1" w:styleId="TableBodyText">
    <w:name w:val="Table Body Text"/>
    <w:basedOn w:val="BodyText"/>
    <w:rsid w:val="005A3F1E"/>
    <w:pPr>
      <w:spacing w:before="60" w:after="60"/>
    </w:pPr>
  </w:style>
  <w:style w:type="paragraph" w:styleId="ListContinue">
    <w:name w:val="List Continue"/>
    <w:basedOn w:val="List"/>
    <w:rsid w:val="005A3F1E"/>
    <w:pPr>
      <w:ind w:firstLine="0"/>
    </w:pPr>
  </w:style>
  <w:style w:type="paragraph" w:customStyle="1" w:styleId="ListNote">
    <w:name w:val="List Note"/>
    <w:basedOn w:val="List"/>
    <w:rsid w:val="005A3F1E"/>
    <w:pPr>
      <w:pBdr>
        <w:top w:val="single" w:sz="6" w:space="2" w:color="918585"/>
        <w:bottom w:val="single" w:sz="6" w:space="2" w:color="918585"/>
      </w:pBdr>
      <w:tabs>
        <w:tab w:val="left" w:pos="1021"/>
      </w:tabs>
      <w:ind w:firstLine="0"/>
    </w:pPr>
  </w:style>
  <w:style w:type="paragraph" w:customStyle="1" w:styleId="Warning">
    <w:name w:val="Warning"/>
    <w:basedOn w:val="BodyText"/>
    <w:rsid w:val="005A3F1E"/>
    <w:pPr>
      <w:shd w:val="clear" w:color="auto" w:fill="D9D9D9"/>
      <w:tabs>
        <w:tab w:val="left" w:pos="992"/>
      </w:tabs>
      <w:ind w:left="119" w:right="119"/>
    </w:pPr>
    <w:rPr>
      <w:sz w:val="20"/>
    </w:rPr>
  </w:style>
  <w:style w:type="paragraph" w:customStyle="1" w:styleId="MarginIcons">
    <w:name w:val="Margin Icons"/>
    <w:basedOn w:val="BodyText"/>
    <w:rsid w:val="005A3F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F1E"/>
    <w:rPr>
      <w:rFonts w:ascii="Courier New" w:hAnsi="Courier New"/>
    </w:rPr>
  </w:style>
  <w:style w:type="paragraph" w:customStyle="1" w:styleId="NoteBullet">
    <w:name w:val="Note Bullet"/>
    <w:basedOn w:val="Note"/>
    <w:rsid w:val="005A3F1E"/>
    <w:pPr>
      <w:tabs>
        <w:tab w:val="clear" w:pos="680"/>
      </w:tabs>
      <w:spacing w:before="60" w:after="60"/>
    </w:pPr>
  </w:style>
  <w:style w:type="paragraph" w:customStyle="1" w:styleId="SubHeading2">
    <w:name w:val="SubHeading2"/>
    <w:basedOn w:val="HeadingBase"/>
    <w:rsid w:val="005A3F1E"/>
    <w:pPr>
      <w:spacing w:before="240" w:after="60"/>
    </w:pPr>
    <w:rPr>
      <w:sz w:val="20"/>
    </w:rPr>
  </w:style>
  <w:style w:type="paragraph" w:customStyle="1" w:styleId="SubHeading1">
    <w:name w:val="SubHeading1"/>
    <w:basedOn w:val="HeadingBase"/>
    <w:rsid w:val="005A3F1E"/>
    <w:pPr>
      <w:spacing w:before="240" w:after="60"/>
    </w:pPr>
    <w:rPr>
      <w:color w:val="918585"/>
      <w:sz w:val="22"/>
    </w:rPr>
  </w:style>
  <w:style w:type="paragraph" w:customStyle="1" w:styleId="SideHeading">
    <w:name w:val="Side Heading"/>
    <w:basedOn w:val="HeadingBase"/>
    <w:rsid w:val="005A3F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F1E"/>
    <w:pPr>
      <w:tabs>
        <w:tab w:val="num" w:pos="360"/>
      </w:tabs>
    </w:pPr>
  </w:style>
  <w:style w:type="paragraph" w:styleId="PlainText">
    <w:name w:val="Plain Text"/>
    <w:basedOn w:val="Normal"/>
    <w:link w:val="PlainTextChar"/>
    <w:rsid w:val="005A3F1E"/>
    <w:rPr>
      <w:sz w:val="20"/>
    </w:rPr>
  </w:style>
  <w:style w:type="character" w:customStyle="1" w:styleId="PlainTextChar">
    <w:name w:val="Plain Text Char"/>
    <w:basedOn w:val="DefaultParagraphFont"/>
    <w:link w:val="PlainText"/>
    <w:rsid w:val="005A3F1E"/>
    <w:rPr>
      <w:rFonts w:ascii="Courier New" w:eastAsia="Times New Roman" w:hAnsi="Courier New" w:cs="Times New Roman"/>
      <w:sz w:val="20"/>
      <w:szCs w:val="20"/>
      <w:lang w:eastAsia="en-US"/>
    </w:rPr>
  </w:style>
  <w:style w:type="character" w:customStyle="1" w:styleId="MenuOption">
    <w:name w:val="Menu Option"/>
    <w:basedOn w:val="DefaultParagraphFont"/>
    <w:rsid w:val="005A3F1E"/>
    <w:rPr>
      <w:b/>
      <w:smallCaps/>
    </w:rPr>
  </w:style>
  <w:style w:type="paragraph" w:customStyle="1" w:styleId="TableListNumber">
    <w:name w:val="Table List Number"/>
    <w:basedOn w:val="ListNumber"/>
    <w:rsid w:val="005A3F1E"/>
    <w:pPr>
      <w:numPr>
        <w:numId w:val="0"/>
      </w:numPr>
    </w:pPr>
  </w:style>
  <w:style w:type="paragraph" w:styleId="TOC4">
    <w:name w:val="toc 4"/>
    <w:basedOn w:val="TOCBase"/>
    <w:next w:val="Normal"/>
    <w:semiHidden/>
    <w:rsid w:val="005A3F1E"/>
    <w:pPr>
      <w:tabs>
        <w:tab w:val="right" w:leader="dot" w:pos="9071"/>
      </w:tabs>
      <w:ind w:left="1701"/>
    </w:pPr>
  </w:style>
  <w:style w:type="paragraph" w:customStyle="1" w:styleId="ListAlpha">
    <w:name w:val="List Alpha"/>
    <w:basedOn w:val="List"/>
    <w:rsid w:val="005A3F1E"/>
    <w:pPr>
      <w:numPr>
        <w:numId w:val="9"/>
      </w:numPr>
    </w:pPr>
  </w:style>
  <w:style w:type="paragraph" w:customStyle="1" w:styleId="ListAlpha2">
    <w:name w:val="List Alpha 2"/>
    <w:basedOn w:val="List2"/>
    <w:rsid w:val="005A3F1E"/>
    <w:pPr>
      <w:numPr>
        <w:numId w:val="8"/>
      </w:numPr>
    </w:pPr>
  </w:style>
  <w:style w:type="paragraph" w:styleId="List2">
    <w:name w:val="List 2"/>
    <w:basedOn w:val="BodyText"/>
    <w:rsid w:val="005A3F1E"/>
    <w:pPr>
      <w:tabs>
        <w:tab w:val="left" w:pos="680"/>
      </w:tabs>
      <w:spacing w:before="60" w:after="60"/>
      <w:ind w:left="680" w:hanging="340"/>
    </w:pPr>
  </w:style>
  <w:style w:type="paragraph" w:styleId="List3">
    <w:name w:val="List 3"/>
    <w:basedOn w:val="BodyText"/>
    <w:rsid w:val="005A3F1E"/>
    <w:pPr>
      <w:tabs>
        <w:tab w:val="left" w:pos="1021"/>
      </w:tabs>
      <w:spacing w:before="60" w:after="60"/>
      <w:ind w:left="1020" w:hanging="340"/>
    </w:pPr>
  </w:style>
  <w:style w:type="paragraph" w:styleId="List4">
    <w:name w:val="List 4"/>
    <w:basedOn w:val="BodyText"/>
    <w:rsid w:val="005A3F1E"/>
    <w:pPr>
      <w:tabs>
        <w:tab w:val="left" w:pos="1361"/>
      </w:tabs>
      <w:spacing w:before="60" w:after="60"/>
      <w:ind w:left="1361" w:hanging="340"/>
    </w:pPr>
  </w:style>
  <w:style w:type="paragraph" w:styleId="List5">
    <w:name w:val="List 5"/>
    <w:basedOn w:val="BodyText"/>
    <w:rsid w:val="005A3F1E"/>
    <w:pPr>
      <w:tabs>
        <w:tab w:val="left" w:pos="1701"/>
      </w:tabs>
      <w:spacing w:before="60" w:after="60"/>
      <w:ind w:left="1701" w:hanging="340"/>
    </w:pPr>
  </w:style>
  <w:style w:type="paragraph" w:styleId="ListBullet3">
    <w:name w:val="List Bullet 3"/>
    <w:basedOn w:val="List3"/>
    <w:rsid w:val="005A3F1E"/>
    <w:pPr>
      <w:numPr>
        <w:numId w:val="14"/>
      </w:numPr>
      <w:tabs>
        <w:tab w:val="clear" w:pos="1021"/>
      </w:tabs>
      <w:ind w:left="1037" w:hanging="357"/>
    </w:pPr>
  </w:style>
  <w:style w:type="paragraph" w:styleId="ListBullet4">
    <w:name w:val="List Bullet 4"/>
    <w:basedOn w:val="List4"/>
    <w:rsid w:val="005A3F1E"/>
    <w:pPr>
      <w:numPr>
        <w:numId w:val="3"/>
      </w:numPr>
      <w:tabs>
        <w:tab w:val="clear" w:pos="1361"/>
      </w:tabs>
    </w:pPr>
  </w:style>
  <w:style w:type="paragraph" w:styleId="ListBullet5">
    <w:name w:val="List Bullet 5"/>
    <w:basedOn w:val="List5"/>
    <w:rsid w:val="005A3F1E"/>
    <w:pPr>
      <w:numPr>
        <w:numId w:val="4"/>
      </w:numPr>
    </w:pPr>
  </w:style>
  <w:style w:type="paragraph" w:styleId="ListContinue2">
    <w:name w:val="List Continue 2"/>
    <w:basedOn w:val="List2"/>
    <w:rsid w:val="005A3F1E"/>
    <w:pPr>
      <w:ind w:firstLine="0"/>
    </w:pPr>
  </w:style>
  <w:style w:type="paragraph" w:styleId="ListContinue3">
    <w:name w:val="List Continue 3"/>
    <w:basedOn w:val="List3"/>
    <w:rsid w:val="005A3F1E"/>
    <w:pPr>
      <w:ind w:left="1021" w:firstLine="0"/>
    </w:pPr>
  </w:style>
  <w:style w:type="paragraph" w:styleId="ListContinue4">
    <w:name w:val="List Continue 4"/>
    <w:basedOn w:val="List4"/>
    <w:rsid w:val="005A3F1E"/>
    <w:pPr>
      <w:ind w:firstLine="0"/>
    </w:pPr>
  </w:style>
  <w:style w:type="paragraph" w:styleId="ListContinue5">
    <w:name w:val="List Continue 5"/>
    <w:basedOn w:val="List5"/>
    <w:rsid w:val="005A3F1E"/>
    <w:pPr>
      <w:ind w:firstLine="0"/>
    </w:pPr>
  </w:style>
  <w:style w:type="paragraph" w:styleId="ListNumber3">
    <w:name w:val="List Number 3"/>
    <w:basedOn w:val="List3"/>
    <w:rsid w:val="005A3F1E"/>
    <w:pPr>
      <w:numPr>
        <w:numId w:val="5"/>
      </w:numPr>
    </w:pPr>
  </w:style>
  <w:style w:type="paragraph" w:styleId="ListNumber4">
    <w:name w:val="List Number 4"/>
    <w:basedOn w:val="List4"/>
    <w:rsid w:val="005A3F1E"/>
    <w:pPr>
      <w:numPr>
        <w:numId w:val="6"/>
      </w:numPr>
    </w:pPr>
  </w:style>
  <w:style w:type="paragraph" w:styleId="ListNumber5">
    <w:name w:val="List Number 5"/>
    <w:basedOn w:val="List5"/>
    <w:rsid w:val="005A3F1E"/>
    <w:pPr>
      <w:numPr>
        <w:numId w:val="7"/>
      </w:numPr>
    </w:pPr>
  </w:style>
  <w:style w:type="paragraph" w:styleId="BlockText">
    <w:name w:val="Block Text"/>
    <w:basedOn w:val="Normal"/>
    <w:rsid w:val="005A3F1E"/>
    <w:pPr>
      <w:spacing w:after="120"/>
      <w:ind w:left="1440" w:right="1440"/>
    </w:pPr>
  </w:style>
  <w:style w:type="character" w:customStyle="1" w:styleId="Subscript">
    <w:name w:val="Subscript"/>
    <w:basedOn w:val="DefaultParagraphFont"/>
    <w:rsid w:val="005A3F1E"/>
    <w:rPr>
      <w:sz w:val="16"/>
      <w:vertAlign w:val="subscript"/>
    </w:rPr>
  </w:style>
  <w:style w:type="character" w:customStyle="1" w:styleId="Superscript">
    <w:name w:val="Superscript"/>
    <w:basedOn w:val="DefaultParagraphFont"/>
    <w:rsid w:val="005A3F1E"/>
    <w:rPr>
      <w:sz w:val="16"/>
      <w:vertAlign w:val="superscript"/>
    </w:rPr>
  </w:style>
  <w:style w:type="character" w:customStyle="1" w:styleId="Symbols">
    <w:name w:val="Symbols"/>
    <w:basedOn w:val="DefaultParagraphFont"/>
    <w:rsid w:val="005A3F1E"/>
    <w:rPr>
      <w:rFonts w:ascii="Symbol" w:hAnsi="Symbol"/>
    </w:rPr>
  </w:style>
  <w:style w:type="character" w:customStyle="1" w:styleId="MenuOptions">
    <w:name w:val="Menu Options"/>
    <w:basedOn w:val="DefaultParagraphFont"/>
    <w:rsid w:val="005A3F1E"/>
    <w:rPr>
      <w:rFonts w:ascii="Arial Narrow" w:hAnsi="Arial Narrow"/>
      <w:smallCaps/>
    </w:rPr>
  </w:style>
  <w:style w:type="character" w:customStyle="1" w:styleId="Buttons">
    <w:name w:val="Buttons"/>
    <w:basedOn w:val="DefaultParagraphFont"/>
    <w:rsid w:val="005A3F1E"/>
    <w:rPr>
      <w:b/>
    </w:rPr>
  </w:style>
  <w:style w:type="character" w:customStyle="1" w:styleId="Underlined">
    <w:name w:val="Underlined"/>
    <w:basedOn w:val="DefaultParagraphFont"/>
    <w:rsid w:val="005A3F1E"/>
    <w:rPr>
      <w:u w:val="single"/>
    </w:rPr>
  </w:style>
  <w:style w:type="paragraph" w:customStyle="1" w:styleId="TableBodyTextRight">
    <w:name w:val="Table Body Text Right"/>
    <w:basedOn w:val="TableBodyText"/>
    <w:rsid w:val="005A3F1E"/>
    <w:pPr>
      <w:widowControl w:val="0"/>
      <w:autoSpaceDE w:val="0"/>
      <w:autoSpaceDN w:val="0"/>
      <w:adjustRightInd w:val="0"/>
      <w:jc w:val="right"/>
    </w:pPr>
    <w:rPr>
      <w:rFonts w:cs="Arial"/>
      <w:szCs w:val="18"/>
    </w:rPr>
  </w:style>
  <w:style w:type="paragraph" w:customStyle="1" w:styleId="CopyrightText">
    <w:name w:val="Copyright Text"/>
    <w:basedOn w:val="BodyText"/>
    <w:rsid w:val="005A3F1E"/>
    <w:rPr>
      <w:sz w:val="18"/>
    </w:rPr>
  </w:style>
  <w:style w:type="paragraph" w:customStyle="1" w:styleId="BodySmallRight">
    <w:name w:val="Body Small Right"/>
    <w:basedOn w:val="BodyTextRight"/>
    <w:rsid w:val="005A3F1E"/>
    <w:rPr>
      <w:sz w:val="18"/>
      <w:szCs w:val="18"/>
    </w:rPr>
  </w:style>
  <w:style w:type="paragraph" w:customStyle="1" w:styleId="MarginEdition">
    <w:name w:val="Margin Edition"/>
    <w:basedOn w:val="MarginNote"/>
    <w:rsid w:val="005A3F1E"/>
    <w:pPr>
      <w:spacing w:before="0" w:after="0"/>
    </w:pPr>
    <w:rPr>
      <w:rFonts w:ascii="Times New Roman" w:hAnsi="Times New Roman"/>
      <w:color w:val="999999"/>
    </w:rPr>
  </w:style>
  <w:style w:type="paragraph" w:customStyle="1" w:styleId="Spacer">
    <w:name w:val="Spacer"/>
    <w:basedOn w:val="Normal"/>
    <w:rsid w:val="005A3F1E"/>
    <w:rPr>
      <w:sz w:val="2"/>
      <w:szCs w:val="2"/>
    </w:rPr>
  </w:style>
  <w:style w:type="character" w:customStyle="1" w:styleId="Small">
    <w:name w:val="Small"/>
    <w:basedOn w:val="DefaultParagraphFont"/>
    <w:rsid w:val="005A3F1E"/>
    <w:rPr>
      <w:sz w:val="16"/>
    </w:rPr>
  </w:style>
  <w:style w:type="paragraph" w:customStyle="1" w:styleId="WideTable">
    <w:name w:val="Wide Table"/>
    <w:basedOn w:val="Normal"/>
    <w:rsid w:val="005A3F1E"/>
    <w:pPr>
      <w:ind w:left="-1418"/>
    </w:pPr>
    <w:rPr>
      <w:sz w:val="2"/>
      <w:szCs w:val="2"/>
    </w:rPr>
  </w:style>
  <w:style w:type="character" w:styleId="PageNumber">
    <w:name w:val="page number"/>
    <w:basedOn w:val="DefaultParagraphFont"/>
    <w:rsid w:val="005A3F1E"/>
  </w:style>
  <w:style w:type="paragraph" w:styleId="Quote">
    <w:name w:val="Quote"/>
    <w:basedOn w:val="Heading1"/>
    <w:link w:val="QuoteChar"/>
    <w:qFormat/>
    <w:rsid w:val="005A3F1E"/>
    <w:rPr>
      <w:b w:val="0"/>
      <w:sz w:val="72"/>
      <w:szCs w:val="72"/>
      <w:lang w:val="en-NZ"/>
    </w:rPr>
  </w:style>
  <w:style w:type="character" w:customStyle="1" w:styleId="QuoteChar">
    <w:name w:val="Quote Char"/>
    <w:basedOn w:val="DefaultParagraphFont"/>
    <w:link w:val="Quote"/>
    <w:rsid w:val="005A3F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F1E"/>
    <w:pPr>
      <w:pageBreakBefore/>
    </w:pPr>
  </w:style>
  <w:style w:type="paragraph" w:customStyle="1" w:styleId="Border">
    <w:name w:val="Border"/>
    <w:basedOn w:val="Normal"/>
    <w:qFormat/>
    <w:rsid w:val="005A3F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F1E"/>
    <w:rPr>
      <w:b/>
      <w:bCs/>
      <w:i/>
      <w:iCs/>
      <w:color w:val="auto"/>
    </w:rPr>
  </w:style>
  <w:style w:type="paragraph" w:styleId="IntenseQuote">
    <w:name w:val="Intense Quote"/>
    <w:basedOn w:val="Normal"/>
    <w:next w:val="Normal"/>
    <w:link w:val="IntenseQuoteChar"/>
    <w:uiPriority w:val="30"/>
    <w:qFormat/>
    <w:rsid w:val="005A3F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F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F1E"/>
    <w:rPr>
      <w:smallCaps/>
      <w:color w:val="auto"/>
      <w:u w:val="single"/>
    </w:rPr>
  </w:style>
  <w:style w:type="character" w:styleId="IntenseReference">
    <w:name w:val="Intense Reference"/>
    <w:basedOn w:val="DefaultParagraphFont"/>
    <w:uiPriority w:val="32"/>
    <w:qFormat/>
    <w:rsid w:val="005A3F1E"/>
    <w:rPr>
      <w:b/>
      <w:bCs/>
      <w:smallCaps/>
      <w:color w:val="auto"/>
      <w:spacing w:val="5"/>
      <w:u w:val="single"/>
    </w:rPr>
  </w:style>
  <w:style w:type="paragraph" w:customStyle="1" w:styleId="2ColumnHeading">
    <w:name w:val="2Column Heading"/>
    <w:basedOn w:val="BodyText"/>
    <w:qFormat/>
    <w:rsid w:val="005A3F1E"/>
    <w:pPr>
      <w:spacing w:after="60"/>
      <w:ind w:left="-2268"/>
    </w:pPr>
    <w:rPr>
      <w:b/>
    </w:rPr>
  </w:style>
  <w:style w:type="paragraph" w:customStyle="1" w:styleId="Heading1TOC">
    <w:name w:val="Heading1 TOC"/>
    <w:basedOn w:val="Normal"/>
    <w:qFormat/>
    <w:rsid w:val="005A3F1E"/>
    <w:pPr>
      <w:spacing w:before="240" w:after="120"/>
    </w:pPr>
    <w:rPr>
      <w:rFonts w:ascii="Times New Roman" w:hAnsi="Times New Roman"/>
      <w:b/>
      <w:sz w:val="32"/>
    </w:rPr>
  </w:style>
  <w:style w:type="paragraph" w:customStyle="1" w:styleId="Heading2TOC">
    <w:name w:val="Heading2 TOC"/>
    <w:basedOn w:val="Normal"/>
    <w:qFormat/>
    <w:rsid w:val="005A3F1E"/>
    <w:pPr>
      <w:spacing w:before="240" w:after="60"/>
    </w:pPr>
    <w:rPr>
      <w:rFonts w:ascii="Times New Roman" w:hAnsi="Times New Roman"/>
      <w:b/>
      <w:sz w:val="28"/>
    </w:rPr>
  </w:style>
  <w:style w:type="character" w:customStyle="1" w:styleId="Underline">
    <w:name w:val="Underline"/>
    <w:basedOn w:val="DefaultParagraphFont"/>
    <w:qFormat/>
    <w:rsid w:val="005A3F1E"/>
    <w:rPr>
      <w:u w:val="single"/>
    </w:rPr>
  </w:style>
  <w:style w:type="character" w:customStyle="1" w:styleId="BoldandItalics">
    <w:name w:val="Bold and Italics"/>
    <w:qFormat/>
    <w:rsid w:val="005A3F1E"/>
    <w:rPr>
      <w:b/>
      <w:i/>
      <w:u w:val="none"/>
    </w:rPr>
  </w:style>
  <w:style w:type="paragraph" w:styleId="BalloonText">
    <w:name w:val="Balloon Text"/>
    <w:basedOn w:val="Normal"/>
    <w:link w:val="BalloonTextChar"/>
    <w:rsid w:val="005A3F1E"/>
    <w:rPr>
      <w:rFonts w:ascii="Tahoma" w:hAnsi="Tahoma" w:cs="Tahoma"/>
      <w:sz w:val="16"/>
      <w:szCs w:val="16"/>
    </w:rPr>
  </w:style>
  <w:style w:type="character" w:customStyle="1" w:styleId="BalloonTextChar">
    <w:name w:val="Balloon Text Char"/>
    <w:basedOn w:val="DefaultParagraphFont"/>
    <w:link w:val="BalloonText"/>
    <w:rsid w:val="005A3F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F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F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F1E"/>
    <w:rPr>
      <w:b/>
      <w:color w:val="660033"/>
      <w:spacing w:val="0"/>
    </w:rPr>
  </w:style>
  <w:style w:type="paragraph" w:customStyle="1" w:styleId="Nameditemlist">
    <w:name w:val="Named item list"/>
    <w:basedOn w:val="BodyText"/>
    <w:qFormat/>
    <w:rsid w:val="005A3F1E"/>
    <w:pPr>
      <w:tabs>
        <w:tab w:val="left" w:pos="2835"/>
      </w:tabs>
      <w:ind w:left="2835" w:hanging="2835"/>
    </w:pPr>
  </w:style>
  <w:style w:type="paragraph" w:customStyle="1" w:styleId="BodyTextnopadding">
    <w:name w:val="Body Text no padding"/>
    <w:basedOn w:val="BodyText"/>
    <w:qFormat/>
    <w:rsid w:val="005A3F1E"/>
    <w:pPr>
      <w:spacing w:before="0" w:after="0"/>
    </w:pPr>
  </w:style>
  <w:style w:type="paragraph" w:customStyle="1" w:styleId="BodyTextBold">
    <w:name w:val="Body Text Bold"/>
    <w:basedOn w:val="BodyText"/>
    <w:qFormat/>
    <w:rsid w:val="005A3F1E"/>
    <w:rPr>
      <w:b/>
    </w:rPr>
  </w:style>
  <w:style w:type="character" w:styleId="Hyperlink">
    <w:name w:val="Hyperlink"/>
    <w:basedOn w:val="DefaultParagraphFont"/>
    <w:uiPriority w:val="99"/>
    <w:unhideWhenUsed/>
    <w:rsid w:val="009D6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4890</Characters>
  <Application>Microsoft Office Word</Application>
  <DocSecurity>0</DocSecurity>
  <Lines>122</Lines>
  <Paragraphs>93</Paragraphs>
  <ScaleCrop>false</ScaleCrop>
  <Company>Author-it Software Corporation Ltd.</Company>
  <LinksUpToDate>false</LinksUpToDate>
  <CharactersWithSpaces>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MARC035 Operate and maintain extra low and low voltage electrical systems and equipment</dc:title>
  <dc:subject>Approved</dc:subject>
  <dc:creator>Industry Skills Australia</dc:creator>
  <cp:keywords>Release: 2</cp:keywords>
  <dc:description>Review Date: 12 April 2008</dc:description>
  <cp:lastModifiedBy>HSD_TPCMSd.prod</cp:lastModifiedBy>
  <cp:revision>3</cp:revision>
  <dcterms:created xsi:type="dcterms:W3CDTF">2024-11-25T11:01:00Z</dcterms:created>
  <dcterms:modified xsi:type="dcterms:W3CDTF">2024-11-25T11:01:00Z</dcterms:modified>
</cp:coreProperties>
</file>