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5E1" w:rsidP="00C06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MARC033 Complete engine room tasks</w:t>
      </w:r>
      <w:r>
        <w:fldChar w:fldCharType="end"/>
      </w:r>
    </w:p>
    <w:p w:rsidR="00C065E1" w:rsidP="00C065E1">
      <w:pPr>
        <w:pStyle w:val="Version"/>
        <w:sectPr w:rsidSect="007F2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2B54" w:rsidP="007F2B54">
      <w:pPr>
        <w:pStyle w:val="SuperHeading"/>
      </w:pPr>
      <w:r w:rsidRPr="007F2B54">
        <w:t>MARC033 Complete engine room tasks</w:t>
      </w:r>
    </w:p>
    <w:p w:rsidR="00000000" w:rsidRPr="007F2B54" w:rsidP="007F2B54">
      <w:pPr>
        <w:pStyle w:val="Heading1"/>
      </w:pPr>
      <w:bookmarkStart w:id="1" w:name="O_1284820"/>
      <w:bookmarkEnd w:id="1"/>
      <w:r w:rsidRPr="007F2B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Release 2</w:t>
            </w:r>
            <w:r w:rsidRPr="007F2B54">
              <w:t>. This is the second release of this unit of competency in the MAR Maritime Training Package.</w:t>
            </w:r>
          </w:p>
          <w:p w:rsidR="00000000" w:rsidRPr="007F2B54" w:rsidP="007F2B54">
            <w:pPr>
              <w:pStyle w:val="ListBullet"/>
            </w:pPr>
            <w:r w:rsidRPr="007F2B54">
              <w:t>Minor statement changes in unit Application</w:t>
            </w:r>
          </w:p>
          <w:p w:rsidR="00000000" w:rsidRPr="007F2B54" w:rsidP="007F2B54">
            <w:pPr>
              <w:pStyle w:val="ListBullet"/>
            </w:pPr>
            <w:r w:rsidRPr="007F2B54">
              <w:t>Minor re-ordering of Knowledge Evidence</w:t>
            </w:r>
          </w:p>
          <w:p w:rsidR="00000000" w:rsidP="007F2B54">
            <w:pPr>
              <w:pStyle w:val="ListBullet"/>
              <w:rPr>
                <w:lang w:val="en-NZ"/>
              </w:rPr>
            </w:pPr>
            <w:r w:rsidRPr="007F2B54">
              <w:t>Minor statement changes in Assessment Condition</w:t>
            </w:r>
            <w:r w:rsidRPr="007F2B54">
              <w:t>s.</w:t>
            </w:r>
          </w:p>
        </w:tc>
      </w:tr>
      <w:tr w:rsidTr="007F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Release 1</w:t>
            </w:r>
            <w:r w:rsidRPr="007F2B54">
              <w:t>. New unit of competency.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7F2B54" w:rsidP="007F2B54">
      <w:pPr>
        <w:pStyle w:val="NoPaddingFontSize1"/>
      </w:pPr>
    </w:p>
    <w:p w:rsidR="00000000" w:rsidRPr="007F2B54" w:rsidP="007F2B54">
      <w:pPr>
        <w:pStyle w:val="AllowPageBreak"/>
      </w:pPr>
    </w:p>
    <w:p w:rsidR="00000000" w:rsidRPr="007F2B54" w:rsidP="007F2B54">
      <w:pPr>
        <w:pStyle w:val="Heading1"/>
      </w:pPr>
      <w:bookmarkStart w:id="2" w:name="O_1284819"/>
      <w:bookmarkEnd w:id="2"/>
      <w:r w:rsidRPr="007F2B54">
        <w:t>Applic</w:t>
      </w:r>
      <w:r w:rsidRPr="007F2B54">
        <w:t>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t>This unit involves the skills and knowledge required to perform tasks to support the operation of marine internal combustion engines, marine propulsion systems, vessel machinery and auxiliary systems.</w:t>
            </w:r>
          </w:p>
          <w:p w:rsidR="00000000" w:rsidRPr="007F2B54" w:rsidP="007F2B54">
            <w:pPr>
              <w:pStyle w:val="BodyText"/>
            </w:pPr>
            <w:r w:rsidRPr="007F2B54">
              <w:t>This unit applies to people working in the mariti</w:t>
            </w:r>
            <w:r w:rsidRPr="007F2B54">
              <w:t>me industry in the capacity of:</w:t>
            </w:r>
          </w:p>
          <w:p w:rsidR="00000000" w:rsidRPr="007F2B54" w:rsidP="007F2B54">
            <w:pPr>
              <w:pStyle w:val="ListBullet"/>
            </w:pPr>
            <w:r w:rsidRPr="007F2B54">
              <w:t>Marine Engine Driver Grade 1 Near Coastal</w:t>
            </w:r>
          </w:p>
          <w:p w:rsidR="00000000" w:rsidRPr="007F2B54" w:rsidP="007F2B54">
            <w:pPr>
              <w:pStyle w:val="ListBullet"/>
            </w:pPr>
            <w:r w:rsidRPr="007F2B54">
              <w:t>Marine Engine Driver Grade 2 Near Coastal</w:t>
            </w:r>
          </w:p>
          <w:p w:rsidR="00000000" w:rsidRPr="007F2B54" w:rsidP="007F2B54">
            <w:pPr>
              <w:pStyle w:val="ListBullet"/>
            </w:pPr>
            <w:r w:rsidRPr="007F2B54">
              <w:t>Marine Engine Driver Grade 3 Near Coastal</w:t>
            </w:r>
          </w:p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Licensing/Regulatory Information</w:t>
            </w:r>
          </w:p>
          <w:p w:rsidR="00000000" w:rsidRPr="007F2B54" w:rsidP="007F2B54">
            <w:pPr>
              <w:pStyle w:val="BodyText"/>
            </w:pPr>
            <w:r w:rsidRPr="007F2B54">
              <w:t xml:space="preserve">Legislative and regulatory requirements are applicable to this unit. </w:t>
            </w:r>
          </w:p>
          <w:p w:rsidR="00000000" w:rsidRPr="007F2B54" w:rsidP="007F2B54">
            <w:pPr>
              <w:pStyle w:val="BodyText"/>
            </w:pPr>
            <w:r w:rsidRPr="007F2B54">
              <w:t xml:space="preserve">This unit is one of the requirements to obtain Australian Maritime Safety Authority (AMSA) certification as a Marine Engine Driver Grade 3 NC, Marine Engine Driver Grade 2 NC and Marine </w:t>
            </w:r>
            <w:r w:rsidRPr="007F2B54">
              <w:t xml:space="preserve">Engine Driver Grade 1 NC as specified in Marine Order 505. </w:t>
            </w:r>
          </w:p>
          <w:p w:rsidR="00000000" w:rsidRPr="007F2B54" w:rsidP="007F2B54">
            <w:pPr>
              <w:pStyle w:val="BodyText"/>
            </w:pPr>
            <w:r w:rsidRPr="007F2B54">
              <w:t>Seafarers seeking certification should check with AMSA.</w:t>
            </w:r>
          </w:p>
        </w:tc>
      </w:tr>
    </w:tbl>
    <w:p w:rsidR="00000000" w:rsidRPr="007F2B54" w:rsidP="007F2B54">
      <w:pPr>
        <w:pStyle w:val="NoPaddingFontSize1"/>
      </w:pPr>
    </w:p>
    <w:p w:rsidR="00000000" w:rsidRPr="007F2B54" w:rsidP="007F2B54">
      <w:pPr>
        <w:pStyle w:val="AllowPageBreak"/>
      </w:pPr>
    </w:p>
    <w:p w:rsidR="00000000" w:rsidRPr="007F2B54" w:rsidP="007F2B54">
      <w:pPr>
        <w:pStyle w:val="Heading1"/>
      </w:pPr>
      <w:bookmarkStart w:id="3" w:name="O_1284818"/>
      <w:bookmarkEnd w:id="3"/>
      <w:r w:rsidRPr="007F2B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t>Not Applicable.</w:t>
            </w:r>
          </w:p>
        </w:tc>
      </w:tr>
    </w:tbl>
    <w:p w:rsidR="00000000" w:rsidRPr="007F2B54" w:rsidP="007F2B54">
      <w:pPr>
        <w:pStyle w:val="NoPaddingFontSize1"/>
      </w:pPr>
    </w:p>
    <w:p w:rsidR="00000000" w:rsidRPr="007F2B54" w:rsidP="007F2B54">
      <w:pPr>
        <w:pStyle w:val="AllowPageBreak"/>
      </w:pPr>
    </w:p>
    <w:p w:rsidR="00000000" w:rsidRPr="007F2B54" w:rsidP="007F2B54">
      <w:pPr>
        <w:pStyle w:val="Heading1"/>
      </w:pPr>
      <w:bookmarkStart w:id="4" w:name="O_1284817"/>
      <w:bookmarkEnd w:id="4"/>
      <w:r w:rsidRPr="007F2B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t>C – Equipment Operations</w:t>
            </w:r>
          </w:p>
        </w:tc>
      </w:tr>
    </w:tbl>
    <w:p w:rsidR="00000000" w:rsidRPr="007F2B54" w:rsidP="007F2B54">
      <w:pPr>
        <w:pStyle w:val="NoPaddingFontSize1"/>
      </w:pPr>
    </w:p>
    <w:p w:rsidR="00000000" w:rsidRPr="007F2B54" w:rsidP="007F2B54">
      <w:pPr>
        <w:pStyle w:val="AllowPageBreak"/>
      </w:pPr>
    </w:p>
    <w:p w:rsidR="00000000" w:rsidRPr="007F2B54" w:rsidP="007F2B54">
      <w:pPr>
        <w:pStyle w:val="Heading1"/>
      </w:pPr>
      <w:bookmarkStart w:id="5" w:name="O_1284816"/>
      <w:bookmarkEnd w:id="5"/>
      <w:r w:rsidRPr="007F2B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t>Not Applicable.</w:t>
            </w:r>
          </w:p>
        </w:tc>
      </w:tr>
    </w:tbl>
    <w:p w:rsidR="00000000" w:rsidRPr="007F2B54" w:rsidP="007F2B54">
      <w:pPr>
        <w:pStyle w:val="NoPaddingFontSize1"/>
      </w:pPr>
    </w:p>
    <w:p w:rsidR="00000000" w:rsidRPr="007F2B54" w:rsidP="007F2B54">
      <w:pPr>
        <w:pStyle w:val="AllowPageBreak"/>
      </w:pPr>
    </w:p>
    <w:p w:rsidR="00000000" w:rsidRPr="007F2B54" w:rsidP="007F2B54">
      <w:pPr>
        <w:pStyle w:val="Heading1"/>
      </w:pPr>
      <w:bookmarkStart w:id="6" w:name="O_1284815"/>
      <w:bookmarkEnd w:id="6"/>
      <w:r w:rsidRPr="007F2B5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PERFORMANCE CRITERIA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Performance criteria describe the performance needed to demonstrate achievement of the element.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Plan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Work plan is developed and sequenced in conjunction with others involved in or affected by work plan, according to organisational procedures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Timelines, jobs and work priorities are confirmed with Master and other relevant authoriti</w:t>
            </w:r>
            <w:r w:rsidRPr="007F2B54">
              <w:t xml:space="preserve">es, as required 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Conduct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 xml:space="preserve">Tank levels are correctly measured and reported before and after fuelling operations 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Fuel capacity is calculated and recorded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Tools and equipment are selected and checked for serviceability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Safety boundary and signage for refuelling operation are accessed and used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Fire and spill prevention equipment is correctly deployed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Personal protective equipment (PPE) is accessed and used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Refuelling operations are performed safely and effective communication is maintained with relevant personnel to ensure safety and integrity of vessel and crew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Appropriate action is taken to handle incidents arising during fuelling operations according to organisational procedures and regulatory requirements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Maintain stock and consumables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Stock levels and consumables are monitored and maintained at require</w:t>
            </w:r>
            <w:r w:rsidRPr="007F2B54">
              <w:t>d levels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Stock and consumables are reordered as required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 xml:space="preserve">Records of stock inventories and consumables are </w:t>
            </w:r>
            <w:r w:rsidRPr="007F2B54">
              <w:t>maintained and discrepancies are identified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Perform general housekeeping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Housekeeping tasks are clarified against work plan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Appropriate equipment for specific tasks is determined, prepared and used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Housekeeping tasks are performed and assessed against task requirements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Procedures for handling, storing and disposing of cleaning liquids are implemented according to regulatory requirements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Stow and manage flammable and explosive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Hazards related to flammable and explosive materials are identified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</w:p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Sui</w:t>
            </w:r>
            <w:r w:rsidRPr="007F2B54">
              <w:t>tability of stowage areas is verified against regulatory requirements and organisational procedures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Procedures for safe handling and stowage of flammable and explosive materials are implemented according to regulatory requirements and organi</w:t>
            </w:r>
            <w:r w:rsidRPr="007F2B54">
              <w:t>sational practices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rPr>
                <w:rStyle w:val="SpecialBold"/>
              </w:rPr>
              <w:t>Prepare simple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 xml:space="preserve">Requirements for simple reports are identified 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Information is prepared according to organisational procedures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Calculations for fuel consumption and voyage duration are completed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t>Information is assessed for accuracy, currency and relevance for inclusion in report</w:t>
            </w:r>
          </w:p>
        </w:tc>
      </w:tr>
      <w:tr w:rsidTr="007F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54">
            <w:pPr>
              <w:pStyle w:val="BodyText"/>
              <w:rPr>
                <w:lang w:val="en-NZ"/>
              </w:rPr>
            </w:pPr>
            <w:r w:rsidRPr="007F2B54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t>Report is written using appropriate terminology</w:t>
            </w:r>
          </w:p>
        </w:tc>
      </w:tr>
    </w:tbl>
    <w:p w:rsidR="00000000" w:rsidRPr="007F2B54" w:rsidP="007F2B54">
      <w:pPr>
        <w:pStyle w:val="NoPaddingFontSize1"/>
      </w:pPr>
    </w:p>
    <w:p w:rsidR="00000000" w:rsidRPr="007F2B54" w:rsidP="007F2B54">
      <w:pPr>
        <w:pStyle w:val="AllowPageBreak"/>
      </w:pPr>
    </w:p>
    <w:p w:rsidR="00000000" w:rsidRPr="007F2B54" w:rsidP="007F2B54">
      <w:pPr>
        <w:pStyle w:val="Heading1"/>
      </w:pPr>
      <w:bookmarkStart w:id="7" w:name="O_1284814"/>
      <w:bookmarkEnd w:id="7"/>
      <w:r w:rsidRPr="007F2B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t>Foundation skills essential to performance are explicit in the performance cr</w:t>
            </w:r>
            <w:r w:rsidRPr="007F2B54">
              <w:t>iteria of this unit of competency.</w:t>
            </w:r>
          </w:p>
        </w:tc>
      </w:tr>
    </w:tbl>
    <w:p w:rsidR="00000000" w:rsidRPr="007F2B54" w:rsidP="007F2B54">
      <w:pPr>
        <w:pStyle w:val="NoPaddingFontSize1"/>
      </w:pPr>
    </w:p>
    <w:p w:rsidR="00000000" w:rsidRPr="007F2B54" w:rsidP="007F2B54">
      <w:pPr>
        <w:pStyle w:val="AllowPageBreak"/>
      </w:pPr>
    </w:p>
    <w:p w:rsidR="00000000" w:rsidRPr="007F2B54" w:rsidP="007F2B54">
      <w:pPr>
        <w:pStyle w:val="Heading1"/>
      </w:pPr>
      <w:bookmarkStart w:id="8" w:name="O_1284813"/>
      <w:bookmarkEnd w:id="8"/>
      <w:r w:rsidRPr="007F2B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t>Range is restricted to essential operating conditions and any other variables essential to the work environment.</w:t>
            </w:r>
          </w:p>
        </w:tc>
      </w:tr>
    </w:tbl>
    <w:p w:rsidR="00000000" w:rsidRPr="007F2B54" w:rsidP="007F2B54">
      <w:pPr>
        <w:pStyle w:val="NoPaddingFontSize1"/>
      </w:pPr>
    </w:p>
    <w:p w:rsidR="00000000" w:rsidRPr="007F2B54" w:rsidP="007F2B54">
      <w:pPr>
        <w:pStyle w:val="AllowPageBreak"/>
      </w:pPr>
    </w:p>
    <w:p w:rsidR="00000000" w:rsidRPr="007F2B54" w:rsidP="007F2B54">
      <w:pPr>
        <w:pStyle w:val="Heading1"/>
      </w:pPr>
      <w:bookmarkStart w:id="9" w:name="O_1284812"/>
      <w:bookmarkEnd w:id="9"/>
      <w:r w:rsidRPr="007F2B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54" w:rsidP="007F2B54">
            <w:pPr>
              <w:pStyle w:val="BodyText"/>
            </w:pPr>
            <w:r w:rsidRPr="007F2B54">
              <w:t>This unit replaces and is equivalent to MARC001 Complete engine room tasks.</w:t>
            </w:r>
          </w:p>
        </w:tc>
      </w:tr>
    </w:tbl>
    <w:p w:rsidR="00000000" w:rsidRPr="007F2B54" w:rsidP="007F2B54">
      <w:pPr>
        <w:pStyle w:val="NoPaddingFontSize1"/>
      </w:pPr>
    </w:p>
    <w:p w:rsidR="00000000" w:rsidRPr="007F2B54" w:rsidP="007F2B54">
      <w:pPr>
        <w:pStyle w:val="AllowPageBreak"/>
      </w:pPr>
    </w:p>
    <w:p w:rsidR="00000000" w:rsidRPr="007F2B54" w:rsidP="007F2B54">
      <w:pPr>
        <w:pStyle w:val="Heading1"/>
      </w:pPr>
      <w:bookmarkStart w:id="10" w:name="O_1284821"/>
      <w:bookmarkEnd w:id="10"/>
      <w:r w:rsidRPr="007F2B54">
        <w:t>Links</w:t>
      </w:r>
    </w:p>
    <w:p w:rsidR="00000000" w:rsidRPr="007F2B54" w:rsidP="00C065E1">
      <w:pPr>
        <w:pStyle w:val="BodyText"/>
      </w:pPr>
      <w:r w:rsidRPr="007F2B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B38D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F2B54" w:rsidP="007F2B54"/>
    <w:sectPr w:rsidSect="007F2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54" w:rsidRPr="00C065E1" w:rsidP="00C06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E1" w:rsidP="007F2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5E1" w:rsidP="007F2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065E1" w:rsidP="007F2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B54" w:rsidRPr="00C065E1" w:rsidP="00C06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E1" w:rsidRPr="002D2AF8" w:rsidP="007F2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MARC033 Complete engine room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C065E1" w:rsidP="007F2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F65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A46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B54"/>
  </w:style>
  <w:style w:type="character" w:customStyle="1" w:styleId="Heading1Char">
    <w:name w:val="Heading 1 Char"/>
    <w:basedOn w:val="DefaultParagraphFont"/>
    <w:link w:val="Heading1"/>
    <w:rsid w:val="007F2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B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B54"/>
    <w:rPr>
      <w:b/>
      <w:spacing w:val="0"/>
    </w:rPr>
  </w:style>
  <w:style w:type="paragraph" w:customStyle="1" w:styleId="SuperHeading">
    <w:name w:val="SuperHeading"/>
    <w:basedOn w:val="Normal"/>
    <w:rsid w:val="007F2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2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B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B54"/>
    <w:rPr>
      <w:i/>
    </w:rPr>
  </w:style>
  <w:style w:type="paragraph" w:styleId="Caption">
    <w:name w:val="caption"/>
    <w:basedOn w:val="BodyText"/>
    <w:next w:val="Normal"/>
    <w:qFormat/>
    <w:rsid w:val="007F2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B54"/>
  </w:style>
  <w:style w:type="paragraph" w:styleId="TableofFigures">
    <w:name w:val="table of figures"/>
    <w:basedOn w:val="Normal"/>
    <w:next w:val="Normal"/>
    <w:semiHidden/>
    <w:rsid w:val="007F2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B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B54"/>
    <w:rPr>
      <w:rFonts w:ascii="Wingdings" w:hAnsi="Wingdings"/>
    </w:rPr>
  </w:style>
  <w:style w:type="paragraph" w:customStyle="1" w:styleId="TableHeading">
    <w:name w:val="Table Heading"/>
    <w:basedOn w:val="HeadingBase"/>
    <w:rsid w:val="007F2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B54"/>
    <w:rPr>
      <w:color w:val="0033CC"/>
      <w:u w:val="none"/>
    </w:rPr>
  </w:style>
  <w:style w:type="paragraph" w:customStyle="1" w:styleId="BodyTextRight">
    <w:name w:val="Body Text Right"/>
    <w:basedOn w:val="BodyText"/>
    <w:rsid w:val="007F2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B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B54"/>
    <w:rPr>
      <w:sz w:val="32"/>
    </w:rPr>
  </w:style>
  <w:style w:type="paragraph" w:customStyle="1" w:styleId="HeadingProcedure">
    <w:name w:val="Heading Procedure"/>
    <w:basedOn w:val="HeadingBase"/>
    <w:next w:val="Normal"/>
    <w:rsid w:val="007F2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B54"/>
    <w:pPr>
      <w:spacing w:before="60" w:after="60"/>
    </w:pPr>
  </w:style>
  <w:style w:type="paragraph" w:styleId="ListContinue">
    <w:name w:val="List Continue"/>
    <w:basedOn w:val="List"/>
    <w:rsid w:val="007F2B54"/>
    <w:pPr>
      <w:ind w:firstLine="0"/>
    </w:pPr>
  </w:style>
  <w:style w:type="paragraph" w:customStyle="1" w:styleId="ListNote">
    <w:name w:val="List Note"/>
    <w:basedOn w:val="List"/>
    <w:rsid w:val="007F2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B54"/>
    <w:rPr>
      <w:rFonts w:ascii="Courier New" w:hAnsi="Courier New"/>
    </w:rPr>
  </w:style>
  <w:style w:type="paragraph" w:customStyle="1" w:styleId="NoteBullet">
    <w:name w:val="Note Bullet"/>
    <w:basedOn w:val="Note"/>
    <w:rsid w:val="007F2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B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B54"/>
    <w:rPr>
      <w:b/>
      <w:smallCaps/>
    </w:rPr>
  </w:style>
  <w:style w:type="paragraph" w:customStyle="1" w:styleId="TableListNumber">
    <w:name w:val="Table List Number"/>
    <w:basedOn w:val="ListNumber"/>
    <w:rsid w:val="007F2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B54"/>
    <w:pPr>
      <w:numPr>
        <w:numId w:val="8"/>
      </w:numPr>
    </w:pPr>
  </w:style>
  <w:style w:type="paragraph" w:customStyle="1" w:styleId="ListAlpha2">
    <w:name w:val="List Alpha 2"/>
    <w:basedOn w:val="List2"/>
    <w:rsid w:val="007F2B54"/>
    <w:pPr>
      <w:numPr>
        <w:numId w:val="7"/>
      </w:numPr>
    </w:pPr>
  </w:style>
  <w:style w:type="paragraph" w:styleId="List2">
    <w:name w:val="List 2"/>
    <w:basedOn w:val="BodyText"/>
    <w:rsid w:val="007F2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B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B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B54"/>
    <w:pPr>
      <w:numPr>
        <w:numId w:val="3"/>
      </w:numPr>
    </w:pPr>
  </w:style>
  <w:style w:type="paragraph" w:styleId="ListContinue2">
    <w:name w:val="List Continue 2"/>
    <w:basedOn w:val="List2"/>
    <w:rsid w:val="007F2B54"/>
    <w:pPr>
      <w:ind w:firstLine="0"/>
    </w:pPr>
  </w:style>
  <w:style w:type="paragraph" w:styleId="ListContinue3">
    <w:name w:val="List Continue 3"/>
    <w:basedOn w:val="List3"/>
    <w:rsid w:val="007F2B54"/>
    <w:pPr>
      <w:ind w:left="1021" w:firstLine="0"/>
    </w:pPr>
  </w:style>
  <w:style w:type="paragraph" w:styleId="ListContinue4">
    <w:name w:val="List Continue 4"/>
    <w:basedOn w:val="List4"/>
    <w:rsid w:val="007F2B54"/>
    <w:pPr>
      <w:ind w:firstLine="0"/>
    </w:pPr>
  </w:style>
  <w:style w:type="paragraph" w:styleId="ListContinue5">
    <w:name w:val="List Continue 5"/>
    <w:basedOn w:val="List5"/>
    <w:rsid w:val="007F2B54"/>
    <w:pPr>
      <w:ind w:firstLine="0"/>
    </w:pPr>
  </w:style>
  <w:style w:type="paragraph" w:styleId="ListNumber3">
    <w:name w:val="List Number 3"/>
    <w:basedOn w:val="List3"/>
    <w:rsid w:val="007F2B54"/>
    <w:pPr>
      <w:numPr>
        <w:numId w:val="4"/>
      </w:numPr>
    </w:pPr>
  </w:style>
  <w:style w:type="paragraph" w:styleId="ListNumber4">
    <w:name w:val="List Number 4"/>
    <w:basedOn w:val="List4"/>
    <w:rsid w:val="007F2B54"/>
    <w:pPr>
      <w:numPr>
        <w:numId w:val="5"/>
      </w:numPr>
    </w:pPr>
  </w:style>
  <w:style w:type="paragraph" w:styleId="ListNumber5">
    <w:name w:val="List Number 5"/>
    <w:basedOn w:val="List5"/>
    <w:rsid w:val="007F2B54"/>
    <w:pPr>
      <w:numPr>
        <w:numId w:val="6"/>
      </w:numPr>
    </w:pPr>
  </w:style>
  <w:style w:type="paragraph" w:styleId="BlockText">
    <w:name w:val="Block Text"/>
    <w:basedOn w:val="Normal"/>
    <w:rsid w:val="007F2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B54"/>
    <w:rPr>
      <w:sz w:val="16"/>
      <w:vertAlign w:val="superscript"/>
    </w:rPr>
  </w:style>
  <w:style w:type="character" w:customStyle="1" w:styleId="Symbols">
    <w:name w:val="Symbols"/>
    <w:basedOn w:val="DefaultParagraphFont"/>
    <w:rsid w:val="007F2B54"/>
    <w:rPr>
      <w:rFonts w:ascii="Symbol" w:hAnsi="Symbol"/>
    </w:rPr>
  </w:style>
  <w:style w:type="character" w:customStyle="1" w:styleId="MenuOptions">
    <w:name w:val="Menu Options"/>
    <w:basedOn w:val="DefaultParagraphFont"/>
    <w:rsid w:val="007F2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B54"/>
    <w:rPr>
      <w:b/>
    </w:rPr>
  </w:style>
  <w:style w:type="character" w:customStyle="1" w:styleId="Underlined">
    <w:name w:val="Underlined"/>
    <w:basedOn w:val="DefaultParagraphFont"/>
    <w:rsid w:val="007F2B54"/>
    <w:rPr>
      <w:u w:val="single"/>
    </w:rPr>
  </w:style>
  <w:style w:type="paragraph" w:customStyle="1" w:styleId="TableBodyTextRight">
    <w:name w:val="Table Body Text Right"/>
    <w:basedOn w:val="TableBodyText"/>
    <w:rsid w:val="007F2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B54"/>
    <w:rPr>
      <w:sz w:val="18"/>
    </w:rPr>
  </w:style>
  <w:style w:type="paragraph" w:customStyle="1" w:styleId="BodySmallRight">
    <w:name w:val="Body Small Right"/>
    <w:basedOn w:val="BodyTextRight"/>
    <w:rsid w:val="007F2B54"/>
    <w:rPr>
      <w:sz w:val="18"/>
      <w:szCs w:val="18"/>
    </w:rPr>
  </w:style>
  <w:style w:type="paragraph" w:customStyle="1" w:styleId="MarginEdition">
    <w:name w:val="Margin Edition"/>
    <w:basedOn w:val="MarginNote"/>
    <w:rsid w:val="007F2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B54"/>
    <w:rPr>
      <w:sz w:val="2"/>
      <w:szCs w:val="2"/>
    </w:rPr>
  </w:style>
  <w:style w:type="character" w:customStyle="1" w:styleId="Small">
    <w:name w:val="Small"/>
    <w:basedOn w:val="DefaultParagraphFont"/>
    <w:rsid w:val="007F2B54"/>
    <w:rPr>
      <w:sz w:val="16"/>
    </w:rPr>
  </w:style>
  <w:style w:type="paragraph" w:customStyle="1" w:styleId="WideTable">
    <w:name w:val="Wide Table"/>
    <w:basedOn w:val="Normal"/>
    <w:rsid w:val="007F2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B54"/>
  </w:style>
  <w:style w:type="paragraph" w:styleId="Quote">
    <w:name w:val="Quote"/>
    <w:basedOn w:val="Heading1"/>
    <w:link w:val="QuoteChar"/>
    <w:qFormat/>
    <w:rsid w:val="007F2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B54"/>
    <w:pPr>
      <w:pageBreakBefore/>
    </w:pPr>
  </w:style>
  <w:style w:type="paragraph" w:customStyle="1" w:styleId="Border">
    <w:name w:val="Border"/>
    <w:basedOn w:val="Normal"/>
    <w:qFormat/>
    <w:rsid w:val="007F2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B54"/>
    <w:rPr>
      <w:u w:val="single"/>
    </w:rPr>
  </w:style>
  <w:style w:type="character" w:customStyle="1" w:styleId="BoldandItalics">
    <w:name w:val="Bold and Italics"/>
    <w:qFormat/>
    <w:rsid w:val="007F2B54"/>
    <w:rPr>
      <w:b/>
      <w:i/>
      <w:u w:val="none"/>
    </w:rPr>
  </w:style>
  <w:style w:type="paragraph" w:styleId="BalloonText">
    <w:name w:val="Balloon Text"/>
    <w:basedOn w:val="Normal"/>
    <w:link w:val="BalloonTextChar"/>
    <w:rsid w:val="007F2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B54"/>
    <w:pPr>
      <w:spacing w:before="0" w:after="0"/>
    </w:pPr>
  </w:style>
  <w:style w:type="paragraph" w:customStyle="1" w:styleId="BodyTextBold">
    <w:name w:val="Body Text Bold"/>
    <w:basedOn w:val="BodyText"/>
    <w:qFormat/>
    <w:rsid w:val="007F2B54"/>
    <w:rPr>
      <w:b/>
    </w:rPr>
  </w:style>
  <w:style w:type="character" w:styleId="Hyperlink">
    <w:name w:val="Hyperlink"/>
    <w:basedOn w:val="DefaultParagraphFont"/>
    <w:uiPriority w:val="99"/>
    <w:unhideWhenUsed/>
    <w:rsid w:val="00C06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4213</Characters>
  <Application>Microsoft Office Word</Application>
  <DocSecurity>0</DocSecurity>
  <Lines>221</Lines>
  <Paragraphs>122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MARC033 Complete engine room tasks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2024-11-25T11:02:00Z</dcterms:created>
  <dcterms:modified xsi:type="dcterms:W3CDTF">2024-11-25T11:02:00Z</dcterms:modified>
</cp:coreProperties>
</file>